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F3864"/>
          <w:sz w:val="36"/>
          <w:szCs w:val="36"/>
        </w:rPr>
        <w:t xml:space="preserve">CSET 452 – DevOps Class Assignment</w:t>
      </w:r>
    </w:p>
    <w:p>
      <w:pPr>
        <w:spacing w:after="60" w:before="0"/>
        <w:jc w:val="center"/>
      </w:pPr>
      <w:r>
        <w:rPr>
          <w:i/>
          <w:iCs/>
          <w:color w:val="2E5A9E"/>
          <w:sz w:val="26"/>
          <w:szCs w:val="26"/>
        </w:rPr>
        <w:t xml:space="preserve">Fintech Microservices Architecture on AWS</w:t>
      </w:r>
    </w:p>
    <w:p>
      <w:pPr>
        <w:spacing w:after="360" w:before="0"/>
        <w:jc w:val="center"/>
      </w:pPr>
      <w:r>
        <w:rPr>
          <w:color w:val="555555"/>
          <w:sz w:val="22"/>
          <w:szCs w:val="22"/>
        </w:rPr>
        <w:t xml:space="preserve">BTech CSET 452  |  Total Marks: 20</w:t>
      </w:r>
    </w:p>
    <w:p>
      <w:pPr>
        <w:pStyle w:val="Heading1"/>
        <w:pBdr>
          <w:bottom w:val="single" w:color="2E5A9E" w:sz="4" w:space="6"/>
        </w:pBdr>
        <w:spacing w:after="120" w:before="360"/>
      </w:pPr>
      <w:r>
        <w:rPr>
          <w:b/>
          <w:bCs/>
          <w:color w:val="1F3864"/>
          <w:sz w:val="28"/>
          <w:szCs w:val="28"/>
        </w:rPr>
        <w:t xml:space="preserve">(a) Architecture Design  [4 Marks]</w:t>
      </w:r>
    </w:p>
    <w:p>
      <w:pPr>
        <w:pStyle w:val="Heading2"/>
        <w:spacing w:after="80" w:before="240"/>
      </w:pPr>
      <w:r>
        <w:rPr>
          <w:b/>
          <w:bCs/>
          <w:color w:val="2E5A9E"/>
          <w:sz w:val="24"/>
          <w:szCs w:val="24"/>
        </w:rPr>
        <w:t xml:space="preserve">1. VPC Structure</w:t>
      </w:r>
    </w:p>
    <w:p>
      <w:pPr>
        <w:spacing w:after="60" w:before="60"/>
        <w:jc w:val="both"/>
      </w:pPr>
      <w:r>
        <w:rPr>
          <w:sz w:val="22"/>
          <w:szCs w:val="22"/>
        </w:rPr>
        <w:t xml:space="preserve">The entire application lives inside a custom VPC spanning two Availability Zones (us-east-1a and us-east-1b) to eliminate any single point of failure at the infrastructure level. Each AZ contains a pair of subnets — one public and one private — giving us clean separation between internet-facing and internal resources.</w:t>
      </w:r>
    </w:p>
    <w:p>
      <w:pPr>
        <w:spacing w:after="0" w:before="60"/>
      </w:pPr>
      <w:r>
        <w:t xml:space="preserve"/>
      </w:r>
    </w:p>
    <w:p>
      <w:pPr>
        <w:spacing w:after="60" w:before="60"/>
        <w:jc w:val="both"/>
      </w:pPr>
      <w:r>
        <w:rPr>
          <w:sz w:val="22"/>
          <w:szCs w:val="22"/>
        </w:rPr>
        <w:t xml:space="preserve">Public subnets host the Application Load Balancer (ALB) and NAT Gateways. The ALB is the sole entry point for all external traffic; it performs SSL termination, routes HTTP/HTTPS requests to Kubernetes Ingress, and is itself distributed across both AZs for resilience. NAT Gateways allow private-subnet workloads (pods, databases) to reach the internet for updates and API calls without being directly reachable from it.</w:t>
      </w:r>
    </w:p>
    <w:p>
      <w:pPr>
        <w:spacing w:after="0" w:before="60"/>
      </w:pPr>
      <w:r>
        <w:t xml:space="preserve"/>
      </w:r>
    </w:p>
    <w:p>
      <w:pPr>
        <w:spacing w:after="60" w:before="60"/>
        <w:jc w:val="both"/>
      </w:pPr>
      <w:r>
        <w:rPr>
          <w:sz w:val="22"/>
          <w:szCs w:val="22"/>
        </w:rPr>
        <w:t xml:space="preserve">Private subnets house everything sensitive: the EKS worker nodes, RDS PostgreSQL instance (with a Multi-AZ standby), and any Redis cache cluster. This ensures that even if the ALB or NAT layer is misconfigured, the database and application logic are never directly internet-routable.</w:t>
      </w:r>
    </w:p>
    <w:p>
      <w:pPr>
        <w:spacing w:after="0" w:before="60"/>
      </w:pPr>
      <w:r>
        <w:t xml:space="preserve"/>
      </w:r>
    </w:p>
    <w:p>
      <w:pPr>
        <w:pStyle w:val="Heading2"/>
        <w:spacing w:after="80" w:before="240"/>
      </w:pPr>
      <w:r>
        <w:rPr>
          <w:b/>
          <w:bCs/>
          <w:color w:val="2E5A9E"/>
          <w:sz w:val="24"/>
          <w:szCs w:val="24"/>
        </w:rPr>
        <w:t xml:space="preserve">2. Service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3660"/>
      </w:tblGrid>
      <w:tr>
        <w:tc>
          <w:tcPr>
            <w:tcW w:type="dxa" w:w="3300"/>
            <w:tcBorders>
              <w:top w:val="single" w:color="2E5A9E" w:sz="1"/>
              <w:left w:val="single" w:color="2E5A9E" w:sz="1"/>
              <w:bottom w:val="single" w:color="2E5A9E" w:sz="1"/>
              <w:right w:val="single" w:color="2E5A9E" w:sz="1"/>
            </w:tcBorders>
            <w:shd w:fill="2E5A9E" w:val="clear"/>
            <w:tcMar>
              <w:top w:type="dxa" w:w="80"/>
              <w:left w:type="dxa" w:w="120"/>
              <w:bottom w:type="dxa" w:w="80"/>
              <w:right w:type="dxa" w:w="120"/>
            </w:tcMar>
          </w:tcPr>
          <w:p>
            <w:r>
              <w:rPr>
                <w:b/>
                <w:bCs/>
                <w:color w:val="FFFFFF"/>
                <w:sz w:val="20"/>
                <w:szCs w:val="20"/>
              </w:rPr>
              <w:t xml:space="preserve">Component</w:t>
            </w:r>
          </w:p>
        </w:tc>
        <w:tc>
          <w:tcPr>
            <w:tcW w:type="dxa" w:w="2400"/>
            <w:tcBorders>
              <w:top w:val="single" w:color="2E5A9E" w:sz="1"/>
              <w:left w:val="single" w:color="2E5A9E" w:sz="1"/>
              <w:bottom w:val="single" w:color="2E5A9E" w:sz="1"/>
              <w:right w:val="single" w:color="2E5A9E" w:sz="1"/>
            </w:tcBorders>
            <w:shd w:fill="2E5A9E" w:val="clear"/>
            <w:tcMar>
              <w:top w:type="dxa" w:w="80"/>
              <w:left w:type="dxa" w:w="120"/>
              <w:bottom w:type="dxa" w:w="80"/>
              <w:right w:type="dxa" w:w="120"/>
            </w:tcMar>
          </w:tcPr>
          <w:p>
            <w:r>
              <w:rPr>
                <w:b/>
                <w:bCs/>
                <w:color w:val="FFFFFF"/>
                <w:sz w:val="20"/>
                <w:szCs w:val="20"/>
              </w:rPr>
              <w:t xml:space="preserve">Subnet</w:t>
            </w:r>
          </w:p>
        </w:tc>
        <w:tc>
          <w:tcPr>
            <w:tcW w:type="dxa" w:w="3660"/>
            <w:tcBorders>
              <w:top w:val="single" w:color="2E5A9E" w:sz="1"/>
              <w:left w:val="single" w:color="2E5A9E" w:sz="1"/>
              <w:bottom w:val="single" w:color="2E5A9E" w:sz="1"/>
              <w:right w:val="single" w:color="2E5A9E" w:sz="1"/>
            </w:tcBorders>
            <w:shd w:fill="2E5A9E" w:val="clear"/>
            <w:tcMar>
              <w:top w:type="dxa" w:w="80"/>
              <w:left w:type="dxa" w:w="120"/>
              <w:bottom w:type="dxa" w:w="80"/>
              <w:right w:type="dxa" w:w="120"/>
            </w:tcMar>
          </w:tcPr>
          <w:p>
            <w:r>
              <w:rPr>
                <w:b/>
                <w:bCs/>
                <w:color w:val="FFFFFF"/>
                <w:sz w:val="20"/>
                <w:szCs w:val="20"/>
              </w:rPr>
              <w:t xml:space="preserve">Reason</w:t>
            </w:r>
          </w:p>
        </w:tc>
      </w:tr>
      <w:tr>
        <w:tc>
          <w:tcPr>
            <w:tcW w:type="dxa" w:w="3300"/>
            <w:tcBorders>
              <w:top w:val="single" w:color="AAAAAA" w:sz="1"/>
              <w:left w:val="single" w:color="AAAAAA" w:sz="1"/>
              <w:bottom w:val="single" w:color="AAAAAA" w:sz="1"/>
              <w:right w:val="single" w:color="AAAAAA" w:sz="1"/>
            </w:tcBorders>
            <w:shd w:fill="EEF2F9" w:val="clear"/>
            <w:tcMar>
              <w:top w:type="dxa" w:w="80"/>
              <w:left w:type="dxa" w:w="120"/>
              <w:bottom w:type="dxa" w:w="80"/>
              <w:right w:type="dxa" w:w="120"/>
            </w:tcMar>
          </w:tcPr>
          <w:p>
            <w:r>
              <w:rPr>
                <w:sz w:val="20"/>
                <w:szCs w:val="20"/>
              </w:rPr>
              <w:t xml:space="preserve">ALB (Application Load Balancer)</w:t>
            </w:r>
          </w:p>
        </w:tc>
        <w:tc>
          <w:tcPr>
            <w:tcW w:type="dxa" w:w="2400"/>
            <w:tcBorders>
              <w:top w:val="single" w:color="AAAAAA" w:sz="1"/>
              <w:left w:val="single" w:color="AAAAAA" w:sz="1"/>
              <w:bottom w:val="single" w:color="AAAAAA" w:sz="1"/>
              <w:right w:val="single" w:color="AAAAAA" w:sz="1"/>
            </w:tcBorders>
            <w:shd w:fill="EEF2F9" w:val="clear"/>
            <w:tcMar>
              <w:top w:type="dxa" w:w="80"/>
              <w:left w:type="dxa" w:w="120"/>
              <w:bottom w:type="dxa" w:w="80"/>
              <w:right w:type="dxa" w:w="120"/>
            </w:tcMar>
          </w:tcPr>
          <w:p>
            <w:r>
              <w:rPr>
                <w:sz w:val="20"/>
                <w:szCs w:val="20"/>
              </w:rPr>
              <w:t xml:space="preserve">Public</w:t>
            </w:r>
          </w:p>
        </w:tc>
        <w:tc>
          <w:tcPr>
            <w:tcW w:type="dxa" w:w="3660"/>
            <w:tcBorders>
              <w:top w:val="single" w:color="AAAAAA" w:sz="1"/>
              <w:left w:val="single" w:color="AAAAAA" w:sz="1"/>
              <w:bottom w:val="single" w:color="AAAAAA" w:sz="1"/>
              <w:right w:val="single" w:color="AAAAAA" w:sz="1"/>
            </w:tcBorders>
            <w:shd w:fill="EEF2F9" w:val="clear"/>
            <w:tcMar>
              <w:top w:type="dxa" w:w="80"/>
              <w:left w:type="dxa" w:w="120"/>
              <w:bottom w:type="dxa" w:w="80"/>
              <w:right w:type="dxa" w:w="120"/>
            </w:tcMar>
          </w:tcPr>
          <w:p>
            <w:r>
              <w:rPr>
                <w:sz w:val="20"/>
                <w:szCs w:val="20"/>
              </w:rPr>
              <w:t xml:space="preserve">Must accept external traffic; acts as edge proxy</w:t>
            </w:r>
          </w:p>
        </w:tc>
      </w:tr>
      <w:tr>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EKS Node Groups (Backend + Frontend pods)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Private</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No direct internet exposure; accessed via ALB only</w:t>
            </w:r>
          </w:p>
        </w:tc>
      </w:tr>
      <w:tr>
        <w:tc>
          <w:tcPr>
            <w:tcW w:type="dxa" w:w="3300"/>
            <w:tcBorders>
              <w:top w:val="single" w:color="AAAAAA" w:sz="1"/>
              <w:left w:val="single" w:color="AAAAAA" w:sz="1"/>
              <w:bottom w:val="single" w:color="AAAAAA" w:sz="1"/>
              <w:right w:val="single" w:color="AAAAAA" w:sz="1"/>
            </w:tcBorders>
            <w:shd w:fill="EEF2F9" w:val="clear"/>
            <w:tcMar>
              <w:top w:type="dxa" w:w="80"/>
              <w:left w:type="dxa" w:w="120"/>
              <w:bottom w:type="dxa" w:w="80"/>
              <w:right w:type="dxa" w:w="120"/>
            </w:tcMar>
          </w:tcPr>
          <w:p>
            <w:r>
              <w:rPr>
                <w:sz w:val="20"/>
                <w:szCs w:val="20"/>
              </w:rPr>
              <w:t xml:space="preserve">RDS PostgreSQL (Multi-AZ)</w:t>
            </w:r>
          </w:p>
        </w:tc>
        <w:tc>
          <w:tcPr>
            <w:tcW w:type="dxa" w:w="2400"/>
            <w:tcBorders>
              <w:top w:val="single" w:color="AAAAAA" w:sz="1"/>
              <w:left w:val="single" w:color="AAAAAA" w:sz="1"/>
              <w:bottom w:val="single" w:color="AAAAAA" w:sz="1"/>
              <w:right w:val="single" w:color="AAAAAA" w:sz="1"/>
            </w:tcBorders>
            <w:shd w:fill="EEF2F9" w:val="clear"/>
            <w:tcMar>
              <w:top w:type="dxa" w:w="80"/>
              <w:left w:type="dxa" w:w="120"/>
              <w:bottom w:type="dxa" w:w="80"/>
              <w:right w:type="dxa" w:w="120"/>
            </w:tcMar>
          </w:tcPr>
          <w:p>
            <w:r>
              <w:rPr>
                <w:sz w:val="20"/>
                <w:szCs w:val="20"/>
              </w:rPr>
              <w:t xml:space="preserve">Private</w:t>
            </w:r>
          </w:p>
        </w:tc>
        <w:tc>
          <w:tcPr>
            <w:tcW w:type="dxa" w:w="3660"/>
            <w:tcBorders>
              <w:top w:val="single" w:color="AAAAAA" w:sz="1"/>
              <w:left w:val="single" w:color="AAAAAA" w:sz="1"/>
              <w:bottom w:val="single" w:color="AAAAAA" w:sz="1"/>
              <w:right w:val="single" w:color="AAAAAA" w:sz="1"/>
            </w:tcBorders>
            <w:shd w:fill="EEF2F9" w:val="clear"/>
            <w:tcMar>
              <w:top w:type="dxa" w:w="80"/>
              <w:left w:type="dxa" w:w="120"/>
              <w:bottom w:type="dxa" w:w="80"/>
              <w:right w:type="dxa" w:w="120"/>
            </w:tcMar>
          </w:tcPr>
          <w:p>
            <w:r>
              <w:rPr>
                <w:sz w:val="20"/>
                <w:szCs w:val="20"/>
              </w:rPr>
              <w:t xml:space="preserve">Data must never be publicly accessible</w:t>
            </w:r>
          </w:p>
        </w:tc>
      </w:tr>
      <w:tr>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ElastiCache (Redis)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Private</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Cache layer; internal access only from backend pods</w:t>
            </w:r>
          </w:p>
        </w:tc>
      </w:tr>
      <w:tr>
        <w:tc>
          <w:tcPr>
            <w:tcW w:type="dxa" w:w="3300"/>
            <w:tcBorders>
              <w:top w:val="single" w:color="AAAAAA" w:sz="1"/>
              <w:left w:val="single" w:color="AAAAAA" w:sz="1"/>
              <w:bottom w:val="single" w:color="AAAAAA" w:sz="1"/>
              <w:right w:val="single" w:color="AAAAAA" w:sz="1"/>
            </w:tcBorders>
            <w:shd w:fill="EEF2F9" w:val="clear"/>
            <w:tcMar>
              <w:top w:type="dxa" w:w="80"/>
              <w:left w:type="dxa" w:w="120"/>
              <w:bottom w:type="dxa" w:w="80"/>
              <w:right w:type="dxa" w:w="120"/>
            </w:tcMar>
          </w:tcPr>
          <w:p>
            <w:r>
              <w:rPr>
                <w:sz w:val="20"/>
                <w:szCs w:val="20"/>
              </w:rPr>
              <w:t xml:space="preserve">NAT Gateway</w:t>
            </w:r>
          </w:p>
        </w:tc>
        <w:tc>
          <w:tcPr>
            <w:tcW w:type="dxa" w:w="2400"/>
            <w:tcBorders>
              <w:top w:val="single" w:color="AAAAAA" w:sz="1"/>
              <w:left w:val="single" w:color="AAAAAA" w:sz="1"/>
              <w:bottom w:val="single" w:color="AAAAAA" w:sz="1"/>
              <w:right w:val="single" w:color="AAAAAA" w:sz="1"/>
            </w:tcBorders>
            <w:shd w:fill="EEF2F9" w:val="clear"/>
            <w:tcMar>
              <w:top w:type="dxa" w:w="80"/>
              <w:left w:type="dxa" w:w="120"/>
              <w:bottom w:type="dxa" w:w="80"/>
              <w:right w:type="dxa" w:w="120"/>
            </w:tcMar>
          </w:tcPr>
          <w:p>
            <w:r>
              <w:rPr>
                <w:sz w:val="20"/>
                <w:szCs w:val="20"/>
              </w:rPr>
              <w:t xml:space="preserve">Public</w:t>
            </w:r>
          </w:p>
        </w:tc>
        <w:tc>
          <w:tcPr>
            <w:tcW w:type="dxa" w:w="3660"/>
            <w:tcBorders>
              <w:top w:val="single" w:color="AAAAAA" w:sz="1"/>
              <w:left w:val="single" w:color="AAAAAA" w:sz="1"/>
              <w:bottom w:val="single" w:color="AAAAAA" w:sz="1"/>
              <w:right w:val="single" w:color="AAAAAA" w:sz="1"/>
            </w:tcBorders>
            <w:shd w:fill="EEF2F9" w:val="clear"/>
            <w:tcMar>
              <w:top w:type="dxa" w:w="80"/>
              <w:left w:type="dxa" w:w="120"/>
              <w:bottom w:type="dxa" w:w="80"/>
              <w:right w:type="dxa" w:w="120"/>
            </w:tcMar>
          </w:tcPr>
          <w:p>
            <w:r>
              <w:rPr>
                <w:sz w:val="20"/>
                <w:szCs w:val="20"/>
              </w:rPr>
              <w:t xml:space="preserve">Allows private resources to initiate outbound connections</w:t>
            </w:r>
          </w:p>
        </w:tc>
      </w:tr>
    </w:tbl>
    <w:p>
      <w:pPr>
        <w:spacing w:after="0" w:before="60"/>
      </w:pPr>
      <w:r>
        <w:t xml:space="preserve"/>
      </w:r>
    </w:p>
    <w:p>
      <w:pPr>
        <w:pStyle w:val="Heading2"/>
        <w:spacing w:after="80" w:before="240"/>
      </w:pPr>
      <w:r>
        <w:rPr>
          <w:b/>
          <w:bCs/>
          <w:color w:val="2E5A9E"/>
          <w:sz w:val="24"/>
          <w:szCs w:val="24"/>
        </w:rPr>
        <w:t xml:space="preserve">3. Load Balancing Approach</w:t>
      </w:r>
    </w:p>
    <w:p>
      <w:pPr>
        <w:spacing w:after="60" w:before="60"/>
        <w:jc w:val="both"/>
      </w:pPr>
      <w:r>
        <w:rPr>
          <w:sz w:val="22"/>
          <w:szCs w:val="22"/>
        </w:rPr>
        <w:t xml:space="preserve">External traffic hits the ALB, which terminates TLS and forwards to a Kubernetes Ingress controller (AWS Load Balancer Controller). The Ingress then routes to ClusterIP Services based on path rules: /api/* goes to the backend service, /* goes to the frontend service. This two-layer approach keeps routing logic in Kubernetes rather than hardcoded in AWS, making it portable and easy to update through GitOps.</w:t>
      </w:r>
    </w:p>
    <w:p>
      <w:pPr>
        <w:spacing w:after="0" w:before="60"/>
      </w:pPr>
      <w:r>
        <w:t xml:space="preserve"/>
      </w:r>
    </w:p>
    <w:p>
      <w:pPr>
        <w:pStyle w:val="Heading2"/>
        <w:spacing w:after="80" w:before="240"/>
      </w:pPr>
      <w:r>
        <w:rPr>
          <w:b/>
          <w:bCs/>
          <w:color w:val="2E5A9E"/>
          <w:sz w:val="24"/>
          <w:szCs w:val="24"/>
        </w:rPr>
        <w:t xml:space="preserve">4. Multi-Region Design</w:t>
      </w:r>
    </w:p>
    <w:p>
      <w:pPr>
        <w:spacing w:after="60" w:before="60"/>
        <w:jc w:val="both"/>
      </w:pPr>
      <w:r>
        <w:rPr>
          <w:sz w:val="22"/>
          <w:szCs w:val="22"/>
        </w:rPr>
        <w:t xml:space="preserve">We adopt an active-passive multi-region strategy with us-east-1 as primary and us-west-2 as the standby. All infrastructure is mirrored using Terraform, but the secondary region handles zero traffic under normal operation. The advantages of active-passive over active-active for a fintech startup are significant: it is dramatically simpler to operate, easier to reason about data consistency, and far less expensive, since the standby region runs only enough capacity to absorb traffic during a failover — not a full production workload.</w:t>
      </w:r>
    </w:p>
    <w:p>
      <w:pPr>
        <w:spacing w:after="0" w:before="60"/>
      </w:pPr>
      <w:r>
        <w:t xml:space="preserve"/>
      </w:r>
    </w:p>
    <w:p>
      <w:pPr>
        <w:pStyle w:val="Heading2"/>
        <w:spacing w:after="80" w:before="240"/>
      </w:pPr>
      <w:r>
        <w:rPr>
          <w:b/>
          <w:bCs/>
          <w:color w:val="2E5A9E"/>
          <w:sz w:val="24"/>
          <w:szCs w:val="24"/>
        </w:rPr>
        <w:t xml:space="preserve">5. High Availability, Security &amp; Cost Trade-offs</w:t>
      </w:r>
    </w:p>
    <w:p>
      <w:pPr>
        <w:spacing w:after="60" w:before="60"/>
        <w:jc w:val="both"/>
      </w:pPr>
      <w:r>
        <w:rPr>
          <w:sz w:val="22"/>
          <w:szCs w:val="22"/>
        </w:rPr>
        <w:t xml:space="preserve">High Availability: Multi-AZ EKS node groups, RDS Multi-AZ, ALB spanning both AZs, and HPA-driven auto-scaling collectively ensure the application survives instance failures, AZ outages, and traffic spikes without downtime.</w:t>
      </w:r>
    </w:p>
    <w:p>
      <w:pPr>
        <w:spacing w:after="0" w:before="60"/>
      </w:pPr>
      <w:r>
        <w:t xml:space="preserve"/>
      </w:r>
    </w:p>
    <w:p>
      <w:pPr>
        <w:spacing w:after="60" w:before="60"/>
        <w:jc w:val="both"/>
      </w:pPr>
      <w:r>
        <w:rPr>
          <w:sz w:val="22"/>
          <w:szCs w:val="22"/>
        </w:rPr>
        <w:t xml:space="preserve">Security: All inter-service communication stays within the VPC. Security Groups follow the principle of least privilege — the backend security group only accepts traffic from the ALB security group, and RDS only accepts traffic from the backend node security group. Secrets are managed via AWS Secrets Manager rather than environment variables. TLS is enforced end-to-end.</w:t>
      </w:r>
    </w:p>
    <w:p>
      <w:pPr>
        <w:spacing w:after="0" w:before="60"/>
      </w:pPr>
      <w:r>
        <w:t xml:space="preserve"/>
      </w:r>
    </w:p>
    <w:p>
      <w:pPr>
        <w:spacing w:after="60" w:before="60"/>
        <w:jc w:val="both"/>
      </w:pPr>
      <w:r>
        <w:rPr>
          <w:sz w:val="22"/>
          <w:szCs w:val="22"/>
        </w:rPr>
        <w:t xml:space="preserve">Cost Trade-offs: Active-passive multi-region is chosen over active-active specifically to control cost. Running two fully-loaded production environments continuously would roughly double infrastructure spend. The standby region uses smaller instance types and minimal node counts, scaling up only during a real failover. This is an acceptable trade-off for a startup where budget constraints are real but downtime is still business-critical.</w:t>
      </w:r>
    </w:p>
    <w:p>
      <w:pPr>
        <w:spacing w:after="0" w:before="120"/>
      </w:pPr>
      <w:r>
        <w:t xml:space="preserve"/>
      </w:r>
    </w:p>
    <w:p>
      <w:pPr>
        <w:pStyle w:val="Heading1"/>
        <w:pBdr>
          <w:bottom w:val="single" w:color="2E5A9E" w:sz="4" w:space="6"/>
        </w:pBdr>
        <w:spacing w:after="120" w:before="360"/>
      </w:pPr>
      <w:r>
        <w:rPr>
          <w:b/>
          <w:bCs/>
          <w:color w:val="1F3864"/>
          <w:sz w:val="28"/>
          <w:szCs w:val="28"/>
        </w:rPr>
        <w:t xml:space="preserve">(b) Terraform Strategy  [4 Marks]</w:t>
      </w:r>
    </w:p>
    <w:p>
      <w:pPr>
        <w:pStyle w:val="Heading2"/>
        <w:spacing w:after="80" w:before="240"/>
      </w:pPr>
      <w:r>
        <w:rPr>
          <w:b/>
          <w:bCs/>
          <w:color w:val="2E5A9E"/>
          <w:sz w:val="24"/>
          <w:szCs w:val="24"/>
        </w:rPr>
        <w:t xml:space="preserve">1. Module Design</w:t>
      </w:r>
    </w:p>
    <w:p>
      <w:pPr>
        <w:spacing w:after="60" w:before="60"/>
        <w:jc w:val="both"/>
      </w:pPr>
      <w:r>
        <w:rPr>
          <w:sz w:val="22"/>
          <w:szCs w:val="22"/>
        </w:rPr>
        <w:t xml:space="preserve">The Terraform codebase is split into focused, reusable modules so that changes to one component (e.g., upgrading EKS) do not require touching database or networking code. Minimum four modules are defined: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E5A9E" w:sz="1"/>
              <w:left w:val="single" w:color="2E5A9E" w:sz="1"/>
              <w:bottom w:val="single" w:color="2E5A9E" w:sz="1"/>
              <w:right w:val="single" w:color="2E5A9E" w:sz="1"/>
            </w:tcBorders>
            <w:shd w:fill="2E5A9E" w:val="clear"/>
            <w:tcMar>
              <w:top w:type="dxa" w:w="80"/>
              <w:left w:type="dxa" w:w="120"/>
              <w:bottom w:type="dxa" w:w="80"/>
              <w:right w:type="dxa" w:w="120"/>
            </w:tcMar>
          </w:tcPr>
          <w:p>
            <w:r>
              <w:rPr>
                <w:b/>
                <w:bCs/>
                <w:color w:val="FFFFFF"/>
                <w:sz w:val="20"/>
                <w:szCs w:val="20"/>
              </w:rPr>
              <w:t xml:space="preserve">Module</w:t>
            </w:r>
          </w:p>
        </w:tc>
        <w:tc>
          <w:tcPr>
            <w:tcW w:type="dxa" w:w="6860"/>
            <w:tcBorders>
              <w:top w:val="single" w:color="2E5A9E" w:sz="1"/>
              <w:left w:val="single" w:color="2E5A9E" w:sz="1"/>
              <w:bottom w:val="single" w:color="2E5A9E" w:sz="1"/>
              <w:right w:val="single" w:color="2E5A9E" w:sz="1"/>
            </w:tcBorders>
            <w:shd w:fill="2E5A9E" w:val="clear"/>
            <w:tcMar>
              <w:top w:type="dxa" w:w="80"/>
              <w:left w:type="dxa" w:w="120"/>
              <w:bottom w:type="dxa" w:w="80"/>
              <w:right w:type="dxa" w:w="120"/>
            </w:tcMar>
          </w:tcPr>
          <w:p>
            <w:r>
              <w:rPr>
                <w:b/>
                <w:bCs/>
                <w:color w:val="FFFFFF"/>
                <w:sz w:val="20"/>
                <w:szCs w:val="20"/>
              </w:rPr>
              <w:t xml:space="preserve">Responsibility</w:t>
            </w:r>
          </w:p>
        </w:tc>
      </w:tr>
      <w:tr>
        <w:tc>
          <w:tcPr>
            <w:tcW w:type="dxa" w:w="2500"/>
            <w:tcBorders>
              <w:top w:val="single" w:color="AAAAAA" w:sz="1"/>
              <w:left w:val="single" w:color="AAAAAA" w:sz="1"/>
              <w:bottom w:val="single" w:color="AAAAAA" w:sz="1"/>
              <w:right w:val="single" w:color="AAAAAA" w:sz="1"/>
            </w:tcBorders>
            <w:shd w:fill="EEF2F9" w:val="clear"/>
            <w:tcMar>
              <w:top w:type="dxa" w:w="80"/>
              <w:left w:type="dxa" w:w="120"/>
              <w:bottom w:type="dxa" w:w="80"/>
              <w:right w:type="dxa" w:w="120"/>
            </w:tcMar>
          </w:tcPr>
          <w:p>
            <w:r>
              <w:rPr>
                <w:sz w:val="20"/>
                <w:szCs w:val="20"/>
              </w:rPr>
              <w:t xml:space="preserve">vpc</w:t>
            </w:r>
          </w:p>
        </w:tc>
        <w:tc>
          <w:tcPr>
            <w:tcW w:type="dxa" w:w="6860"/>
            <w:tcBorders>
              <w:top w:val="single" w:color="AAAAAA" w:sz="1"/>
              <w:left w:val="single" w:color="AAAAAA" w:sz="1"/>
              <w:bottom w:val="single" w:color="AAAAAA" w:sz="1"/>
              <w:right w:val="single" w:color="AAAAAA" w:sz="1"/>
            </w:tcBorders>
            <w:shd w:fill="EEF2F9" w:val="clear"/>
            <w:tcMar>
              <w:top w:type="dxa" w:w="80"/>
              <w:left w:type="dxa" w:w="120"/>
              <w:bottom w:type="dxa" w:w="80"/>
              <w:right w:type="dxa" w:w="120"/>
            </w:tcMar>
          </w:tcPr>
          <w:p>
            <w:r>
              <w:rPr>
                <w:sz w:val="20"/>
                <w:szCs w:val="20"/>
              </w:rPr>
              <w:t xml:space="preserve">VPC, public/private subnets, route tables, IGW, NAT Gateways, security groups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eks</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EKS cluster, managed node groups, IAM roles, OIDC provider, add-ons (CoreDNS, ALB controller)</w:t>
            </w:r>
          </w:p>
        </w:tc>
      </w:tr>
      <w:tr>
        <w:tc>
          <w:tcPr>
            <w:tcW w:type="dxa" w:w="2500"/>
            <w:tcBorders>
              <w:top w:val="single" w:color="AAAAAA" w:sz="1"/>
              <w:left w:val="single" w:color="AAAAAA" w:sz="1"/>
              <w:bottom w:val="single" w:color="AAAAAA" w:sz="1"/>
              <w:right w:val="single" w:color="AAAAAA" w:sz="1"/>
            </w:tcBorders>
            <w:shd w:fill="EEF2F9" w:val="clear"/>
            <w:tcMar>
              <w:top w:type="dxa" w:w="80"/>
              <w:left w:type="dxa" w:w="120"/>
              <w:bottom w:type="dxa" w:w="80"/>
              <w:right w:type="dxa" w:w="120"/>
            </w:tcMar>
          </w:tcPr>
          <w:p>
            <w:r>
              <w:rPr>
                <w:sz w:val="20"/>
                <w:szCs w:val="20"/>
              </w:rPr>
              <w:t xml:space="preserve">rds</w:t>
            </w:r>
          </w:p>
        </w:tc>
        <w:tc>
          <w:tcPr>
            <w:tcW w:type="dxa" w:w="6860"/>
            <w:tcBorders>
              <w:top w:val="single" w:color="AAAAAA" w:sz="1"/>
              <w:left w:val="single" w:color="AAAAAA" w:sz="1"/>
              <w:bottom w:val="single" w:color="AAAAAA" w:sz="1"/>
              <w:right w:val="single" w:color="AAAAAA" w:sz="1"/>
            </w:tcBorders>
            <w:shd w:fill="EEF2F9" w:val="clear"/>
            <w:tcMar>
              <w:top w:type="dxa" w:w="80"/>
              <w:left w:type="dxa" w:w="120"/>
              <w:bottom w:type="dxa" w:w="80"/>
              <w:right w:type="dxa" w:w="120"/>
            </w:tcMar>
          </w:tcPr>
          <w:p>
            <w:r>
              <w:rPr>
                <w:sz w:val="20"/>
                <w:szCs w:val="20"/>
              </w:rPr>
              <w:t xml:space="preserve">RDS PostgreSQL instance, subnet group, parameter group, Multi-AZ option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redis</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ElastiCache Redis cluster, subnet group, replication group for HA</w:t>
            </w:r>
          </w:p>
        </w:tc>
      </w:tr>
    </w:tbl>
    <w:p>
      <w:pPr>
        <w:spacing w:after="0" w:before="60"/>
      </w:pPr>
      <w:r>
        <w:t xml:space="preserve"/>
      </w:r>
    </w:p>
    <w:p>
      <w:pPr>
        <w:spacing w:after="60" w:before="60"/>
        <w:jc w:val="both"/>
      </w:pPr>
      <w:r>
        <w:rPr>
          <w:sz w:val="22"/>
          <w:szCs w:val="22"/>
        </w:rPr>
        <w:t xml:space="preserve">Each module exposes only the outputs other modules need (e.g., the vpc module outputs subnet IDs that the eks and rds modules consume as inputs). This enforces clear dependency boundaries and avoids circular references.</w:t>
      </w:r>
    </w:p>
    <w:p>
      <w:pPr>
        <w:spacing w:after="0" w:before="60"/>
      </w:pPr>
      <w:r>
        <w:t xml:space="preserve"/>
      </w:r>
    </w:p>
    <w:p>
      <w:pPr>
        <w:pStyle w:val="Heading2"/>
        <w:spacing w:after="80" w:before="240"/>
      </w:pPr>
      <w:r>
        <w:rPr>
          <w:b/>
          <w:bCs/>
          <w:color w:val="2E5A9E"/>
          <w:sz w:val="24"/>
          <w:szCs w:val="24"/>
        </w:rPr>
        <w:t xml:space="preserve">2. Remote State Management</w:t>
      </w:r>
    </w:p>
    <w:p>
      <w:pPr>
        <w:spacing w:after="60" w:before="60"/>
        <w:jc w:val="both"/>
      </w:pPr>
      <w:r>
        <w:rPr>
          <w:sz w:val="22"/>
          <w:szCs w:val="22"/>
        </w:rPr>
        <w:t xml:space="preserve">Terraform state is stored in an S3 bucket (versioning enabled, server-side encryption with KMS) with a DynamoDB table providing state locking. This prevents concurrent apply operations from corrupting state — a critical safeguard in team environments where multiple engineers might trigger pipeline runs simultaneously. The backend configuration is defined per environment:</w:t>
      </w:r>
    </w:p>
    <w:p>
      <w:pPr>
        <w:pStyle w:val="ListParagraph"/>
        <w:numPr>
          <w:ilvl w:val="0"/>
          <w:numId w:val="2"/>
        </w:numPr>
        <w:spacing w:after="40" w:before="40"/>
      </w:pPr>
      <w:r>
        <w:rPr>
          <w:sz w:val="22"/>
          <w:szCs w:val="22"/>
        </w:rPr>
        <w:t xml:space="preserve">dev: s3://company-tf-state/dev/terraform.tfstate</w:t>
      </w:r>
    </w:p>
    <w:p>
      <w:pPr>
        <w:pStyle w:val="ListParagraph"/>
        <w:numPr>
          <w:ilvl w:val="0"/>
          <w:numId w:val="2"/>
        </w:numPr>
        <w:spacing w:after="40" w:before="40"/>
      </w:pPr>
      <w:r>
        <w:rPr>
          <w:sz w:val="22"/>
          <w:szCs w:val="22"/>
        </w:rPr>
        <w:t xml:space="preserve">staging: s3://company-tf-state/staging/terraform.tfstate</w:t>
      </w:r>
    </w:p>
    <w:p>
      <w:pPr>
        <w:pStyle w:val="ListParagraph"/>
        <w:numPr>
          <w:ilvl w:val="0"/>
          <w:numId w:val="2"/>
        </w:numPr>
        <w:spacing w:after="40" w:before="40"/>
      </w:pPr>
      <w:r>
        <w:rPr>
          <w:sz w:val="22"/>
          <w:szCs w:val="22"/>
        </w:rPr>
        <w:t xml:space="preserve">prod: s3://company-tf-state/prod/terraform.tfstate</w:t>
      </w:r>
    </w:p>
    <w:p>
      <w:pPr>
        <w:spacing w:after="0" w:before="60"/>
      </w:pPr>
      <w:r>
        <w:t xml:space="preserve"/>
      </w:r>
    </w:p>
    <w:p>
      <w:pPr>
        <w:pStyle w:val="Heading2"/>
        <w:spacing w:after="80" w:before="240"/>
      </w:pPr>
      <w:r>
        <w:rPr>
          <w:b/>
          <w:bCs/>
          <w:color w:val="2E5A9E"/>
          <w:sz w:val="24"/>
          <w:szCs w:val="24"/>
        </w:rPr>
        <w:t xml:space="preserve">3. Environment Separation</w:t>
      </w:r>
    </w:p>
    <w:p>
      <w:pPr>
        <w:spacing w:after="60" w:before="60"/>
        <w:jc w:val="both"/>
      </w:pPr>
      <w:r>
        <w:rPr>
          <w:sz w:val="22"/>
          <w:szCs w:val="22"/>
        </w:rPr>
        <w:t xml:space="preserve">Rather than Terraform workspaces (which share the same codebase and are error-prone when environments diverge significantly), we use a folder-based structure: environments/dev/, environments/staging/, environments/prod/. Each folder has its own terraform.tfvars defining environment-specific values like instance sizes, min/max node counts, and multi-AZ flags. This makes it impossible to accidentally apply prod values to dev.</w:t>
      </w:r>
    </w:p>
    <w:p>
      <w:pPr>
        <w:spacing w:after="0" w:before="60"/>
      </w:pPr>
      <w:r>
        <w:t xml:space="preserve"/>
      </w:r>
    </w:p>
    <w:p>
      <w:pPr>
        <w:pStyle w:val="Heading2"/>
        <w:spacing w:after="80" w:before="240"/>
      </w:pPr>
      <w:r>
        <w:rPr>
          <w:b/>
          <w:bCs/>
          <w:color w:val="2E5A9E"/>
          <w:sz w:val="24"/>
          <w:szCs w:val="24"/>
        </w:rPr>
        <w:t xml:space="preserve">4. Multi-Region Infrastructure Provisioning</w:t>
      </w:r>
    </w:p>
    <w:p>
      <w:pPr>
        <w:spacing w:after="60" w:before="60"/>
        <w:jc w:val="both"/>
      </w:pPr>
      <w:r>
        <w:rPr>
          <w:sz w:val="22"/>
          <w:szCs w:val="22"/>
        </w:rPr>
        <w:t xml:space="preserve">For the secondary region (us-west-2), Terraform uses a provider alias:</w:t>
      </w:r>
    </w:p>
    <w:p>
      <w:pPr>
        <w:shd w:fill="F2F2F2" w:val="clear"/>
        <w:spacing w:after="60" w:before="60"/>
        <w:ind w:left="360"/>
      </w:pPr>
      <w:r>
        <w:rPr>
          <w:rFonts w:ascii="Courier New" w:cs="Courier New" w:eastAsia="Courier New" w:hAnsi="Courier New"/>
          <w:color w:val="333333"/>
          <w:sz w:val="20"/>
          <w:szCs w:val="20"/>
        </w:rPr>
        <w:t xml:space="preserve">provider "aws" { alias = "secondary"; region = "us-west-2" }</w:t>
      </w:r>
    </w:p>
    <w:p>
      <w:pPr>
        <w:spacing w:after="60" w:before="60"/>
        <w:jc w:val="both"/>
      </w:pPr>
      <w:r>
        <w:rPr>
          <w:sz w:val="22"/>
          <w:szCs w:val="22"/>
        </w:rPr>
        <w:t xml:space="preserve">Each module that needs to exist in both regions accepts a providers argument. Each region has its own state file to prevent cross-region state coupling. Dependency handling is explicit: the VPC module for a region must complete before EKS, which must complete before RDS. Terraform’s depends_on and module output chaining enforce this order automatically.</w:t>
      </w:r>
    </w:p>
    <w:p>
      <w:pPr>
        <w:spacing w:after="0" w:before="60"/>
      </w:pPr>
      <w:r>
        <w:t xml:space="preserve"/>
      </w:r>
    </w:p>
    <w:p>
      <w:pPr>
        <w:pStyle w:val="Heading2"/>
        <w:spacing w:after="80" w:before="240"/>
      </w:pPr>
      <w:r>
        <w:rPr>
          <w:b/>
          <w:bCs/>
          <w:color w:val="2E5A9E"/>
          <w:sz w:val="24"/>
          <w:szCs w:val="24"/>
        </w:rPr>
        <w:t xml:space="preserve">5. Key Challenges</w:t>
      </w:r>
    </w:p>
    <w:p>
      <w:pPr>
        <w:pStyle w:val="ListParagraph"/>
        <w:numPr>
          <w:ilvl w:val="0"/>
          <w:numId w:val="2"/>
        </w:numPr>
        <w:spacing w:after="40" w:before="40"/>
      </w:pPr>
      <w:r>
        <w:rPr>
          <w:sz w:val="22"/>
          <w:szCs w:val="22"/>
        </w:rPr>
        <w:t xml:space="preserve">State drift: Mitigated by running terraform plan in CI on every pull request and enforcing that no manual AWS console changes are allowed in prod.</w:t>
      </w:r>
    </w:p>
    <w:p>
      <w:pPr>
        <w:pStyle w:val="ListParagraph"/>
        <w:numPr>
          <w:ilvl w:val="0"/>
          <w:numId w:val="2"/>
        </w:numPr>
        <w:spacing w:after="40" w:before="40"/>
      </w:pPr>
      <w:r>
        <w:rPr>
          <w:sz w:val="22"/>
          <w:szCs w:val="22"/>
        </w:rPr>
        <w:t xml:space="preserve">Region synchronisation: Module versions must be identical across regions. A shared module registry (or pinned Git tag) ensures both regions are always on the same infrastructure version.</w:t>
      </w:r>
    </w:p>
    <w:p>
      <w:pPr>
        <w:pStyle w:val="ListParagraph"/>
        <w:numPr>
          <w:ilvl w:val="0"/>
          <w:numId w:val="2"/>
        </w:numPr>
        <w:spacing w:after="40" w:before="40"/>
      </w:pPr>
      <w:r>
        <w:rPr>
          <w:sz w:val="22"/>
          <w:szCs w:val="22"/>
        </w:rPr>
        <w:t xml:space="preserve">Cross-region data resources: Some data sources (e.g., AMI IDs) differ per region and must use the correct provider alias, which requires careful variable templating.</w:t>
      </w:r>
    </w:p>
    <w:p>
      <w:pPr>
        <w:spacing w:after="0" w:before="120"/>
      </w:pPr>
      <w:r>
        <w:t xml:space="preserve"/>
      </w:r>
    </w:p>
    <w:p>
      <w:pPr>
        <w:pStyle w:val="Heading1"/>
        <w:pBdr>
          <w:bottom w:val="single" w:color="2E5A9E" w:sz="4" w:space="6"/>
        </w:pBdr>
        <w:spacing w:after="120" w:before="360"/>
      </w:pPr>
      <w:r>
        <w:rPr>
          <w:b/>
          <w:bCs/>
          <w:color w:val="1F3864"/>
          <w:sz w:val="28"/>
          <w:szCs w:val="28"/>
        </w:rPr>
        <w:t xml:space="preserve">(c) Docker &amp; Image Strategy  [3 Marks]</w:t>
      </w:r>
    </w:p>
    <w:p>
      <w:pPr>
        <w:pStyle w:val="Heading2"/>
        <w:spacing w:after="80" w:before="240"/>
      </w:pPr>
      <w:r>
        <w:rPr>
          <w:b/>
          <w:bCs/>
          <w:color w:val="2E5A9E"/>
          <w:sz w:val="24"/>
          <w:szCs w:val="24"/>
        </w:rPr>
        <w:t xml:space="preserve">1. Dockerfile Optimisation for Production</w:t>
      </w:r>
    </w:p>
    <w:p>
      <w:pPr>
        <w:spacing w:after="60" w:before="60"/>
        <w:jc w:val="both"/>
      </w:pPr>
      <w:r>
        <w:rPr>
          <w:sz w:val="22"/>
          <w:szCs w:val="22"/>
        </w:rPr>
        <w:t xml:space="preserve">Every Dockerfile uses multi-stage builds to keep the final image small and free of build tooling. The build stage compiles the application; the runtime stage copies only the compiled artefact into a minimal base image (e.g., python:3.12-slim or node:20-alpine). A typical backend build:</w:t>
      </w:r>
    </w:p>
    <w:p>
      <w:pPr>
        <w:shd w:fill="F2F4FB" w:val="clear"/>
        <w:spacing w:after="80" w:before="80"/>
        <w:ind w:left="360"/>
      </w:pPr>
      <w:r>
        <w:rPr>
          <w:rFonts w:ascii="Courier New" w:cs="Courier New" w:eastAsia="Courier New" w:hAnsi="Courier New"/>
          <w:color w:val="1F3864"/>
          <w:sz w:val="18"/>
          <w:szCs w:val="18"/>
        </w:rPr>
        <w:t xml:space="preserve">FROM node:20-alpine AS builder
WORKDIR /app
COPY package*.json ./
RUN npm ci --only=production
COPY . .
RUN npm run build
FROM node:20-alpine
WORKDIR /app
COPY --from=builder /app/dist ./dist
COPY --from=builder /app/node_modules ./node_modules
USER node
CMD ["node", "dist/server.js"]</w:t>
      </w:r>
    </w:p>
    <w:p>
      <w:pPr>
        <w:spacing w:after="60" w:before="60"/>
        <w:jc w:val="both"/>
      </w:pPr>
      <w:r>
        <w:rPr>
          <w:sz w:val="22"/>
          <w:szCs w:val="22"/>
        </w:rPr>
        <w:t xml:space="preserve">Dependencies are copied and installed before application code so Docker layer caching is maximised — a code change only invalidates the last layer, not the entire npm install step. This cuts CI build times significantly.</w:t>
      </w:r>
    </w:p>
    <w:p>
      <w:pPr>
        <w:spacing w:after="0" w:before="60"/>
      </w:pPr>
      <w:r>
        <w:t xml:space="preserve"/>
      </w:r>
    </w:p>
    <w:p>
      <w:pPr>
        <w:pStyle w:val="Heading2"/>
        <w:spacing w:after="80" w:before="240"/>
      </w:pPr>
      <w:r>
        <w:rPr>
          <w:b/>
          <w:bCs/>
          <w:color w:val="2E5A9E"/>
          <w:sz w:val="24"/>
          <w:szCs w:val="24"/>
        </w:rPr>
        <w:t xml:space="preserve">2. Security Hardening</w:t>
      </w:r>
    </w:p>
    <w:p>
      <w:pPr>
        <w:pStyle w:val="ListParagraph"/>
        <w:numPr>
          <w:ilvl w:val="0"/>
          <w:numId w:val="2"/>
        </w:numPr>
        <w:spacing w:after="40" w:before="40"/>
      </w:pPr>
      <w:r>
        <w:rPr>
          <w:sz w:val="22"/>
          <w:szCs w:val="22"/>
        </w:rPr>
        <w:t xml:space="preserve">Non-root user: Every Dockerfile ends with USER node or USER appuser. Running as root inside a container is a serious security risk that violates container best practices.</w:t>
      </w:r>
    </w:p>
    <w:p>
      <w:pPr>
        <w:pStyle w:val="ListParagraph"/>
        <w:numPr>
          <w:ilvl w:val="0"/>
          <w:numId w:val="2"/>
        </w:numPr>
        <w:spacing w:after="40" w:before="40"/>
      </w:pPr>
      <w:r>
        <w:rPr>
          <w:sz w:val="22"/>
          <w:szCs w:val="22"/>
        </w:rPr>
        <w:t xml:space="preserve">Minimal base images: alpine and slim variants contain only the OS essentials, dramatically reducing the attack surface.</w:t>
      </w:r>
    </w:p>
    <w:p>
      <w:pPr>
        <w:pStyle w:val="ListParagraph"/>
        <w:numPr>
          <w:ilvl w:val="0"/>
          <w:numId w:val="2"/>
        </w:numPr>
        <w:spacing w:after="40" w:before="40"/>
      </w:pPr>
      <w:r>
        <w:rPr>
          <w:sz w:val="22"/>
          <w:szCs w:val="22"/>
        </w:rPr>
        <w:t xml:space="preserve">Vulnerability scanning: Trivy is integrated into the CI pipeline and fails the build if any HIGH or CRITICAL CVEs are detected in the image.</w:t>
      </w:r>
    </w:p>
    <w:p>
      <w:pPr>
        <w:pStyle w:val="ListParagraph"/>
        <w:numPr>
          <w:ilvl w:val="0"/>
          <w:numId w:val="2"/>
        </w:numPr>
        <w:spacing w:after="40" w:before="40"/>
      </w:pPr>
      <w:r>
        <w:rPr>
          <w:sz w:val="22"/>
          <w:szCs w:val="22"/>
        </w:rPr>
        <w:t xml:space="preserve">No secrets in images: All credentials are injected at runtime via Kubernetes Secrets or AWS Secrets Manager — never baked into layers.</w:t>
      </w:r>
    </w:p>
    <w:p>
      <w:pPr>
        <w:spacing w:after="0" w:before="60"/>
      </w:pPr>
      <w:r>
        <w:t xml:space="preserve"/>
      </w:r>
    </w:p>
    <w:p>
      <w:pPr>
        <w:pStyle w:val="Heading2"/>
        <w:spacing w:after="80" w:before="240"/>
      </w:pPr>
      <w:r>
        <w:rPr>
          <w:b/>
          <w:bCs/>
          <w:color w:val="2E5A9E"/>
          <w:sz w:val="24"/>
          <w:szCs w:val="24"/>
        </w:rPr>
        <w:t xml:space="preserve">3. Image Versioning &amp; Registry</w:t>
      </w:r>
    </w:p>
    <w:p>
      <w:pPr>
        <w:spacing w:after="60" w:before="60"/>
        <w:jc w:val="both"/>
      </w:pPr>
      <w:r>
        <w:rPr>
          <w:sz w:val="22"/>
          <w:szCs w:val="22"/>
        </w:rPr>
        <w:t xml:space="preserve">Images are tagged with the Git commit SHA (e.g., registry/backend:a3f8c21) rather than :latest. This provides an immutable, traceable link between every running container and the exact code it contains. Semantic version tags (v1.2.3) are added for release branches. Images are stored in Amazon ECR, which integrates natively with IAM for access control and supports automatic lifecycle policies to delete untagged images older than 30 days, keeping storage costs low.</w:t>
      </w:r>
    </w:p>
    <w:p>
      <w:pPr>
        <w:spacing w:after="0" w:before="60"/>
      </w:pPr>
      <w:r>
        <w:t xml:space="preserve"/>
      </w:r>
    </w:p>
    <w:p>
      <w:pPr>
        <w:pStyle w:val="Heading2"/>
        <w:spacing w:after="80" w:before="240"/>
      </w:pPr>
      <w:r>
        <w:rPr>
          <w:b/>
          <w:bCs/>
          <w:color w:val="2E5A9E"/>
          <w:sz w:val="24"/>
          <w:szCs w:val="24"/>
        </w:rPr>
        <w:t xml:space="preserve">4. CI/CD Integration</w:t>
      </w:r>
    </w:p>
    <w:p>
      <w:pPr>
        <w:spacing w:after="60" w:before="60"/>
        <w:jc w:val="both"/>
      </w:pPr>
      <w:r>
        <w:rPr>
          <w:sz w:val="22"/>
          <w:szCs w:val="22"/>
        </w:rPr>
        <w:t xml:space="preserve">On every push to main or a release branch, GitHub Actions builds the image, runs Trivy scanning, and pushes to ECR with the commit SHA tag. The subsequent Argo CD deployment references this exact tag, ensuring what was tested in CI is exactly what runs in production. There is no human step between build and deploy; the image tag is updated in the Kubernetes manifest repository automatically by the pipeline.</w:t>
      </w:r>
    </w:p>
    <w:p>
      <w:pPr>
        <w:spacing w:after="0" w:before="120"/>
      </w:pPr>
      <w:r>
        <w:t xml:space="preserve"/>
      </w:r>
    </w:p>
    <w:p>
      <w:pPr>
        <w:pStyle w:val="Heading1"/>
        <w:pBdr>
          <w:bottom w:val="single" w:color="2E5A9E" w:sz="4" w:space="6"/>
        </w:pBdr>
        <w:spacing w:after="120" w:before="360"/>
      </w:pPr>
      <w:r>
        <w:rPr>
          <w:b/>
          <w:bCs/>
          <w:color w:val="1F3864"/>
          <w:sz w:val="28"/>
          <w:szCs w:val="28"/>
        </w:rPr>
        <w:t xml:space="preserve">(d) Kubernetes Deployment  [4 Marks]</w:t>
      </w:r>
    </w:p>
    <w:p>
      <w:pPr>
        <w:pStyle w:val="Heading2"/>
        <w:spacing w:after="80" w:before="240"/>
      </w:pPr>
      <w:r>
        <w:rPr>
          <w:b/>
          <w:bCs/>
          <w:color w:val="2E5A9E"/>
          <w:sz w:val="24"/>
          <w:szCs w:val="24"/>
        </w:rPr>
        <w:t xml:space="preserve">1. Zero-Downtime Deployments</w:t>
      </w:r>
    </w:p>
    <w:p>
      <w:pPr>
        <w:spacing w:after="60" w:before="60"/>
        <w:jc w:val="both"/>
      </w:pPr>
      <w:r>
        <w:rPr>
          <w:sz w:val="22"/>
          <w:szCs w:val="22"/>
        </w:rPr>
        <w:t xml:space="preserve">All Deployments use RollingUpdate strategy with maxUnavailable: 0 and maxSurge: 1. This means Kubernetes brings up one new pod before taking down an old one, guaranteeing at least the current replica count is always serving traffic. Critically, every pod defines readinessProbe pointing at a health-check endpoint (e.g., /healthz). Kubernetes will not route any traffic to a new pod until it passes the readiness check, preventing the scenario where a pod is registered in the Service before the application is ready to handle requests.</w:t>
      </w:r>
    </w:p>
    <w:p>
      <w:pPr>
        <w:pStyle w:val="ListParagraph"/>
        <w:numPr>
          <w:ilvl w:val="0"/>
          <w:numId w:val="2"/>
        </w:numPr>
        <w:spacing w:after="40" w:before="40"/>
      </w:pPr>
      <w:r>
        <w:rPr>
          <w:sz w:val="22"/>
          <w:szCs w:val="22"/>
        </w:rPr>
        <w:t xml:space="preserve">livenessProbe restarts pods that are hung or deadlocked without human intervention.</w:t>
      </w:r>
    </w:p>
    <w:p>
      <w:pPr>
        <w:pStyle w:val="ListParagraph"/>
        <w:numPr>
          <w:ilvl w:val="0"/>
          <w:numId w:val="2"/>
        </w:numPr>
        <w:spacing w:after="40" w:before="40"/>
      </w:pPr>
      <w:r>
        <w:rPr>
          <w:sz w:val="22"/>
          <w:szCs w:val="22"/>
        </w:rPr>
        <w:t xml:space="preserve">preStop hooks with a short sleep (e.g., 5s) are added to give the load balancer time to drain connections before the pod receives SIGTERM.</w:t>
      </w:r>
    </w:p>
    <w:p>
      <w:pPr>
        <w:pStyle w:val="ListParagraph"/>
        <w:numPr>
          <w:ilvl w:val="0"/>
          <w:numId w:val="2"/>
        </w:numPr>
        <w:spacing w:after="40" w:before="40"/>
      </w:pPr>
      <w:r>
        <w:rPr>
          <w:sz w:val="22"/>
          <w:szCs w:val="22"/>
        </w:rPr>
        <w:t xml:space="preserve">terminationGracePeriodSeconds is set to at least 30 seconds to allow in-flight requests to complete.</w:t>
      </w:r>
    </w:p>
    <w:p>
      <w:pPr>
        <w:spacing w:after="0" w:before="60"/>
      </w:pPr>
      <w:r>
        <w:t xml:space="preserve"/>
      </w:r>
    </w:p>
    <w:p>
      <w:pPr>
        <w:pStyle w:val="Heading2"/>
        <w:spacing w:after="80" w:before="240"/>
      </w:pPr>
      <w:r>
        <w:rPr>
          <w:b/>
          <w:bCs/>
          <w:color w:val="2E5A9E"/>
          <w:sz w:val="24"/>
          <w:szCs w:val="24"/>
        </w:rPr>
        <w:t xml:space="preserve">2. Autoscaling</w:t>
      </w:r>
    </w:p>
    <w:p>
      <w:pPr>
        <w:spacing w:after="60" w:before="60"/>
        <w:jc w:val="both"/>
      </w:pPr>
      <w:r>
        <w:rPr>
          <w:sz w:val="22"/>
          <w:szCs w:val="22"/>
        </w:rPr>
        <w:t xml:space="preserve">Horizontal Pod Autoscaler (HPA) is preferred over VPA for stateless services because it scales by adding/removing pod replicas rather than resizing individual pods (which requires restarts). HPA is configured with two metrics simultaneously:</w:t>
      </w:r>
    </w:p>
    <w:p>
      <w:pPr>
        <w:pStyle w:val="ListParagraph"/>
        <w:numPr>
          <w:ilvl w:val="0"/>
          <w:numId w:val="2"/>
        </w:numPr>
        <w:spacing w:after="40" w:before="40"/>
      </w:pPr>
      <w:r>
        <w:rPr>
          <w:sz w:val="22"/>
          <w:szCs w:val="22"/>
        </w:rPr>
        <w:t xml:space="preserve">CPU utilisation: Target 60% — scales out before the service becomes overloaded.</w:t>
      </w:r>
    </w:p>
    <w:p>
      <w:pPr>
        <w:pStyle w:val="ListParagraph"/>
        <w:numPr>
          <w:ilvl w:val="0"/>
          <w:numId w:val="2"/>
        </w:numPr>
        <w:spacing w:after="40" w:before="40"/>
      </w:pPr>
      <w:r>
        <w:rPr>
          <w:sz w:val="22"/>
          <w:szCs w:val="22"/>
        </w:rPr>
        <w:t xml:space="preserve">Custom request-rate metric via Prometheus Adapter: Allows scaling based on actual HTTP throughput, not just CPU, which is more representative for I/O-bound services.</w:t>
      </w:r>
    </w:p>
    <w:p>
      <w:pPr>
        <w:spacing w:after="60" w:before="60"/>
        <w:jc w:val="both"/>
      </w:pPr>
      <w:r>
        <w:rPr>
          <w:sz w:val="22"/>
          <w:szCs w:val="22"/>
        </w:rPr>
        <w:t xml:space="preserve">VPA is used only for the PostgreSQL proxy sidecar or other stateful helpers where horizontal scaling is not straightforward. Cluster Autoscaler runs on EKS to add/remove EC2 nodes when the Kubernetes scheduler cannot place pods due to resource constraints.</w:t>
      </w:r>
    </w:p>
    <w:p>
      <w:pPr>
        <w:spacing w:after="0" w:before="60"/>
      </w:pPr>
      <w:r>
        <w:t xml:space="preserve"/>
      </w:r>
    </w:p>
    <w:p>
      <w:pPr>
        <w:pStyle w:val="Heading2"/>
        <w:spacing w:after="80" w:before="240"/>
      </w:pPr>
      <w:r>
        <w:rPr>
          <w:b/>
          <w:bCs/>
          <w:color w:val="2E5A9E"/>
          <w:sz w:val="24"/>
          <w:szCs w:val="24"/>
        </w:rPr>
        <w:t xml:space="preserve">3. Secret Management</w:t>
      </w:r>
    </w:p>
    <w:p>
      <w:pPr>
        <w:spacing w:after="60" w:before="60"/>
        <w:jc w:val="both"/>
      </w:pPr>
      <w:r>
        <w:rPr>
          <w:sz w:val="22"/>
          <w:szCs w:val="22"/>
        </w:rPr>
        <w:t xml:space="preserve">Kubernetes Secrets alone are insufficient for a fintech application because they are only base64-encoded by default. Our approach: Secrets are stored in AWS Secrets Manager and synced into Kubernetes using the External Secrets Operator (ESO). ESO watches SecretStore custom resources, fetches values from Secrets Manager, and creates native Kubernetes Secret objects that pods consume normally via environment variables or volume mounts. This means:</w:t>
      </w:r>
    </w:p>
    <w:p>
      <w:pPr>
        <w:pStyle w:val="ListParagraph"/>
        <w:numPr>
          <w:ilvl w:val="0"/>
          <w:numId w:val="2"/>
        </w:numPr>
        <w:spacing w:after="40" w:before="40"/>
      </w:pPr>
      <w:r>
        <w:rPr>
          <w:sz w:val="22"/>
          <w:szCs w:val="22"/>
        </w:rPr>
        <w:t xml:space="preserve">Secrets are rotated in Secrets Manager and automatically propagated to pods within minutes.</w:t>
      </w:r>
    </w:p>
    <w:p>
      <w:pPr>
        <w:pStyle w:val="ListParagraph"/>
        <w:numPr>
          <w:ilvl w:val="0"/>
          <w:numId w:val="2"/>
        </w:numPr>
        <w:spacing w:after="40" w:before="40"/>
      </w:pPr>
      <w:r>
        <w:rPr>
          <w:sz w:val="22"/>
          <w:szCs w:val="22"/>
        </w:rPr>
        <w:t xml:space="preserve">No secret values ever appear in Git, Terraform state, or Docker images.</w:t>
      </w:r>
    </w:p>
    <w:p>
      <w:pPr>
        <w:pStyle w:val="ListParagraph"/>
        <w:numPr>
          <w:ilvl w:val="0"/>
          <w:numId w:val="2"/>
        </w:numPr>
        <w:spacing w:after="40" w:before="40"/>
      </w:pPr>
      <w:r>
        <w:rPr>
          <w:sz w:val="22"/>
          <w:szCs w:val="22"/>
        </w:rPr>
        <w:t xml:space="preserve">IAM roles for service accounts (IRSA) are used to grant pods the minimum AWS permissions needed — the backend pod’s service account can only read the specific secrets it needs.</w:t>
      </w:r>
    </w:p>
    <w:p>
      <w:pPr>
        <w:spacing w:after="0" w:before="60"/>
      </w:pPr>
      <w:r>
        <w:t xml:space="preserve"/>
      </w:r>
    </w:p>
    <w:p>
      <w:pPr>
        <w:pStyle w:val="Heading2"/>
        <w:spacing w:after="80" w:before="240"/>
      </w:pPr>
      <w:r>
        <w:rPr>
          <w:b/>
          <w:bCs/>
          <w:color w:val="2E5A9E"/>
          <w:sz w:val="24"/>
          <w:szCs w:val="24"/>
        </w:rPr>
        <w:t xml:space="preserve">4. Inter-Service Communication</w:t>
      </w:r>
    </w:p>
    <w:p>
      <w:pPr>
        <w:spacing w:after="60" w:before="60"/>
        <w:jc w:val="both"/>
      </w:pPr>
      <w:r>
        <w:rPr>
          <w:sz w:val="22"/>
          <w:szCs w:val="22"/>
        </w:rPr>
        <w:t xml:space="preserve">All services communicate over ClusterIP Services by DNS name (e.g., http://backend-service.default.svc.cluster.local). We deploy Istio as a service mesh to add mutual TLS (mTLS) between all pods automatically, without requiring application code changes. Istio also provides circuit breaking (via DestinationRule), retries, and timeout policies, making the system resilient to transient failures. Network Policies restrict which pods can communicate with which — frontend pods cannot directly reach the database, only the backend can.</w:t>
      </w:r>
    </w:p>
    <w:p>
      <w:pPr>
        <w:spacing w:after="0" w:before="60"/>
      </w:pPr>
      <w:r>
        <w:t xml:space="preserve"/>
      </w:r>
    </w:p>
    <w:p>
      <w:pPr>
        <w:pStyle w:val="Heading2"/>
        <w:spacing w:after="80" w:before="240"/>
      </w:pPr>
      <w:r>
        <w:rPr>
          <w:b/>
          <w:bCs/>
          <w:color w:val="2E5A9E"/>
          <w:sz w:val="24"/>
          <w:szCs w:val="24"/>
        </w:rPr>
        <w:t xml:space="preserve">5. GitOps with Argo CD</w:t>
      </w:r>
    </w:p>
    <w:p>
      <w:pPr>
        <w:spacing w:after="60" w:before="60"/>
        <w:jc w:val="both"/>
      </w:pPr>
      <w:r>
        <w:rPr>
          <w:sz w:val="22"/>
          <w:szCs w:val="22"/>
        </w:rPr>
        <w:t xml:space="preserve">Argo CD continuously monitors a dedicated Git repository (the ‘GitOps repo’) containing all Kubernetes manifests. When GitHub Actions updates the image tag in this repo after a successful build, Argo CD detects the drift between the desired state (Git) and actual state (cluster) and reconciles automatically. This means deployments are fully auditable — every change in the cluster maps to a Git commit with an author, message, and timestamp. Rollback is as simple as reverting the Git commit and letting Argo CD sync.</w:t>
      </w:r>
    </w:p>
    <w:p>
      <w:pPr>
        <w:spacing w:after="0" w:before="120"/>
      </w:pPr>
      <w:r>
        <w:t xml:space="preserve"/>
      </w:r>
    </w:p>
    <w:p>
      <w:pPr>
        <w:pStyle w:val="Heading1"/>
        <w:pBdr>
          <w:bottom w:val="single" w:color="2E5A9E" w:sz="4" w:space="6"/>
        </w:pBdr>
        <w:spacing w:after="120" w:before="360"/>
      </w:pPr>
      <w:r>
        <w:rPr>
          <w:b/>
          <w:bCs/>
          <w:color w:val="1F3864"/>
          <w:sz w:val="28"/>
          <w:szCs w:val="28"/>
        </w:rPr>
        <w:t xml:space="preserve">(e) CI/CD Pipeline Design  [3 Marks]</w:t>
      </w:r>
    </w:p>
    <w:p>
      <w:pPr>
        <w:pStyle w:val="Heading2"/>
        <w:spacing w:after="80" w:before="240"/>
      </w:pPr>
      <w:r>
        <w:rPr>
          <w:b/>
          <w:bCs/>
          <w:color w:val="2E5A9E"/>
          <w:sz w:val="24"/>
          <w:szCs w:val="24"/>
        </w:rPr>
        <w:t xml:space="preserve">Pipeline Overview</w:t>
      </w:r>
    </w:p>
    <w:p>
      <w:pPr>
        <w:spacing w:after="60" w:before="60"/>
        <w:jc w:val="both"/>
      </w:pPr>
      <w:r>
        <w:rPr>
          <w:sz w:val="22"/>
          <w:szCs w:val="22"/>
        </w:rPr>
        <w:t xml:space="preserve">The pipeline is split across two tools with distinct responsibilities: GitHub Actions handles build, test, and image publishing; Argo CD handles deployment into Kubernetes. This separation of concerns is intentional — it avoids giving the CI system direct kubectl access to production clusters, which is a common security anti-pattern.</w:t>
      </w:r>
    </w:p>
    <w:p>
      <w:pPr>
        <w:spacing w:after="0" w:before="60"/>
      </w:pPr>
      <w:r>
        <w:t xml:space="preserve"/>
      </w:r>
    </w:p>
    <w:p>
      <w:pPr>
        <w:pStyle w:val="Heading2"/>
        <w:spacing w:after="80" w:before="240"/>
      </w:pPr>
      <w:r>
        <w:rPr>
          <w:b/>
          <w:bCs/>
          <w:color w:val="2E5A9E"/>
          <w:sz w:val="24"/>
          <w:szCs w:val="24"/>
        </w:rPr>
        <w:t xml:space="preserve">GitHub Actions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2E5A9E" w:sz="1"/>
              <w:left w:val="single" w:color="2E5A9E" w:sz="1"/>
              <w:bottom w:val="single" w:color="2E5A9E" w:sz="1"/>
              <w:right w:val="single" w:color="2E5A9E" w:sz="1"/>
            </w:tcBorders>
            <w:shd w:fill="2E5A9E" w:val="clear"/>
            <w:tcMar>
              <w:top w:type="dxa" w:w="80"/>
              <w:left w:type="dxa" w:w="120"/>
              <w:bottom w:type="dxa" w:w="80"/>
              <w:right w:type="dxa" w:w="120"/>
            </w:tcMar>
          </w:tcPr>
          <w:p>
            <w:r>
              <w:rPr>
                <w:b/>
                <w:bCs/>
                <w:color w:val="FFFFFF"/>
                <w:sz w:val="20"/>
                <w:szCs w:val="20"/>
              </w:rPr>
              <w:t xml:space="preserve">Stage</w:t>
            </w:r>
          </w:p>
        </w:tc>
        <w:tc>
          <w:tcPr>
            <w:tcW w:type="dxa" w:w="2400"/>
            <w:tcBorders>
              <w:top w:val="single" w:color="2E5A9E" w:sz="1"/>
              <w:left w:val="single" w:color="2E5A9E" w:sz="1"/>
              <w:bottom w:val="single" w:color="2E5A9E" w:sz="1"/>
              <w:right w:val="single" w:color="2E5A9E" w:sz="1"/>
            </w:tcBorders>
            <w:shd w:fill="2E5A9E" w:val="clear"/>
            <w:tcMar>
              <w:top w:type="dxa" w:w="80"/>
              <w:left w:type="dxa" w:w="120"/>
              <w:bottom w:type="dxa" w:w="80"/>
              <w:right w:type="dxa" w:w="120"/>
            </w:tcMar>
          </w:tcPr>
          <w:p>
            <w:r>
              <w:rPr>
                <w:b/>
                <w:bCs/>
                <w:color w:val="FFFFFF"/>
                <w:sz w:val="20"/>
                <w:szCs w:val="20"/>
              </w:rPr>
              <w:t xml:space="preserve">Trigger</w:t>
            </w:r>
          </w:p>
        </w:tc>
        <w:tc>
          <w:tcPr>
            <w:tcW w:type="dxa" w:w="4360"/>
            <w:tcBorders>
              <w:top w:val="single" w:color="2E5A9E" w:sz="1"/>
              <w:left w:val="single" w:color="2E5A9E" w:sz="1"/>
              <w:bottom w:val="single" w:color="2E5A9E" w:sz="1"/>
              <w:right w:val="single" w:color="2E5A9E" w:sz="1"/>
            </w:tcBorders>
            <w:shd w:fill="2E5A9E" w:val="clear"/>
            <w:tcMar>
              <w:top w:type="dxa" w:w="80"/>
              <w:left w:type="dxa" w:w="120"/>
              <w:bottom w:type="dxa" w:w="80"/>
              <w:right w:type="dxa" w:w="120"/>
            </w:tcMar>
          </w:tcPr>
          <w:p>
            <w:r>
              <w:rPr>
                <w:b/>
                <w:bCs/>
                <w:color w:val="FFFFFF"/>
                <w:sz w:val="20"/>
                <w:szCs w:val="20"/>
              </w:rPr>
              <w:t xml:space="preserve">What Happens</w:t>
            </w:r>
          </w:p>
        </w:tc>
      </w:tr>
      <w:tr>
        <w:tc>
          <w:tcPr>
            <w:tcW w:type="dxa" w:w="2600"/>
            <w:tcBorders>
              <w:top w:val="single" w:color="AAAAAA" w:sz="1"/>
              <w:left w:val="single" w:color="AAAAAA" w:sz="1"/>
              <w:bottom w:val="single" w:color="AAAAAA" w:sz="1"/>
              <w:right w:val="single" w:color="AAAAAA" w:sz="1"/>
            </w:tcBorders>
            <w:shd w:fill="EEF2F9" w:val="clear"/>
            <w:tcMar>
              <w:top w:type="dxa" w:w="80"/>
              <w:left w:type="dxa" w:w="120"/>
              <w:bottom w:type="dxa" w:w="80"/>
              <w:right w:type="dxa" w:w="120"/>
            </w:tcMar>
          </w:tcPr>
          <w:p>
            <w:r>
              <w:rPr>
                <w:sz w:val="20"/>
                <w:szCs w:val="20"/>
              </w:rPr>
              <w:t xml:space="preserve">Lint &amp; Unit Tests</w:t>
            </w:r>
          </w:p>
        </w:tc>
        <w:tc>
          <w:tcPr>
            <w:tcW w:type="dxa" w:w="2400"/>
            <w:tcBorders>
              <w:top w:val="single" w:color="AAAAAA" w:sz="1"/>
              <w:left w:val="single" w:color="AAAAAA" w:sz="1"/>
              <w:bottom w:val="single" w:color="AAAAAA" w:sz="1"/>
              <w:right w:val="single" w:color="AAAAAA" w:sz="1"/>
            </w:tcBorders>
            <w:shd w:fill="EEF2F9" w:val="clear"/>
            <w:tcMar>
              <w:top w:type="dxa" w:w="80"/>
              <w:left w:type="dxa" w:w="120"/>
              <w:bottom w:type="dxa" w:w="80"/>
              <w:right w:type="dxa" w:w="120"/>
            </w:tcMar>
          </w:tcPr>
          <w:p>
            <w:r>
              <w:rPr>
                <w:sz w:val="20"/>
                <w:szCs w:val="20"/>
              </w:rPr>
              <w:t xml:space="preserve">Every push / PR</w:t>
            </w:r>
          </w:p>
        </w:tc>
        <w:tc>
          <w:tcPr>
            <w:tcW w:type="dxa" w:w="4360"/>
            <w:tcBorders>
              <w:top w:val="single" w:color="AAAAAA" w:sz="1"/>
              <w:left w:val="single" w:color="AAAAAA" w:sz="1"/>
              <w:bottom w:val="single" w:color="AAAAAA" w:sz="1"/>
              <w:right w:val="single" w:color="AAAAAA" w:sz="1"/>
            </w:tcBorders>
            <w:shd w:fill="EEF2F9" w:val="clear"/>
            <w:tcMar>
              <w:top w:type="dxa" w:w="80"/>
              <w:left w:type="dxa" w:w="120"/>
              <w:bottom w:type="dxa" w:w="80"/>
              <w:right w:type="dxa" w:w="120"/>
            </w:tcMar>
          </w:tcPr>
          <w:p>
            <w:r>
              <w:rPr>
                <w:sz w:val="20"/>
                <w:szCs w:val="20"/>
              </w:rPr>
              <w:t xml:space="preserve">ESLint, unit tests, code coverage check; fails fast on any error</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Build Docker Image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Push to main or release/*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Multi-stage Docker build using cached layers</w:t>
            </w:r>
          </w:p>
        </w:tc>
      </w:tr>
      <w:tr>
        <w:tc>
          <w:tcPr>
            <w:tcW w:type="dxa" w:w="2600"/>
            <w:tcBorders>
              <w:top w:val="single" w:color="AAAAAA" w:sz="1"/>
              <w:left w:val="single" w:color="AAAAAA" w:sz="1"/>
              <w:bottom w:val="single" w:color="AAAAAA" w:sz="1"/>
              <w:right w:val="single" w:color="AAAAAA" w:sz="1"/>
            </w:tcBorders>
            <w:shd w:fill="EEF2F9" w:val="clear"/>
            <w:tcMar>
              <w:top w:type="dxa" w:w="80"/>
              <w:left w:type="dxa" w:w="120"/>
              <w:bottom w:type="dxa" w:w="80"/>
              <w:right w:type="dxa" w:w="120"/>
            </w:tcMar>
          </w:tcPr>
          <w:p>
            <w:r>
              <w:rPr>
                <w:sz w:val="20"/>
                <w:szCs w:val="20"/>
              </w:rPr>
              <w:t xml:space="preserve">Security Scan</w:t>
            </w:r>
          </w:p>
        </w:tc>
        <w:tc>
          <w:tcPr>
            <w:tcW w:type="dxa" w:w="2400"/>
            <w:tcBorders>
              <w:top w:val="single" w:color="AAAAAA" w:sz="1"/>
              <w:left w:val="single" w:color="AAAAAA" w:sz="1"/>
              <w:bottom w:val="single" w:color="AAAAAA" w:sz="1"/>
              <w:right w:val="single" w:color="AAAAAA" w:sz="1"/>
            </w:tcBorders>
            <w:shd w:fill="EEF2F9" w:val="clear"/>
            <w:tcMar>
              <w:top w:type="dxa" w:w="80"/>
              <w:left w:type="dxa" w:w="120"/>
              <w:bottom w:type="dxa" w:w="80"/>
              <w:right w:type="dxa" w:w="120"/>
            </w:tcMar>
          </w:tcPr>
          <w:p>
            <w:r>
              <w:rPr>
                <w:sz w:val="20"/>
                <w:szCs w:val="20"/>
              </w:rPr>
              <w:t xml:space="preserve">After build</w:t>
            </w:r>
          </w:p>
        </w:tc>
        <w:tc>
          <w:tcPr>
            <w:tcW w:type="dxa" w:w="4360"/>
            <w:tcBorders>
              <w:top w:val="single" w:color="AAAAAA" w:sz="1"/>
              <w:left w:val="single" w:color="AAAAAA" w:sz="1"/>
              <w:bottom w:val="single" w:color="AAAAAA" w:sz="1"/>
              <w:right w:val="single" w:color="AAAAAA" w:sz="1"/>
            </w:tcBorders>
            <w:shd w:fill="EEF2F9" w:val="clear"/>
            <w:tcMar>
              <w:top w:type="dxa" w:w="80"/>
              <w:left w:type="dxa" w:w="120"/>
              <w:bottom w:type="dxa" w:w="80"/>
              <w:right w:type="dxa" w:w="120"/>
            </w:tcMar>
          </w:tcPr>
          <w:p>
            <w:r>
              <w:rPr>
                <w:sz w:val="20"/>
                <w:szCs w:val="20"/>
              </w:rPr>
              <w:t xml:space="preserve">Trivy scans image; pipeline fails on HIGH/CRITICAL CVEs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Push to ECR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After scan passes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Image pushed with commit SHA tag and branch tag</w:t>
            </w:r>
          </w:p>
        </w:tc>
      </w:tr>
      <w:tr>
        <w:tc>
          <w:tcPr>
            <w:tcW w:type="dxa" w:w="2600"/>
            <w:tcBorders>
              <w:top w:val="single" w:color="AAAAAA" w:sz="1"/>
              <w:left w:val="single" w:color="AAAAAA" w:sz="1"/>
              <w:bottom w:val="single" w:color="AAAAAA" w:sz="1"/>
              <w:right w:val="single" w:color="AAAAAA" w:sz="1"/>
            </w:tcBorders>
            <w:shd w:fill="EEF2F9" w:val="clear"/>
            <w:tcMar>
              <w:top w:type="dxa" w:w="80"/>
              <w:left w:type="dxa" w:w="120"/>
              <w:bottom w:type="dxa" w:w="80"/>
              <w:right w:type="dxa" w:w="120"/>
            </w:tcMar>
          </w:tcPr>
          <w:p>
            <w:r>
              <w:rPr>
                <w:sz w:val="20"/>
                <w:szCs w:val="20"/>
              </w:rPr>
              <w:t xml:space="preserve">Update GitOps Repo</w:t>
            </w:r>
          </w:p>
        </w:tc>
        <w:tc>
          <w:tcPr>
            <w:tcW w:type="dxa" w:w="2400"/>
            <w:tcBorders>
              <w:top w:val="single" w:color="AAAAAA" w:sz="1"/>
              <w:left w:val="single" w:color="AAAAAA" w:sz="1"/>
              <w:bottom w:val="single" w:color="AAAAAA" w:sz="1"/>
              <w:right w:val="single" w:color="AAAAAA" w:sz="1"/>
            </w:tcBorders>
            <w:shd w:fill="EEF2F9" w:val="clear"/>
            <w:tcMar>
              <w:top w:type="dxa" w:w="80"/>
              <w:left w:type="dxa" w:w="120"/>
              <w:bottom w:type="dxa" w:w="80"/>
              <w:right w:type="dxa" w:w="120"/>
            </w:tcMar>
          </w:tcPr>
          <w:p>
            <w:r>
              <w:rPr>
                <w:sz w:val="20"/>
                <w:szCs w:val="20"/>
              </w:rPr>
              <w:t xml:space="preserve">After push</w:t>
            </w:r>
          </w:p>
        </w:tc>
        <w:tc>
          <w:tcPr>
            <w:tcW w:type="dxa" w:w="4360"/>
            <w:tcBorders>
              <w:top w:val="single" w:color="AAAAAA" w:sz="1"/>
              <w:left w:val="single" w:color="AAAAAA" w:sz="1"/>
              <w:bottom w:val="single" w:color="AAAAAA" w:sz="1"/>
              <w:right w:val="single" w:color="AAAAAA" w:sz="1"/>
            </w:tcBorders>
            <w:shd w:fill="EEF2F9" w:val="clear"/>
            <w:tcMar>
              <w:top w:type="dxa" w:w="80"/>
              <w:left w:type="dxa" w:w="120"/>
              <w:bottom w:type="dxa" w:w="80"/>
              <w:right w:type="dxa" w:w="120"/>
            </w:tcMar>
          </w:tcPr>
          <w:p>
            <w:r>
              <w:rPr>
                <w:sz w:val="20"/>
                <w:szCs w:val="20"/>
              </w:rPr>
              <w:t xml:space="preserve">Automated PR or direct commit updating image tag in manifests repo</w:t>
            </w:r>
          </w:p>
        </w:tc>
      </w:tr>
    </w:tbl>
    <w:p>
      <w:pPr>
        <w:spacing w:after="0" w:before="60"/>
      </w:pPr>
      <w:r>
        <w:t xml:space="preserve"/>
      </w:r>
    </w:p>
    <w:p>
      <w:pPr>
        <w:pStyle w:val="Heading2"/>
        <w:spacing w:after="80" w:before="240"/>
      </w:pPr>
      <w:r>
        <w:rPr>
          <w:b/>
          <w:bCs/>
          <w:color w:val="2E5A9E"/>
          <w:sz w:val="24"/>
          <w:szCs w:val="24"/>
        </w:rPr>
        <w:t xml:space="preserve">Argo CD Stages</w:t>
      </w:r>
    </w:p>
    <w:p>
      <w:pPr>
        <w:pStyle w:val="ListParagraph"/>
        <w:numPr>
          <w:ilvl w:val="0"/>
          <w:numId w:val="2"/>
        </w:numPr>
        <w:spacing w:after="40" w:before="40"/>
      </w:pPr>
      <w:r>
        <w:rPr>
          <w:sz w:val="22"/>
          <w:szCs w:val="22"/>
        </w:rPr>
        <w:t xml:space="preserve">Sync Detection: Argo CD polls the GitOps repo every 3 minutes (or via webhook for immediate reaction) and detects when image tags change.</w:t>
      </w:r>
    </w:p>
    <w:p>
      <w:pPr>
        <w:pStyle w:val="ListParagraph"/>
        <w:numPr>
          <w:ilvl w:val="0"/>
          <w:numId w:val="2"/>
        </w:numPr>
        <w:spacing w:after="40" w:before="40"/>
      </w:pPr>
      <w:r>
        <w:rPr>
          <w:sz w:val="22"/>
          <w:szCs w:val="22"/>
        </w:rPr>
        <w:t xml:space="preserve">Progressive Rollout: Argo CD Rollouts (an extension) is used for canary deployments in production — 10% of traffic goes to the new version first, with automated analysis on error rate and latency before full promotion.</w:t>
      </w:r>
    </w:p>
    <w:p>
      <w:pPr>
        <w:pStyle w:val="ListParagraph"/>
        <w:numPr>
          <w:ilvl w:val="0"/>
          <w:numId w:val="2"/>
        </w:numPr>
        <w:spacing w:after="40" w:before="40"/>
      </w:pPr>
      <w:r>
        <w:rPr>
          <w:sz w:val="22"/>
          <w:szCs w:val="22"/>
        </w:rPr>
        <w:t xml:space="preserve">Health Gates: Argo CD checks the health of all Deployments, Services, and Ingress resources before marking a sync as Healthy.</w:t>
      </w:r>
    </w:p>
    <w:p>
      <w:pPr>
        <w:spacing w:after="0" w:before="60"/>
      </w:pPr>
      <w:r>
        <w:t xml:space="preserve"/>
      </w:r>
    </w:p>
    <w:p>
      <w:pPr>
        <w:pStyle w:val="Heading2"/>
        <w:spacing w:after="80" w:before="240"/>
      </w:pPr>
      <w:r>
        <w:rPr>
          <w:b/>
          <w:bCs/>
          <w:color w:val="2E5A9E"/>
          <w:sz w:val="24"/>
          <w:szCs w:val="24"/>
        </w:rPr>
        <w:t xml:space="preserve">Failure Handling &amp; Rollback</w:t>
      </w:r>
    </w:p>
    <w:p>
      <w:pPr>
        <w:spacing w:after="60" w:before="60"/>
        <w:jc w:val="both"/>
      </w:pPr>
      <w:r>
        <w:rPr>
          <w:sz w:val="22"/>
          <w:szCs w:val="22"/>
        </w:rPr>
        <w:t xml:space="preserve">If the Trivy scan detects vulnerabilities, the pipeline stops immediately and no image is pushed. If Argo CD’s canary analysis detects elevated error rates or latency degradation, it automatically aborts the rollout and rolls back to the previous ReplicaSet. Rollback does not require human intervention in normal failure scenarios, though alerts are sent to PagerDuty and Slack. For a manual rollback, an engineer reverts the Git commit in the manifests repo — Argo CD reconciles within seconds.</w:t>
      </w:r>
    </w:p>
    <w:p>
      <w:pPr>
        <w:spacing w:after="0" w:before="120"/>
      </w:pPr>
      <w:r>
        <w:t xml:space="preserve"/>
      </w:r>
    </w:p>
    <w:p>
      <w:pPr>
        <w:pStyle w:val="Heading1"/>
        <w:pBdr>
          <w:bottom w:val="single" w:color="2E5A9E" w:sz="4" w:space="6"/>
        </w:pBdr>
        <w:spacing w:after="120" w:before="360"/>
      </w:pPr>
      <w:r>
        <w:rPr>
          <w:b/>
          <w:bCs/>
          <w:color w:val="1F3864"/>
          <w:sz w:val="28"/>
          <w:szCs w:val="28"/>
        </w:rPr>
        <w:t xml:space="preserve">(f) Failure &amp; Failover Scenario  [2 Marks]</w:t>
      </w:r>
    </w:p>
    <w:p>
      <w:pPr>
        <w:pStyle w:val="Heading2"/>
        <w:spacing w:after="80" w:before="240"/>
      </w:pPr>
      <w:r>
        <w:rPr>
          <w:b/>
          <w:bCs/>
          <w:color w:val="2E5A9E"/>
          <w:sz w:val="24"/>
          <w:szCs w:val="24"/>
        </w:rPr>
        <w:t xml:space="preserve">Scenario: Primary Region (us-east-1) Becomes Unavailable</w:t>
      </w:r>
    </w:p>
    <w:p>
      <w:pPr>
        <w:spacing w:after="0" w:before="60"/>
      </w:pPr>
      <w:r>
        <w:t xml:space="preserve"/>
      </w:r>
    </w:p>
    <w:p>
      <w:pPr>
        <w:pStyle w:val="Heading2"/>
        <w:spacing w:after="80" w:before="240"/>
      </w:pPr>
      <w:r>
        <w:rPr>
          <w:b/>
          <w:bCs/>
          <w:color w:val="2E5A9E"/>
          <w:sz w:val="24"/>
          <w:szCs w:val="24"/>
        </w:rPr>
        <w:t xml:space="preserve">1. Traffic Routing Failover</w:t>
      </w:r>
    </w:p>
    <w:p>
      <w:pPr>
        <w:spacing w:after="60" w:before="60"/>
        <w:jc w:val="both"/>
      </w:pPr>
      <w:r>
        <w:rPr>
          <w:sz w:val="22"/>
          <w:szCs w:val="22"/>
        </w:rPr>
        <w:t xml:space="preserve">DNS is managed by Amazon Route 53 with a health-check-based failover routing policy. A health check continuously monitors the ALB endpoint in us-east-1 (checking /healthz every 10 seconds). When us-east-1 fails the health check three consecutive times (30 seconds), Route 53 automatically updates the DNS record to point to the ALB in us-west-2. Since TTL on the record is set to 60 seconds, clients worldwide see the new IP within approximately 60–90 seconds.</w:t>
      </w:r>
    </w:p>
    <w:p>
      <w:pPr>
        <w:spacing w:after="60" w:before="60"/>
        <w:jc w:val="both"/>
      </w:pPr>
      <w:r>
        <w:rPr>
          <w:sz w:val="22"/>
          <w:szCs w:val="22"/>
        </w:rPr>
        <w:t xml:space="preserve">This approach is DNS-based failover (not traffic-weighted / active-active), which means it is simple, reliable, and requires no application-level awareness of the multi-region topology. The trade-off is that a small window of failed requests exists during the DNS propagation period, which is acceptable for most fintech workloads with appropriate client-side retry logic.</w:t>
      </w:r>
    </w:p>
    <w:p>
      <w:pPr>
        <w:spacing w:after="0" w:before="60"/>
      </w:pPr>
      <w:r>
        <w:t xml:space="preserve"/>
      </w:r>
    </w:p>
    <w:p>
      <w:pPr>
        <w:pStyle w:val="Heading2"/>
        <w:spacing w:after="80" w:before="240"/>
      </w:pPr>
      <w:r>
        <w:rPr>
          <w:b/>
          <w:bCs/>
          <w:color w:val="2E5A9E"/>
          <w:sz w:val="24"/>
          <w:szCs w:val="24"/>
        </w:rPr>
        <w:t xml:space="preserve">2. Data Consistency Between Regions</w:t>
      </w:r>
    </w:p>
    <w:p>
      <w:pPr>
        <w:spacing w:after="60" w:before="60"/>
        <w:jc w:val="both"/>
      </w:pPr>
      <w:r>
        <w:rPr>
          <w:sz w:val="22"/>
          <w:szCs w:val="22"/>
        </w:rPr>
        <w:t xml:space="preserve">RDS PostgreSQL in us-east-1 uses AWS RDS Read Replica cross-region replication to us-west-2. Under normal operation, the secondary region’s replica is read-only. During a failover, the replica is promoted to a standalone writable instance. The Recovery Point Objective (RPO) depends on replication lag, which is typically under 1 minute for standard transaction volumes. Any writes made to the primary in the seconds before the outage that have not yet replicated will be lost — this is a known and accepted trade-off for active-passive over active-active, which is significantly more expensive and complex.</w:t>
      </w:r>
    </w:p>
    <w:p>
      <w:pPr>
        <w:pStyle w:val="ListParagraph"/>
        <w:numPr>
          <w:ilvl w:val="0"/>
          <w:numId w:val="2"/>
        </w:numPr>
        <w:spacing w:after="40" w:before="40"/>
      </w:pPr>
      <w:r>
        <w:rPr>
          <w:sz w:val="22"/>
          <w:szCs w:val="22"/>
        </w:rPr>
        <w:t xml:space="preserve">To minimise data loss, the application uses synchronous writes for critical financial transactions with acknowledgement before responding to the client.</w:t>
      </w:r>
    </w:p>
    <w:p>
      <w:pPr>
        <w:pStyle w:val="ListParagraph"/>
        <w:numPr>
          <w:ilvl w:val="0"/>
          <w:numId w:val="2"/>
        </w:numPr>
        <w:spacing w:after="40" w:before="40"/>
      </w:pPr>
      <w:r>
        <w:rPr>
          <w:sz w:val="22"/>
          <w:szCs w:val="22"/>
        </w:rPr>
        <w:t xml:space="preserve">S3 data (documents, files) is replicated using S3 Cross-Region Replication (CRR) with versioning enabled, so no object-level data is lost.</w:t>
      </w:r>
    </w:p>
    <w:p>
      <w:pPr>
        <w:pStyle w:val="ListParagraph"/>
        <w:numPr>
          <w:ilvl w:val="0"/>
          <w:numId w:val="2"/>
        </w:numPr>
        <w:spacing w:after="40" w:before="40"/>
      </w:pPr>
      <w:r>
        <w:rPr>
          <w:sz w:val="22"/>
          <w:szCs w:val="22"/>
        </w:rPr>
        <w:t xml:space="preserve">After failover, when us-east-1 recovers, a controlled failback process re-syncs data and redirects Route 53 back to the primary — this is done manually to avoid split-brain scenarios.</w:t>
      </w:r>
    </w:p>
    <w:p>
      <w:pPr>
        <w:spacing w:after="0" w:before="60"/>
      </w:pPr>
      <w:r>
        <w:t xml:space="preserve"/>
      </w:r>
    </w:p>
    <w:p>
      <w:pPr>
        <w:pStyle w:val="Heading2"/>
        <w:spacing w:after="80" w:before="240"/>
      </w:pPr>
      <w:r>
        <w:rPr>
          <w:b/>
          <w:bCs/>
          <w:color w:val="2E5A9E"/>
          <w:sz w:val="24"/>
          <w:szCs w:val="24"/>
        </w:rPr>
        <w:t xml:space="preserve">3. Tools &amp; Services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2E5A9E" w:sz="1"/>
              <w:left w:val="single" w:color="2E5A9E" w:sz="1"/>
              <w:bottom w:val="single" w:color="2E5A9E" w:sz="1"/>
              <w:right w:val="single" w:color="2E5A9E" w:sz="1"/>
            </w:tcBorders>
            <w:shd w:fill="2E5A9E" w:val="clear"/>
            <w:tcMar>
              <w:top w:type="dxa" w:w="80"/>
              <w:left w:type="dxa" w:w="120"/>
              <w:bottom w:type="dxa" w:w="80"/>
              <w:right w:type="dxa" w:w="120"/>
            </w:tcMar>
          </w:tcPr>
          <w:p>
            <w:r>
              <w:rPr>
                <w:b/>
                <w:bCs/>
                <w:color w:val="FFFFFF"/>
                <w:sz w:val="20"/>
                <w:szCs w:val="20"/>
              </w:rPr>
              <w:t xml:space="preserve">Concern</w:t>
            </w:r>
          </w:p>
        </w:tc>
        <w:tc>
          <w:tcPr>
            <w:tcW w:type="dxa" w:w="5560"/>
            <w:tcBorders>
              <w:top w:val="single" w:color="2E5A9E" w:sz="1"/>
              <w:left w:val="single" w:color="2E5A9E" w:sz="1"/>
              <w:bottom w:val="single" w:color="2E5A9E" w:sz="1"/>
              <w:right w:val="single" w:color="2E5A9E" w:sz="1"/>
            </w:tcBorders>
            <w:shd w:fill="2E5A9E" w:val="clear"/>
            <w:tcMar>
              <w:top w:type="dxa" w:w="80"/>
              <w:left w:type="dxa" w:w="120"/>
              <w:bottom w:type="dxa" w:w="80"/>
              <w:right w:type="dxa" w:w="120"/>
            </w:tcMar>
          </w:tcPr>
          <w:p>
            <w:r>
              <w:rPr>
                <w:b/>
                <w:bCs/>
                <w:color w:val="FFFFFF"/>
                <w:sz w:val="20"/>
                <w:szCs w:val="20"/>
              </w:rPr>
              <w:t xml:space="preserve">Tool / Service</w:t>
            </w:r>
          </w:p>
        </w:tc>
      </w:tr>
      <w:tr>
        <w:tc>
          <w:tcPr>
            <w:tcW w:type="dxa" w:w="3800"/>
            <w:tcBorders>
              <w:top w:val="single" w:color="AAAAAA" w:sz="1"/>
              <w:left w:val="single" w:color="AAAAAA" w:sz="1"/>
              <w:bottom w:val="single" w:color="AAAAAA" w:sz="1"/>
              <w:right w:val="single" w:color="AAAAAA" w:sz="1"/>
            </w:tcBorders>
            <w:shd w:fill="EEF2F9" w:val="clear"/>
            <w:tcMar>
              <w:top w:type="dxa" w:w="80"/>
              <w:left w:type="dxa" w:w="120"/>
              <w:bottom w:type="dxa" w:w="80"/>
              <w:right w:type="dxa" w:w="120"/>
            </w:tcMar>
          </w:tcPr>
          <w:p>
            <w:r>
              <w:rPr>
                <w:sz w:val="20"/>
                <w:szCs w:val="20"/>
              </w:rPr>
              <w:t xml:space="preserve">DNS failover</w:t>
            </w:r>
          </w:p>
        </w:tc>
        <w:tc>
          <w:tcPr>
            <w:tcW w:type="dxa" w:w="5560"/>
            <w:tcBorders>
              <w:top w:val="single" w:color="AAAAAA" w:sz="1"/>
              <w:left w:val="single" w:color="AAAAAA" w:sz="1"/>
              <w:bottom w:val="single" w:color="AAAAAA" w:sz="1"/>
              <w:right w:val="single" w:color="AAAAAA" w:sz="1"/>
            </w:tcBorders>
            <w:shd w:fill="EEF2F9" w:val="clear"/>
            <w:tcMar>
              <w:top w:type="dxa" w:w="80"/>
              <w:left w:type="dxa" w:w="120"/>
              <w:bottom w:type="dxa" w:w="80"/>
              <w:right w:type="dxa" w:w="120"/>
            </w:tcMar>
          </w:tcPr>
          <w:p>
            <w:r>
              <w:rPr>
                <w:sz w:val="20"/>
                <w:szCs w:val="20"/>
              </w:rPr>
              <w:t xml:space="preserve">Amazon Route 53 with health checks</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Health monitoring</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Route 53 health checks + CloudWatch alarms</w:t>
            </w:r>
          </w:p>
        </w:tc>
      </w:tr>
      <w:tr>
        <w:tc>
          <w:tcPr>
            <w:tcW w:type="dxa" w:w="3800"/>
            <w:tcBorders>
              <w:top w:val="single" w:color="AAAAAA" w:sz="1"/>
              <w:left w:val="single" w:color="AAAAAA" w:sz="1"/>
              <w:bottom w:val="single" w:color="AAAAAA" w:sz="1"/>
              <w:right w:val="single" w:color="AAAAAA" w:sz="1"/>
            </w:tcBorders>
            <w:shd w:fill="EEF2F9" w:val="clear"/>
            <w:tcMar>
              <w:top w:type="dxa" w:w="80"/>
              <w:left w:type="dxa" w:w="120"/>
              <w:bottom w:type="dxa" w:w="80"/>
              <w:right w:type="dxa" w:w="120"/>
            </w:tcMar>
          </w:tcPr>
          <w:p>
            <w:r>
              <w:rPr>
                <w:sz w:val="20"/>
                <w:szCs w:val="20"/>
              </w:rPr>
              <w:t xml:space="preserve">Database replication</w:t>
            </w:r>
          </w:p>
        </w:tc>
        <w:tc>
          <w:tcPr>
            <w:tcW w:type="dxa" w:w="5560"/>
            <w:tcBorders>
              <w:top w:val="single" w:color="AAAAAA" w:sz="1"/>
              <w:left w:val="single" w:color="AAAAAA" w:sz="1"/>
              <w:bottom w:val="single" w:color="AAAAAA" w:sz="1"/>
              <w:right w:val="single" w:color="AAAAAA" w:sz="1"/>
            </w:tcBorders>
            <w:shd w:fill="EEF2F9" w:val="clear"/>
            <w:tcMar>
              <w:top w:type="dxa" w:w="80"/>
              <w:left w:type="dxa" w:w="120"/>
              <w:bottom w:type="dxa" w:w="80"/>
              <w:right w:type="dxa" w:w="120"/>
            </w:tcMar>
          </w:tcPr>
          <w:p>
            <w:r>
              <w:rPr>
                <w:sz w:val="20"/>
                <w:szCs w:val="20"/>
              </w:rPr>
              <w:t xml:space="preserve">RDS Cross-Region Read Replica, promoted on failover</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Object storage replication</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S3 Cross-Region Replication (CRR)</w:t>
            </w:r>
          </w:p>
        </w:tc>
      </w:tr>
      <w:tr>
        <w:tc>
          <w:tcPr>
            <w:tcW w:type="dxa" w:w="3800"/>
            <w:tcBorders>
              <w:top w:val="single" w:color="AAAAAA" w:sz="1"/>
              <w:left w:val="single" w:color="AAAAAA" w:sz="1"/>
              <w:bottom w:val="single" w:color="AAAAAA" w:sz="1"/>
              <w:right w:val="single" w:color="AAAAAA" w:sz="1"/>
            </w:tcBorders>
            <w:shd w:fill="EEF2F9" w:val="clear"/>
            <w:tcMar>
              <w:top w:type="dxa" w:w="80"/>
              <w:left w:type="dxa" w:w="120"/>
              <w:bottom w:type="dxa" w:w="80"/>
              <w:right w:type="dxa" w:w="120"/>
            </w:tcMar>
          </w:tcPr>
          <w:p>
            <w:r>
              <w:rPr>
                <w:sz w:val="20"/>
                <w:szCs w:val="20"/>
              </w:rPr>
              <w:t xml:space="preserve">Secondary cluster readiness</w:t>
            </w:r>
          </w:p>
        </w:tc>
        <w:tc>
          <w:tcPr>
            <w:tcW w:type="dxa" w:w="5560"/>
            <w:tcBorders>
              <w:top w:val="single" w:color="AAAAAA" w:sz="1"/>
              <w:left w:val="single" w:color="AAAAAA" w:sz="1"/>
              <w:bottom w:val="single" w:color="AAAAAA" w:sz="1"/>
              <w:right w:val="single" w:color="AAAAAA" w:sz="1"/>
            </w:tcBorders>
            <w:shd w:fill="EEF2F9" w:val="clear"/>
            <w:tcMar>
              <w:top w:type="dxa" w:w="80"/>
              <w:left w:type="dxa" w:w="120"/>
              <w:bottom w:type="dxa" w:w="80"/>
              <w:right w:type="dxa" w:w="120"/>
            </w:tcMar>
          </w:tcPr>
          <w:p>
            <w:r>
              <w:rPr>
                <w:sz w:val="20"/>
                <w:szCs w:val="20"/>
              </w:rPr>
              <w:t xml:space="preserve">Terraform-provisioned standby EKS cluster (low capacity)</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Alerting during failover</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PagerDuty + Slack (via CloudWatch alarms)</w:t>
            </w:r>
          </w:p>
        </w:tc>
      </w:tr>
    </w:tbl>
    <w:p>
      <w:pPr>
        <w:spacing w:after="0" w:before="120"/>
      </w:pPr>
      <w:r>
        <w:t xml:space="preserve"/>
      </w:r>
    </w:p>
    <w:p>
      <w:pPr>
        <w:spacing w:after="0" w:before="240"/>
        <w:jc w:val="center"/>
      </w:pPr>
      <w:r>
        <w:rPr>
          <w:b/>
          <w:bCs/>
          <w:i/>
          <w:iCs/>
          <w:color w:val="888888"/>
          <w:sz w:val="22"/>
          <w:szCs w:val="22"/>
        </w:rPr>
        <w:t xml:space="preserve">End of Assignment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sz w:val="28"/>
      <w:szCs w:val="28"/>
    </w:rPr>
  </w:style>
  <w:style w:type="paragraph" w:styleId="Heading2">
    <w:name w:val="Heading 2"/>
    <w:basedOn w:val="Normal"/>
    <w:next w:val="Normal"/>
    <w:qFormat/>
    <w:pPr>
      <w:spacing w:after="80" w:before="24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2026-05-06T00:27:32.389Z</dcterms:created>
  <dcterms:modified xsi:type="dcterms:W3CDTF">2026-05-06T00:27:32.390Z</dcterms:modified>
</cp:coreProperties>
</file>

<file path=docProps/custom.xml><?xml version="1.0" encoding="utf-8"?>
<Properties xmlns="http://schemas.openxmlformats.org/officeDocument/2006/custom-properties" xmlns:vt="http://schemas.openxmlformats.org/officeDocument/2006/docPropsVTypes"/>
</file>