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C5F5D" w:val="clear"/>
        <w:spacing w:after="120" w:before="0"/>
        <w:jc w:val="center"/>
      </w:pPr>
      <w:r>
        <w:rPr>
          <w:rFonts w:ascii="Arial" w:cs="Arial" w:eastAsia="Arial" w:hAnsi="Arial"/>
          <w:b/>
          <w:bCs/>
          <w:color w:val="FFFFFF"/>
          <w:sz w:val="52"/>
          <w:szCs w:val="52"/>
        </w:rPr>
        <w:t xml:space="preserve">Threading Histories</w:t>
      </w:r>
    </w:p>
    <w:p>
      <w:pPr>
        <w:shd w:fill="2C5F5D" w:val="clear"/>
        <w:spacing w:after="240" w:before="0"/>
        <w:jc w:val="center"/>
      </w:pPr>
      <w:r>
        <w:rPr>
          <w:rFonts w:ascii="Arial" w:cs="Arial" w:eastAsia="Arial" w:hAnsi="Arial"/>
          <w:color w:val="F4F1DE"/>
          <w:sz w:val="32"/>
          <w:szCs w:val="32"/>
        </w:rPr>
        <w:t xml:space="preserve">Dataset Data Dictionary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Document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Bryttany Grimes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Project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threadinghistories.org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Data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GeoJSON (WGS84)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Total Records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locations (TH001–TH010)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Arial" w:cs="Arial" w:eastAsia="Arial" w:hAnsi="Arial"/>
                <w:b/>
                <w:bCs/>
                <w:color w:val="2C5F5D"/>
                <w:sz w:val="20"/>
                <w:szCs w:val="20"/>
              </w:rPr>
              <w:t xml:space="preserve">License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 BY 4.0 — Attribution required</w:t>
            </w:r>
          </w:p>
        </w:tc>
      </w:tr>
    </w:tbl>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1. Dataset Overview</w:t>
      </w:r>
    </w:p>
    <w:p>
      <w:pPr>
        <w:spacing w:after="80" w:before="80"/>
      </w:pPr>
      <w:r>
        <w:t xml:space="preserve"/>
      </w:r>
    </w:p>
    <w:p>
      <w:pPr>
        <w:spacing w:after="60" w:before="60"/>
      </w:pPr>
      <w:r>
        <w:rPr>
          <w:rFonts w:ascii="Arial" w:cs="Arial" w:eastAsia="Arial" w:hAnsi="Arial"/>
          <w:color w:val="333333"/>
          <w:sz w:val="20"/>
          <w:szCs w:val="20"/>
        </w:rPr>
        <w:t xml:space="preserve">This dataset documents Nigerian women’s textile handicraft traditions across Yoruba, Igbo, and Hausa ethnolinguistic groups during the colonial period (1850–1960). It maps the spatial and cultural dimensions of traditional craft practices and examines how British colonialism disrupted indigenous production systems and knowledge networks.</w:t>
      </w:r>
    </w:p>
    <w:p>
      <w:pPr>
        <w:spacing w:after="80" w:before="80"/>
      </w:pPr>
      <w:r>
        <w:t xml:space="preserve"/>
      </w:r>
    </w:p>
    <w:p>
      <w:pPr>
        <w:spacing w:after="60" w:before="60"/>
      </w:pPr>
      <w:r>
        <w:rPr>
          <w:rFonts w:ascii="Arial" w:cs="Arial" w:eastAsia="Arial" w:hAnsi="Arial"/>
          <w:color w:val="333333"/>
          <w:sz w:val="20"/>
          <w:szCs w:val="20"/>
        </w:rPr>
        <w:t xml:space="preserve">The dataset is distributed in three formats:</w:t>
      </w:r>
    </w:p>
    <w:p>
      <w:pPr>
        <w:pStyle w:val="ListParagraph"/>
        <w:numPr>
          <w:ilvl w:val="0"/>
          <w:numId w:val="2"/>
        </w:numPr>
        <w:spacing w:after="40" w:before="40"/>
      </w:pPr>
      <w:r>
        <w:rPr>
          <w:rFonts w:ascii="Arial" w:cs="Arial" w:eastAsia="Arial" w:hAnsi="Arial"/>
          <w:color w:val="333333"/>
          <w:sz w:val="20"/>
          <w:szCs w:val="20"/>
        </w:rPr>
        <w:t xml:space="preserve">GeoJSON — for GIS applications and web mapping (Leaflet.js, QGIS, Mapbox)</w:t>
      </w:r>
    </w:p>
    <w:p>
      <w:pPr>
        <w:pStyle w:val="ListParagraph"/>
        <w:numPr>
          <w:ilvl w:val="0"/>
          <w:numId w:val="2"/>
        </w:numPr>
        <w:spacing w:after="40" w:before="40"/>
      </w:pPr>
      <w:r>
        <w:rPr>
          <w:rFonts w:ascii="Arial" w:cs="Arial" w:eastAsia="Arial" w:hAnsi="Arial"/>
          <w:color w:val="333333"/>
          <w:sz w:val="20"/>
          <w:szCs w:val="20"/>
        </w:rPr>
        <w:t xml:space="preserve">CSV — for spreadsheet analysis (Excel, Google Sheets, R, Python)</w:t>
      </w:r>
    </w:p>
    <w:p>
      <w:pPr>
        <w:pStyle w:val="ListParagraph"/>
        <w:numPr>
          <w:ilvl w:val="0"/>
          <w:numId w:val="2"/>
        </w:numPr>
        <w:spacing w:after="40" w:before="40"/>
      </w:pPr>
      <w:r>
        <w:rPr>
          <w:rFonts w:ascii="Arial" w:cs="Arial" w:eastAsia="Arial" w:hAnsi="Arial"/>
          <w:color w:val="333333"/>
          <w:sz w:val="20"/>
          <w:szCs w:val="20"/>
        </w:rPr>
        <w:t xml:space="preserve">JSON — for web application development</w:t>
      </w:r>
    </w:p>
    <w:p>
      <w:pPr>
        <w:spacing w:after="80" w:before="80"/>
      </w:pPr>
      <w:r>
        <w:t xml:space="preserve"/>
      </w:r>
    </w:p>
    <w:p>
      <w:pPr>
        <w:spacing w:after="60" w:before="60"/>
      </w:pPr>
      <w:r>
        <w:rPr>
          <w:rFonts w:ascii="Arial" w:cs="Arial" w:eastAsia="Arial" w:hAnsi="Arial"/>
          <w:color w:val="333333"/>
          <w:sz w:val="20"/>
          <w:szCs w:val="20"/>
        </w:rPr>
        <w:t xml:space="preserve">All three formats contain identical underlying data. The GeoJSON format is the authoritative source used to power the interactive map on the Threading Histories website.</w:t>
      </w:r>
    </w:p>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2. File Structure</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GeoJSON Structure</w:t>
      </w:r>
    </w:p>
    <w:p>
      <w:pPr>
        <w:spacing w:after="60" w:before="60"/>
      </w:pPr>
      <w:r>
        <w:rPr>
          <w:rFonts w:ascii="Arial" w:cs="Arial" w:eastAsia="Arial" w:hAnsi="Arial"/>
          <w:color w:val="333333"/>
          <w:sz w:val="20"/>
          <w:szCs w:val="20"/>
        </w:rPr>
        <w:t xml:space="preserve">The file follows the GeoJSON FeatureCollection specification (RFC 7946). Each textile tradition is represented as a Feature with a Point geometry and a properties object.</w:t>
      </w:r>
    </w:p>
    <w:p>
      <w:pPr>
        <w:spacing w:after="80" w:before="80"/>
      </w:pPr>
      <w:r>
        <w:t xml:space="preserve"/>
      </w:r>
    </w:p>
    <w:p>
      <w:pPr>
        <w:spacing w:after="60" w:before="60"/>
      </w:pPr>
      <w:r>
        <w:rPr>
          <w:rFonts w:ascii="Arial" w:cs="Arial" w:eastAsia="Arial" w:hAnsi="Arial"/>
          <w:b/>
          <w:bCs/>
          <w:color w:val="333333"/>
          <w:sz w:val="20"/>
          <w:szCs w:val="20"/>
        </w:rPr>
        <w:t xml:space="preserve">Top-level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F" w:val="clear"/>
            <w:tcMar>
              <w:top w:type="dxa" w:w="80"/>
              <w:left w:type="dxa" w:w="120"/>
              <w:bottom w:type="dxa" w:w="80"/>
              <w:right w:type="dxa" w:w="120"/>
            </w:tcMar>
          </w:tcPr>
          <w:p>
            <w:r>
              <w:rPr>
                <w:rFonts w:ascii="Courier New" w:cs="Courier New" w:eastAsia="Courier New" w:hAnsi="Courier New"/>
                <w:b/>
                <w:bCs/>
                <w:color w:val="2C5F5D"/>
                <w:sz w:val="18"/>
                <w:szCs w:val="18"/>
              </w:rPr>
              <w:t xml:space="preserve">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"FeatureCollection"</w:t>
            </w:r>
          </w:p>
        </w:tc>
      </w:tr>
      <w:tr>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Courier New" w:cs="Courier New" w:eastAsia="Courier New" w:hAnsi="Courier New"/>
                <w:b/>
                <w:bCs/>
                <w:color w:val="2C5F5D"/>
                <w:sz w:val="18"/>
                <w:szCs w:val="18"/>
              </w:rPr>
              <w:t xml:space="preserve">features</w:t>
            </w:r>
          </w:p>
        </w:tc>
        <w:tc>
          <w:tcPr>
            <w:tcW w:type="dxa" w:w="69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Array of 10 Feature objects</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Coordinate System</w:t>
      </w:r>
    </w:p>
    <w:p>
      <w:pPr>
        <w:spacing w:after="60" w:before="60"/>
      </w:pPr>
      <w:r>
        <w:rPr>
          <w:rFonts w:ascii="Arial" w:cs="Arial" w:eastAsia="Arial" w:hAnsi="Arial"/>
          <w:color w:val="333333"/>
          <w:sz w:val="20"/>
          <w:szCs w:val="20"/>
        </w:rPr>
        <w:t xml:space="preserve">All coordinates use WGS84 (EPSG:4326), the standard for web mapping. GeoJSON specifies coordinates as [longitude, latitude] — note that this is the reverse of the conventional latitude/longitude order. Latitude and longitude values are stored as decimal degrees.</w:t>
      </w:r>
    </w:p>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3. Field Definitions</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3.1 Identification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location_id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identifier for each location record. Format: TH followed by three-digit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TH001</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location_name</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Modern place name of the textile production center.</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Abeokuta</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3.2 Classification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ethnolinguistic_group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ethnolinguistic community associated with this textile tradition. See controlled vocabulary in Section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Yoruba</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craft_type</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The primary category of textile craft practiced at this location. See controlled vocabulary in Section 4.</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Dyeing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specific_technique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specific named technique or method used within the craft type. Free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Adire (indigo resist dyeing)</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3.3 Temporal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time_period_start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start year of the documented period for this tradition. Expressed as a four-digit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1850</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time_period_end</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The end year of the documented period. Expressed as a four-digit year.</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1900</w:t>
            </w:r>
          </w:p>
        </w:tc>
      </w:tr>
    </w:tbl>
    <w:p>
      <w:pPr>
        <w:spacing w:after="80" w:before="80"/>
      </w:pPr>
      <w:r>
        <w:t xml:space="preserve"/>
      </w:r>
    </w:p>
    <w:p>
      <w:pPr>
        <w:spacing w:after="60" w:before="60"/>
      </w:pPr>
      <w:r>
        <w:rPr>
          <w:rFonts w:ascii="Arial" w:cs="Arial" w:eastAsia="Arial" w:hAnsi="Arial"/>
          <w:color w:val="333333"/>
          <w:sz w:val="20"/>
          <w:szCs w:val="20"/>
        </w:rPr>
        <w:t xml:space="preserve">Note: Temporal fields represent the period for which archival documentation supports the claims made in the record, not necessarily the full historical lifespan of the tradition. The decision to record time periods as start/end integers rather than applying a temporal filter to the map reflects a core methodological principle: imposing strict chronological parameters on textile practices risks misrepresenting their continuity and fluidity.</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3.4 Status Field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Describes the condition of the textile tradition during the documented time period. See controlled vocabulary in Section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Thriving</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3.5 Narrative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narrative description of the textile tradition, including craft techniques, practitioners, and economic significance.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text, 1–3 sentences</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historical_context</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Background historical information situating the tradition within its broader regional and political context.</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Free text, 1–2 sentences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colonial_impact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Documentation of how British colonial policies, imported goods, or missionary activity disrupted or altered the tradition.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text, 1–2 sentences</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3.6 Source &amp; Image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source_citation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Bibliographic references and archival sources supporting the record. Multiple sources separated by pipe character ( |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Kriger 2006 | CO 446/7</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image_marker</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Filename(s) for the image(s) displayed in the map sidebar marker carousel. Multiple filenames separated by comma and space.</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kano-women-market.jpg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image_repository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Filename for the image displayed in the Textile Repository page. Currently empty pending image sourcing.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(empty)</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image_credit</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Attribution credit for all images associated with this record.</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Wikimedia Commons</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3.7 Geometry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C5F5D"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geometry.type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GeoJSON geometry type. Always “Point” for this dataset.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Point</w:t>
            </w:r>
          </w:p>
        </w:tc>
      </w:tr>
      <w:tr>
        <w:tc>
          <w:tcPr>
            <w:tcW w:type="dxa" w:w="2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geometry.coordinates[0]</w:t>
            </w:r>
          </w:p>
        </w:tc>
        <w:tc>
          <w:tcPr>
            <w:tcW w:type="dxa" w:w="12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Float</w:t>
            </w:r>
          </w:p>
        </w:tc>
        <w:tc>
          <w:tcPr>
            <w:tcW w:type="dxa" w:w="35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Longitude in decimal degrees (WGS84). Ranges from approximately 3.36 to 8.52 for Nigerian locations.</w:t>
            </w:r>
          </w:p>
        </w:tc>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3.3619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geometry.coordinates[1]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Latitude in decimal degrees (WGS84). Ranges from approximately 4.75 to 12.0 for Nigerian locations.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7.1475</w:t>
            </w:r>
          </w:p>
        </w:tc>
      </w:tr>
    </w:tbl>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4. Controlled Vocabulary</w:t>
      </w:r>
    </w:p>
    <w:p>
      <w:pPr>
        <w:spacing w:after="80" w:before="80"/>
      </w:pPr>
      <w:r>
        <w:t xml:space="preserve"/>
      </w:r>
    </w:p>
    <w:p>
      <w:pPr>
        <w:spacing w:after="60" w:before="60"/>
      </w:pPr>
      <w:r>
        <w:rPr>
          <w:rFonts w:ascii="Arial" w:cs="Arial" w:eastAsia="Arial" w:hAnsi="Arial"/>
          <w:color w:val="333333"/>
          <w:sz w:val="20"/>
          <w:szCs w:val="20"/>
        </w:rPr>
        <w:t xml:space="preserve">The following fields use controlled vocabularies. Values must be entered exactly as listed, including capitalization, for map filters to function correctly.</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4.1 ethnolinguistic_group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96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Yoruba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Southwestern Nigerian ethnolinguistic group. Associated with Abeokuta, Lagos, Ibadan, Iseyin, and Oyo locations in this dataset.</w:t>
            </w:r>
          </w:p>
        </w:tc>
      </w:tr>
      <w:tr>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b/>
                <w:bCs/>
                <w:color w:val="2C5F5D"/>
                <w:sz w:val="18"/>
                <w:szCs w:val="18"/>
              </w:rPr>
              <w:t xml:space="preserve">Igbo</w:t>
            </w:r>
          </w:p>
        </w:tc>
        <w:tc>
          <w:tcPr>
            <w:tcW w:type="dxa" w:w="69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Southeastern Nigerian ethnolinguistic group. Associated with Akwete, Asaba, and Nsukka locations in this dataset.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Hausa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Northern Nigerian ethnolinguistic group. Associated with Kano and Zaria locations in this dataset.</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4.2 craft_type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96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Dyeing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Textile dyeing traditions, primarily indigo-based resist dyeing. Includes adire eleko (starch resist), adire oniko (tied resist), and pit dyeing techniques.</w:t>
            </w:r>
          </w:p>
        </w:tc>
      </w:tr>
      <w:tr>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b/>
                <w:bCs/>
                <w:color w:val="2C5F5D"/>
                <w:sz w:val="18"/>
                <w:szCs w:val="18"/>
              </w:rPr>
              <w:t xml:space="preserve">Weaving</w:t>
            </w:r>
          </w:p>
        </w:tc>
        <w:tc>
          <w:tcPr>
            <w:tcW w:type="dxa" w:w="69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Cloth weaving traditions using vertical or horizontal looms. Includes narrow strip weaving (aso oke) and vertical loom weaving (Akwete).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Embroidery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Hand embroidery applied to prestige garments. In this dataset, refers specifically to Hausa gown embroidery (riga).</w:t>
            </w:r>
          </w:p>
        </w:tc>
      </w:tr>
      <w:tr>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b/>
                <w:bCs/>
                <w:color w:val="2C5F5D"/>
                <w:sz w:val="18"/>
                <w:szCs w:val="18"/>
              </w:rPr>
              <w:t xml:space="preserve">Beadwork</w:t>
            </w:r>
          </w:p>
        </w:tc>
        <w:tc>
          <w:tcPr>
            <w:tcW w:type="dxa" w:w="69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Glass bead working for ceremonial and royal regalia. In this dataset, refers specifically to Yoruba royal beadwork traditions at Oyo.</w:t>
            </w:r>
          </w:p>
        </w:tc>
      </w:tr>
    </w:tbl>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4.3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960"/>
            <w:tcBorders>
              <w:top w:val="single" w:color="CCCCCC" w:sz="1"/>
              <w:left w:val="single" w:color="CCCCCC" w:sz="1"/>
              <w:bottom w:val="single" w:color="CCCCCC" w:sz="1"/>
              <w:right w:val="single" w:color="CCCCCC" w:sz="1"/>
            </w:tcBorders>
            <w:shd w:fill="E76F51"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Thriving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tradition was economically robust, socially central, and practiced widely during the documented period. Production and demand were strong.</w:t>
            </w:r>
          </w:p>
        </w:tc>
      </w:tr>
      <w:tr>
        <w:tc>
          <w:tcPr>
            <w:tcW w:type="dxa" w:w="240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b/>
                <w:bCs/>
                <w:color w:val="2C5F5D"/>
                <w:sz w:val="18"/>
                <w:szCs w:val="18"/>
              </w:rPr>
              <w:t xml:space="preserve">Stable</w:t>
            </w:r>
          </w:p>
        </w:tc>
        <w:tc>
          <w:tcPr>
            <w:tcW w:type="dxa" w:w="6960"/>
            <w:tcBorders>
              <w:top w:val="single" w:color="CCCCCC" w:sz="1"/>
              <w:left w:val="single" w:color="CCCCCC" w:sz="1"/>
              <w:bottom w:val="single" w:color="CCCCCC" w:sz="1"/>
              <w:right w:val="single" w:color="CCCCCC" w:sz="1"/>
            </w:tcBorders>
            <w:shd w:fill="F4F1DE" w:val="clear"/>
            <w:tcMar>
              <w:top w:type="dxa" w:w="80"/>
              <w:left w:type="dxa" w:w="120"/>
              <w:bottom w:type="dxa" w:w="80"/>
              <w:right w:type="dxa" w:w="120"/>
            </w:tcMar>
          </w:tcPr>
          <w:p>
            <w:r>
              <w:rPr>
                <w:rFonts w:ascii="Arial" w:cs="Arial" w:eastAsia="Arial" w:hAnsi="Arial"/>
                <w:color w:val="333333"/>
                <w:sz w:val="18"/>
                <w:szCs w:val="18"/>
              </w:rPr>
              <w:t xml:space="preserve">The tradition persisted and maintained demand during the documented period, but may have faced some competitive pressure or narrowing of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5F5D"/>
                <w:sz w:val="18"/>
                <w:szCs w:val="18"/>
              </w:rPr>
              <w:t xml:space="preserve">Declining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tradition experienced documented disruption, reduced demand, or loss of practitioners during the documented period, due to colonial policies, missionary activity, or market competition.</w:t>
            </w:r>
          </w:p>
        </w:tc>
      </w:tr>
    </w:tbl>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5. Complete Record Index</w:t>
      </w:r>
    </w:p>
    <w:p>
      <w:pPr>
        <w:spacing w:after="80" w:before="80"/>
      </w:pPr>
      <w:r>
        <w:t xml:space="preserve"/>
      </w:r>
    </w:p>
    <w:p>
      <w:pPr>
        <w:spacing w:after="60" w:before="60"/>
      </w:pPr>
      <w:r>
        <w:rPr>
          <w:rFonts w:ascii="Arial" w:cs="Arial" w:eastAsia="Arial" w:hAnsi="Arial"/>
          <w:color w:val="333333"/>
          <w:sz w:val="20"/>
          <w:szCs w:val="20"/>
        </w:rPr>
        <w:t xml:space="preserve">The dataset currently contains 10 records covering five Yoruba, three Igbo, and two Hausa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800"/>
        <w:gridCol w:w="1560"/>
        <w:gridCol w:w="1000"/>
      </w:tblGrid>
      <w:tr>
        <w:trPr>
          <w:tblHeader/>
        </w:trPr>
        <w:tc>
          <w:tcPr>
            <w:tcW w:type="dxa" w:w="120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ID</w:t>
            </w:r>
          </w:p>
        </w:tc>
        <w:tc>
          <w:tcPr>
            <w:tcW w:type="dxa" w:w="200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Location</w:t>
            </w:r>
          </w:p>
        </w:tc>
        <w:tc>
          <w:tcPr>
            <w:tcW w:type="dxa" w:w="180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Group</w:t>
            </w:r>
          </w:p>
        </w:tc>
        <w:tc>
          <w:tcPr>
            <w:tcW w:type="dxa" w:w="180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Craft Type</w:t>
            </w:r>
          </w:p>
        </w:tc>
        <w:tc>
          <w:tcPr>
            <w:tcW w:type="dxa" w:w="156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Period</w:t>
            </w:r>
          </w:p>
        </w:tc>
        <w:tc>
          <w:tcPr>
            <w:tcW w:type="dxa" w:w="1000"/>
            <w:tcBorders>
              <w:top w:val="single" w:color="CCCCCC" w:sz="1"/>
              <w:left w:val="single" w:color="CCCCCC" w:sz="1"/>
              <w:bottom w:val="single" w:color="CCCCCC" w:sz="1"/>
              <w:right w:val="single" w:color="CCCCCC" w:sz="1"/>
            </w:tcBorders>
            <w:shd w:fill="2C5F5D" w:val="clear"/>
            <w:tcMar>
              <w:top w:type="dxa" w:w="80"/>
              <w:left w:type="dxa" w:w="100"/>
              <w:bottom w:type="dxa" w:w="80"/>
              <w:right w:type="dxa" w:w="100"/>
            </w:tcMar>
          </w:tcPr>
          <w:p>
            <w:r>
              <w:rPr>
                <w:rFonts w:ascii="Arial" w:cs="Arial" w:eastAsia="Arial" w:hAnsi="Arial"/>
                <w:b/>
                <w:bCs/>
                <w:color w:val="FFFFFF"/>
                <w:sz w:val="16"/>
                <w:szCs w:val="16"/>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Abeokuta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Yoruba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Dyeing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1850–1900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Thriving</w:t>
            </w:r>
          </w:p>
        </w:tc>
      </w:tr>
      <w:tr>
        <w:tc>
          <w:tcPr>
            <w:tcW w:type="dxa" w:w="12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TH002</w:t>
            </w:r>
          </w:p>
        </w:tc>
        <w:tc>
          <w:tcPr>
            <w:tcW w:type="dxa" w:w="2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Lagos</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Yoruba</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Dyeing</w:t>
            </w:r>
          </w:p>
        </w:tc>
        <w:tc>
          <w:tcPr>
            <w:tcW w:type="dxa" w:w="156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1850–1900</w:t>
            </w:r>
          </w:p>
        </w:tc>
        <w:tc>
          <w:tcPr>
            <w:tcW w:type="dxa" w:w="1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Thriving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Ibadan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Yoruba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Dyeing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1900–1950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Stable</w:t>
            </w:r>
          </w:p>
        </w:tc>
      </w:tr>
      <w:tr>
        <w:tc>
          <w:tcPr>
            <w:tcW w:type="dxa" w:w="12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TH004</w:t>
            </w:r>
          </w:p>
        </w:tc>
        <w:tc>
          <w:tcPr>
            <w:tcW w:type="dxa" w:w="2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Iseyin</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Yoruba</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Weaving</w:t>
            </w:r>
          </w:p>
        </w:tc>
        <w:tc>
          <w:tcPr>
            <w:tcW w:type="dxa" w:w="156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1850–1960</w:t>
            </w:r>
          </w:p>
        </w:tc>
        <w:tc>
          <w:tcPr>
            <w:tcW w:type="dxa" w:w="1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Oyo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Yoruba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Beadwork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1850–1960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Stable</w:t>
            </w:r>
          </w:p>
        </w:tc>
      </w:tr>
      <w:tr>
        <w:tc>
          <w:tcPr>
            <w:tcW w:type="dxa" w:w="12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TH006</w:t>
            </w:r>
          </w:p>
        </w:tc>
        <w:tc>
          <w:tcPr>
            <w:tcW w:type="dxa" w:w="2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Akwete</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Igbo</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Weaving</w:t>
            </w:r>
          </w:p>
        </w:tc>
        <w:tc>
          <w:tcPr>
            <w:tcW w:type="dxa" w:w="156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1900–1960</w:t>
            </w:r>
          </w:p>
        </w:tc>
        <w:tc>
          <w:tcPr>
            <w:tcW w:type="dxa" w:w="1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Thriving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Asaba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Igbo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Weaving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1850–1900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Thriving</w:t>
            </w:r>
          </w:p>
        </w:tc>
      </w:tr>
      <w:tr>
        <w:tc>
          <w:tcPr>
            <w:tcW w:type="dxa" w:w="12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TH008</w:t>
            </w:r>
          </w:p>
        </w:tc>
        <w:tc>
          <w:tcPr>
            <w:tcW w:type="dxa" w:w="2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Nsukka</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Igbo</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Weaving</w:t>
            </w:r>
          </w:p>
        </w:tc>
        <w:tc>
          <w:tcPr>
            <w:tcW w:type="dxa" w:w="156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1850–1920</w:t>
            </w:r>
          </w:p>
        </w:tc>
        <w:tc>
          <w:tcPr>
            <w:tcW w:type="dxa" w:w="1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Declining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Kano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Hausa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Dyeing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1850–1900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6"/>
                <w:szCs w:val="16"/>
              </w:rPr>
              <w:t xml:space="preserve">Thriving</w:t>
            </w:r>
          </w:p>
        </w:tc>
      </w:tr>
      <w:tr>
        <w:tc>
          <w:tcPr>
            <w:tcW w:type="dxa" w:w="12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TH010</w:t>
            </w:r>
          </w:p>
        </w:tc>
        <w:tc>
          <w:tcPr>
            <w:tcW w:type="dxa" w:w="2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Zaria</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Hausa</w:t>
            </w:r>
          </w:p>
        </w:tc>
        <w:tc>
          <w:tcPr>
            <w:tcW w:type="dxa" w:w="18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Embroidery</w:t>
            </w:r>
          </w:p>
        </w:tc>
        <w:tc>
          <w:tcPr>
            <w:tcW w:type="dxa" w:w="156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1850–1950</w:t>
            </w:r>
          </w:p>
        </w:tc>
        <w:tc>
          <w:tcPr>
            <w:tcW w:type="dxa" w:w="1000"/>
            <w:tcBorders>
              <w:top w:val="single" w:color="CCCCCC" w:sz="1"/>
              <w:left w:val="single" w:color="CCCCCC" w:sz="1"/>
              <w:bottom w:val="single" w:color="CCCCCC" w:sz="1"/>
              <w:right w:val="single" w:color="CCCCCC" w:sz="1"/>
            </w:tcBorders>
            <w:shd w:fill="F4F1DE" w:val="clear"/>
            <w:tcMar>
              <w:top w:type="dxa" w:w="80"/>
              <w:left w:type="dxa" w:w="100"/>
              <w:bottom w:type="dxa" w:w="80"/>
              <w:right w:type="dxa" w:w="100"/>
            </w:tcMar>
          </w:tcPr>
          <w:p>
            <w:r>
              <w:rPr>
                <w:rFonts w:ascii="Arial" w:cs="Arial" w:eastAsia="Arial" w:hAnsi="Arial"/>
                <w:color w:val="333333"/>
                <w:sz w:val="16"/>
                <w:szCs w:val="16"/>
              </w:rPr>
              <w:t xml:space="preserve">Stable</w:t>
            </w:r>
          </w:p>
        </w:tc>
      </w:tr>
    </w:tbl>
    <w:p>
      <w:pPr>
        <w:spacing w:after="80" w:before="80"/>
      </w:pPr>
      <w:r>
        <w:t xml:space="preserve"/>
      </w:r>
    </w:p>
    <w:p>
      <w:pPr>
        <w:pStyle w:val="Heading1"/>
        <w:shd w:fill="2C5F5D" w:val="clear"/>
        <w:spacing w:after="180" w:before="360"/>
        <w:ind w:left="180" w:right="180"/>
      </w:pPr>
      <w:r>
        <w:rPr>
          <w:rFonts w:ascii="Arial" w:cs="Arial" w:eastAsia="Arial" w:hAnsi="Arial"/>
          <w:b/>
          <w:bCs/>
          <w:color w:val="FFFFFF"/>
          <w:sz w:val="32"/>
          <w:szCs w:val="32"/>
        </w:rPr>
        <w:t xml:space="preserve">6. Usage Notes</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For Researchers</w:t>
      </w:r>
    </w:p>
    <w:p>
      <w:pPr>
        <w:pStyle w:val="ListParagraph"/>
        <w:numPr>
          <w:ilvl w:val="0"/>
          <w:numId w:val="2"/>
        </w:numPr>
        <w:spacing w:after="40" w:before="40"/>
      </w:pPr>
      <w:r>
        <w:rPr>
          <w:rFonts w:ascii="Arial" w:cs="Arial" w:eastAsia="Arial" w:hAnsi="Arial"/>
          <w:color w:val="333333"/>
          <w:sz w:val="20"/>
          <w:szCs w:val="20"/>
        </w:rPr>
        <w:t xml:space="preserve">Cite as: Grimes, Bryttany. “Threading Histories Dataset.” Threading Histories Project, 2026. threadinghistories.org.</w:t>
      </w:r>
    </w:p>
    <w:p>
      <w:pPr>
        <w:pStyle w:val="ListParagraph"/>
        <w:numPr>
          <w:ilvl w:val="0"/>
          <w:numId w:val="2"/>
        </w:numPr>
        <w:spacing w:after="40" w:before="40"/>
      </w:pPr>
      <w:r>
        <w:rPr>
          <w:rFonts w:ascii="Arial" w:cs="Arial" w:eastAsia="Arial" w:hAnsi="Arial"/>
          <w:color w:val="333333"/>
          <w:sz w:val="20"/>
          <w:szCs w:val="20"/>
        </w:rPr>
        <w:t xml:space="preserve">All data is licensed CC BY 4.0. Attribution is required for reuse.</w:t>
      </w:r>
    </w:p>
    <w:p>
      <w:pPr>
        <w:pStyle w:val="ListParagraph"/>
        <w:numPr>
          <w:ilvl w:val="0"/>
          <w:numId w:val="2"/>
        </w:numPr>
        <w:spacing w:after="40" w:before="40"/>
      </w:pPr>
      <w:r>
        <w:rPr>
          <w:rFonts w:ascii="Arial" w:cs="Arial" w:eastAsia="Arial" w:hAnsi="Arial"/>
          <w:color w:val="333333"/>
          <w:sz w:val="20"/>
          <w:szCs w:val="20"/>
        </w:rPr>
        <w:t xml:space="preserve">Archival image files sourced primarily from the British Museum collections and Wikimedia Commons. Image rights may differ from data rights — consult individual image_credit fields.</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For Developers</w:t>
      </w:r>
    </w:p>
    <w:p>
      <w:pPr>
        <w:pStyle w:val="ListParagraph"/>
        <w:numPr>
          <w:ilvl w:val="0"/>
          <w:numId w:val="2"/>
        </w:numPr>
        <w:spacing w:after="40" w:before="40"/>
      </w:pPr>
      <w:r>
        <w:rPr>
          <w:rFonts w:ascii="Arial" w:cs="Arial" w:eastAsia="Arial" w:hAnsi="Arial"/>
          <w:color w:val="333333"/>
          <w:sz w:val="20"/>
          <w:szCs w:val="20"/>
        </w:rPr>
        <w:t xml:space="preserve">GeoJSON coordinates follow [longitude, latitude] order per the RFC 7946 specification. This is the reverse of conventional latitude/longitude notation.</w:t>
      </w:r>
    </w:p>
    <w:p>
      <w:pPr>
        <w:pStyle w:val="ListParagraph"/>
        <w:numPr>
          <w:ilvl w:val="0"/>
          <w:numId w:val="2"/>
        </w:numPr>
        <w:spacing w:after="40" w:before="40"/>
      </w:pPr>
      <w:r>
        <w:rPr>
          <w:rFonts w:ascii="Arial" w:cs="Arial" w:eastAsia="Arial" w:hAnsi="Arial"/>
          <w:color w:val="333333"/>
          <w:sz w:val="20"/>
          <w:szCs w:val="20"/>
        </w:rPr>
        <w:t xml:space="preserve">The craft_type and status fields use Title Case (e.g., “Dyeing” not “dyeing”). Filter logic in JavaScript should use case-insensitive comparison or normalize to lowercase before comparing.</w:t>
      </w:r>
    </w:p>
    <w:p>
      <w:pPr>
        <w:pStyle w:val="ListParagraph"/>
        <w:numPr>
          <w:ilvl w:val="0"/>
          <w:numId w:val="2"/>
        </w:numPr>
        <w:spacing w:after="40" w:before="40"/>
      </w:pPr>
      <w:r>
        <w:rPr>
          <w:rFonts w:ascii="Arial" w:cs="Arial" w:eastAsia="Arial" w:hAnsi="Arial"/>
          <w:color w:val="333333"/>
          <w:sz w:val="20"/>
          <w:szCs w:val="20"/>
        </w:rPr>
        <w:t xml:space="preserve">The image_marker field may contain multiple comma-separated filenames when a location has more than one carousel image.</w:t>
      </w:r>
    </w:p>
    <w:p>
      <w:pPr>
        <w:pStyle w:val="ListParagraph"/>
        <w:numPr>
          <w:ilvl w:val="0"/>
          <w:numId w:val="2"/>
        </w:numPr>
        <w:spacing w:after="40" w:before="40"/>
      </w:pPr>
      <w:r>
        <w:rPr>
          <w:rFonts w:ascii="Arial" w:cs="Arial" w:eastAsia="Arial" w:hAnsi="Arial"/>
          <w:color w:val="333333"/>
          <w:sz w:val="20"/>
          <w:szCs w:val="20"/>
        </w:rPr>
        <w:t xml:space="preserve">The image_repository field is currently empty for all records pending final image sourcing.</w:t>
      </w:r>
    </w:p>
    <w:p>
      <w:pPr>
        <w:spacing w:after="80" w:before="80"/>
      </w:pPr>
      <w:r>
        <w:t xml:space="preserve"/>
      </w:r>
    </w:p>
    <w:p>
      <w:pPr>
        <w:pStyle w:val="Heading2"/>
        <w:pBdr>
          <w:bottom w:val="single" w:color="2C5F5D" w:sz="4"/>
        </w:pBdr>
        <w:spacing w:after="120" w:before="280"/>
      </w:pPr>
      <w:r>
        <w:rPr>
          <w:rFonts w:ascii="Arial" w:cs="Arial" w:eastAsia="Arial" w:hAnsi="Arial"/>
          <w:b/>
          <w:bCs/>
          <w:color w:val="2C5F5D"/>
          <w:sz w:val="26"/>
          <w:szCs w:val="26"/>
        </w:rPr>
        <w:t xml:space="preserve">Known Limitations</w:t>
      </w:r>
    </w:p>
    <w:p>
      <w:pPr>
        <w:pStyle w:val="ListParagraph"/>
        <w:numPr>
          <w:ilvl w:val="0"/>
          <w:numId w:val="2"/>
        </w:numPr>
        <w:spacing w:after="40" w:before="40"/>
      </w:pPr>
      <w:r>
        <w:rPr>
          <w:rFonts w:ascii="Arial" w:cs="Arial" w:eastAsia="Arial" w:hAnsi="Arial"/>
          <w:color w:val="333333"/>
          <w:sz w:val="20"/>
          <w:szCs w:val="20"/>
        </w:rPr>
        <w:t xml:space="preserve">The dataset is currently limited to 10 locations and three ethnolinguistic groups. This reflects the scope of the CHI Fellowship project and is intended as a foundation for future expansion.</w:t>
      </w:r>
    </w:p>
    <w:p>
      <w:pPr>
        <w:pStyle w:val="ListParagraph"/>
        <w:numPr>
          <w:ilvl w:val="0"/>
          <w:numId w:val="2"/>
        </w:numPr>
        <w:spacing w:after="40" w:before="40"/>
      </w:pPr>
      <w:r>
        <w:rPr>
          <w:rFonts w:ascii="Arial" w:cs="Arial" w:eastAsia="Arial" w:hAnsi="Arial"/>
          <w:color w:val="333333"/>
          <w:sz w:val="20"/>
          <w:szCs w:val="20"/>
        </w:rPr>
        <w:t xml:space="preserve">Temporal fields document periods supported by archival evidence, not the full historical lifespan of traditions. Many practices predate and postdate the documented periods.</w:t>
      </w:r>
    </w:p>
    <w:p>
      <w:pPr>
        <w:pStyle w:val="ListParagraph"/>
        <w:numPr>
          <w:ilvl w:val="0"/>
          <w:numId w:val="2"/>
        </w:numPr>
        <w:spacing w:after="40" w:before="40"/>
      </w:pPr>
      <w:r>
        <w:rPr>
          <w:rFonts w:ascii="Arial" w:cs="Arial" w:eastAsia="Arial" w:hAnsi="Arial"/>
          <w:color w:val="333333"/>
          <w:sz w:val="20"/>
          <w:szCs w:val="20"/>
        </w:rPr>
        <w:t xml:space="preserve">Colonial archives privilege European perspectives and male labor. Women’s contributions are likely underrepresented in source materials, and the dataset explicitly acknowledges these archival gaps.</w:t>
      </w:r>
    </w:p>
    <w:p>
      <w:pPr>
        <w:pStyle w:val="ListParagraph"/>
        <w:numPr>
          <w:ilvl w:val="0"/>
          <w:numId w:val="2"/>
        </w:numPr>
        <w:spacing w:after="40" w:before="40"/>
      </w:pPr>
      <w:r>
        <w:rPr>
          <w:rFonts w:ascii="Arial" w:cs="Arial" w:eastAsia="Arial" w:hAnsi="Arial"/>
          <w:color w:val="333333"/>
          <w:sz w:val="20"/>
          <w:szCs w:val="20"/>
        </w:rPr>
        <w:t xml:space="preserve">Coordinate precision reflects the locating of historical place names using modern coordinates. Some historical locations may not correspond exactly to modern place boundaries.</w:t>
      </w:r>
    </w:p>
    <w:p>
      <w:pPr>
        <w:spacing w:after="80" w:before="80"/>
      </w:pPr>
      <w:r>
        <w:t xml:space="preserve"/>
      </w:r>
    </w:p>
    <w:p>
      <w:pPr>
        <w:pBdr>
          <w:top w:val="single" w:color="2C5F5D" w:sz="4"/>
        </w:pBdr>
        <w:spacing w:after="0" w:before="240"/>
        <w:jc w:val="center"/>
      </w:pPr>
      <w:r>
        <w:rPr>
          <w:rFonts w:ascii="Arial" w:cs="Arial" w:eastAsia="Arial" w:hAnsi="Arial"/>
          <w:i/>
          <w:iCs/>
          <w:color w:val="666666"/>
          <w:sz w:val="16"/>
          <w:szCs w:val="16"/>
        </w:rPr>
        <w:t xml:space="preserve">Threading Histories — CHI Fellowship Project — Michigan State University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2026-04-10T17:03:53.185Z</dcterms:created>
  <dcterms:modified xsi:type="dcterms:W3CDTF">2026-04-10T17:03:53.186Z</dcterms:modified>
</cp:coreProperties>
</file>

<file path=docProps/custom.xml><?xml version="1.0" encoding="utf-8"?>
<Properties xmlns="http://schemas.openxmlformats.org/officeDocument/2006/custom-properties" xmlns:vt="http://schemas.openxmlformats.org/officeDocument/2006/docPropsVTypes"/>
</file>