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微软雅黑" w:hAnsi="微软雅黑" w:eastAsia="微软雅黑" w:cs="微软雅黑"/>
          <w:b/>
          <w:bCs/>
          <w:color w:val="0000FF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bCs/>
          <w:color w:val="0000FF"/>
          <w:sz w:val="21"/>
          <w:szCs w:val="21"/>
          <w:lang w:val="en-US" w:eastAsia="zh-CN"/>
        </w:rPr>
        <w:t>考点19：</w:t>
      </w:r>
      <w:r>
        <w:rPr>
          <w:rFonts w:hint="eastAsia" w:ascii="微软雅黑" w:hAnsi="微软雅黑" w:eastAsia="微软雅黑" w:cs="微软雅黑"/>
          <w:b/>
          <w:bCs/>
          <w:color w:val="0000FF"/>
          <w:sz w:val="21"/>
          <w:szCs w:val="21"/>
        </w:rPr>
        <w:t xml:space="preserve">多表透视分析逻辑（3%） </w:t>
      </w:r>
      <w:r>
        <w:rPr>
          <w:rFonts w:hint="eastAsia" w:ascii="微软雅黑" w:hAnsi="微软雅黑" w:eastAsia="微软雅黑" w:cs="微软雅黑"/>
          <w:b/>
          <w:bCs/>
          <w:color w:val="0000FF"/>
          <w:sz w:val="21"/>
          <w:szCs w:val="21"/>
          <w:lang w:val="en-US" w:eastAsia="zh-CN"/>
        </w:rPr>
        <w:t>考点20：</w:t>
      </w:r>
      <w:r>
        <w:rPr>
          <w:rFonts w:hint="eastAsia" w:ascii="微软雅黑" w:hAnsi="微软雅黑" w:eastAsia="微软雅黑" w:cs="微软雅黑"/>
          <w:b/>
          <w:bCs/>
          <w:color w:val="0000FF"/>
          <w:sz w:val="21"/>
          <w:szCs w:val="21"/>
        </w:rPr>
        <w:t xml:space="preserve">多维数据模型（3%） </w:t>
      </w: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  <w:r>
        <w:drawing>
          <wp:inline distT="0" distB="0" distL="114300" distR="114300">
            <wp:extent cx="6113780" cy="2773045"/>
            <wp:effectExtent l="0" t="0" r="5080" b="635"/>
            <wp:docPr id="4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277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  <w:r>
        <w:drawing>
          <wp:inline distT="0" distB="0" distL="114300" distR="114300">
            <wp:extent cx="6117590" cy="3244850"/>
            <wp:effectExtent l="0" t="0" r="1270" b="1270"/>
            <wp:docPr id="5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  <w:r>
        <w:drawing>
          <wp:inline distT="0" distB="0" distL="114300" distR="114300">
            <wp:extent cx="5695315" cy="2915285"/>
            <wp:effectExtent l="0" t="0" r="4445" b="3175"/>
            <wp:docPr id="5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95315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  <w:r>
        <w:drawing>
          <wp:inline distT="0" distB="0" distL="114300" distR="114300">
            <wp:extent cx="6033770" cy="3041015"/>
            <wp:effectExtent l="0" t="0" r="1270" b="6985"/>
            <wp:docPr id="5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  <w:r>
        <w:drawing>
          <wp:inline distT="0" distB="0" distL="114300" distR="114300">
            <wp:extent cx="5750560" cy="3094355"/>
            <wp:effectExtent l="0" t="0" r="2540" b="6985"/>
            <wp:docPr id="5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  <w:r>
        <w:drawing>
          <wp:inline distT="0" distB="0" distL="114300" distR="114300">
            <wp:extent cx="6111240" cy="2883535"/>
            <wp:effectExtent l="0" t="0" r="0" b="4445"/>
            <wp:docPr id="5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288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  <w:t>数据库连接汇总</w:t>
      </w:r>
    </w:p>
    <w:p>
      <w:pPr>
        <w:rPr>
          <w:rFonts w:hint="default" w:ascii="微软雅黑" w:hAnsi="微软雅黑" w:eastAsia="微软雅黑" w:cs="微软雅黑"/>
          <w:color w:val="FF0000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15"/>
          <w:szCs w:val="15"/>
          <w:lang w:val="en-US" w:eastAsia="zh-CN"/>
        </w:rPr>
        <w:t>相邻两表间连接汇总</w:t>
      </w: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：通过</w:t>
      </w:r>
      <w:r>
        <w:rPr>
          <w:rFonts w:hint="eastAsia" w:ascii="微软雅黑" w:hAnsi="微软雅黑" w:eastAsia="微软雅黑" w:cs="微软雅黑"/>
          <w:color w:val="0000FF"/>
          <w:sz w:val="15"/>
          <w:szCs w:val="15"/>
          <w:lang w:val="en-US" w:eastAsia="zh-CN"/>
        </w:rPr>
        <w:t>公共字段</w:t>
      </w: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连接两表，选择不同表中字段分别做为维度、度量。选择汇总计算规则</w:t>
      </w: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影响连接汇总的三要素：</w:t>
      </w:r>
    </w:p>
    <w:p>
      <w:pPr>
        <w:rPr>
          <w:rFonts w:hint="default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1、</w:t>
      </w:r>
      <w:r>
        <w:rPr>
          <w:rFonts w:hint="eastAsia" w:ascii="微软雅黑" w:hAnsi="微软雅黑" w:eastAsia="微软雅黑" w:cs="微软雅黑"/>
          <w:color w:val="0000FF"/>
          <w:sz w:val="15"/>
          <w:szCs w:val="15"/>
          <w:lang w:val="en-US" w:eastAsia="zh-CN"/>
        </w:rPr>
        <w:t>筛选器方向</w:t>
      </w: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：决定维度与度量的出处、不可逆筛选器方向做筛选</w:t>
      </w: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单向：箭头出发一侧为维度、指向一侧为度量</w:t>
      </w: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双向：两表间互为筛选</w:t>
      </w: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2、</w:t>
      </w:r>
      <w:r>
        <w:rPr>
          <w:rFonts w:hint="eastAsia" w:ascii="微软雅黑" w:hAnsi="微软雅黑" w:eastAsia="微软雅黑" w:cs="微软雅黑"/>
          <w:color w:val="0000FF"/>
          <w:sz w:val="15"/>
          <w:szCs w:val="15"/>
          <w:lang w:val="en-US" w:eastAsia="zh-CN"/>
        </w:rPr>
        <w:t>对应关系</w:t>
      </w: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：分为三类（一对一、一对多、多对多），决定连接汇总的结果</w:t>
      </w: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3、</w:t>
      </w:r>
      <w:r>
        <w:rPr>
          <w:rFonts w:hint="eastAsia" w:ascii="微软雅黑" w:hAnsi="微软雅黑" w:eastAsia="微软雅黑" w:cs="微软雅黑"/>
          <w:color w:val="0000FF"/>
          <w:sz w:val="15"/>
          <w:szCs w:val="15"/>
          <w:lang w:val="en-US" w:eastAsia="zh-CN"/>
        </w:rPr>
        <w:t>汇总角色</w:t>
      </w: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：维度、度量</w:t>
      </w:r>
    </w:p>
    <w:p>
      <w:pPr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  <w:t>OLAP连接汇总</w:t>
      </w: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哪个表提供度量，哪个表就为主表</w:t>
      </w:r>
    </w:p>
    <w:p>
      <w:pPr>
        <w:rPr>
          <w:rFonts w:hint="default" w:ascii="微软雅黑" w:hAnsi="微软雅黑" w:eastAsia="微软雅黑" w:cs="微软雅黑"/>
          <w:b/>
          <w:bCs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  <w:t>三种对应关系</w:t>
      </w:r>
    </w:p>
    <w:p>
      <w:pPr>
        <w:rPr>
          <w:rFonts w:hint="default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1、一对一：主键与主键相连，两表具有相同主键，这种情况很少，如果不是主键与主键相连的一对一关系应该及时调整</w:t>
      </w:r>
    </w:p>
    <w:p>
      <w:pPr>
        <w:rPr>
          <w:rFonts w:hint="default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2、多对多：非主键连接非主键，会造成度量值在求和、计数等常用汇总规则下翻倍，应尽量避免使用多对多的连接关系</w:t>
      </w:r>
    </w:p>
    <w:p>
      <w:pPr>
        <w:rPr>
          <w:rFonts w:hint="default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3、一对多（单项）：相邻两表连接时，应尽量使用一对多关系，单向筛选方向时，一表筛选多表</w:t>
      </w:r>
    </w:p>
    <w:p>
      <w:pPr>
        <w:rPr>
          <w:rFonts w:hint="default" w:ascii="微软雅黑" w:hAnsi="微软雅黑" w:eastAsia="微软雅黑" w:cs="微软雅黑"/>
          <w:b/>
          <w:bCs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  <w:t>两种汇总方式</w:t>
      </w: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1、类型一（1表筛*表）（尽量使用）：合并维度，汇总度量，维度筛选度量</w:t>
      </w: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3678555</wp:posOffset>
            </wp:positionH>
            <wp:positionV relativeFrom="paragraph">
              <wp:posOffset>237490</wp:posOffset>
            </wp:positionV>
            <wp:extent cx="2226945" cy="2069465"/>
            <wp:effectExtent l="0" t="0" r="5715" b="3175"/>
            <wp:wrapSquare wrapText="bothSides"/>
            <wp:docPr id="5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26945" cy="206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2、类型二（*表筛1表）（尽量避免）：合并维度，汇总维度下不同公共字段对应的度量、维度选取公共字段，公共字段筛选度量</w:t>
      </w: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  <w:t>相邻两表连接尽量遵循</w:t>
      </w:r>
      <w:r>
        <w:rPr>
          <w:rFonts w:hint="eastAsia" w:ascii="微软雅黑" w:hAnsi="微软雅黑" w:eastAsia="微软雅黑" w:cs="微软雅黑"/>
          <w:color w:val="FF0000"/>
          <w:sz w:val="15"/>
          <w:szCs w:val="15"/>
          <w:lang w:val="en-US" w:eastAsia="zh-CN"/>
        </w:rPr>
        <w:t>1表出维度，*多表出度量</w:t>
      </w:r>
      <w:r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  <w:t>原则</w:t>
      </w:r>
    </w:p>
    <w:p>
      <w:pPr>
        <w:rPr>
          <w:rFonts w:hint="default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跨表筛选时，要求筛选路径通，但也可能出现汇总类型二</w:t>
      </w: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  <w:t>交叉连接</w:t>
      </w: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：交叉连接（至少3条连接路径）只有一条路径为有效路径</w:t>
      </w:r>
    </w:p>
    <w:p>
      <w:pPr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  <w:t>三种模式</w:t>
      </w: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星型模式：一个事实表和多个维度表相连</w:t>
      </w: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雪花模式：维度表与维度表相连，进行维度的扩展</w:t>
      </w: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星座模式：多个事实表共用某些维度表</w:t>
      </w: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  <w:t>5W2H思维模型</w:t>
      </w: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销售管理分析</w:t>
      </w: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销售漏斗模型：潜在--接触--意向--明确--投入--谈判--成交</w:t>
      </w: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  <w:r>
        <w:drawing>
          <wp:inline distT="0" distB="0" distL="114300" distR="114300">
            <wp:extent cx="6337935" cy="3289935"/>
            <wp:effectExtent l="0" t="0" r="1905" b="1905"/>
            <wp:docPr id="5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7935" cy="328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  <w:t>考点21：</w:t>
      </w:r>
      <w:r>
        <w:rPr>
          <w:rFonts w:hint="eastAsia" w:ascii="微软雅黑" w:hAnsi="微软雅黑" w:eastAsia="微软雅黑" w:cs="微软雅黑"/>
          <w:b/>
          <w:bCs/>
          <w:sz w:val="21"/>
          <w:szCs w:val="21"/>
        </w:rPr>
        <w:t>透视分析方法（4%）</w:t>
      </w:r>
    </w:p>
    <w:p>
      <w:pPr>
        <w:rPr>
          <w:rFonts w:hint="default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color w:val="00B0F0"/>
          <w:sz w:val="15"/>
          <w:szCs w:val="15"/>
          <w:lang w:val="en-US" w:eastAsia="zh-CN"/>
        </w:rPr>
        <w:t>数据透视常用规则：汇总计算规则</w:t>
      </w:r>
    </w:p>
    <w:p>
      <w:pPr>
        <w:rPr>
          <w:rFonts w:hint="default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1、</w:t>
      </w:r>
      <w:r>
        <w:rPr>
          <w:rFonts w:hint="eastAsia" w:ascii="微软雅黑" w:hAnsi="微软雅黑" w:eastAsia="微软雅黑" w:cs="微软雅黑"/>
          <w:color w:val="0000FF"/>
          <w:sz w:val="15"/>
          <w:szCs w:val="15"/>
          <w:lang w:val="en-US" w:eastAsia="zh-CN"/>
        </w:rPr>
        <w:t>合计规则</w:t>
      </w: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：将相同维度值下对应的多个度量值相加，SUM函数</w:t>
      </w:r>
    </w:p>
    <w:p>
      <w:pPr>
        <w:rPr>
          <w:rFonts w:hint="default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2、</w:t>
      </w:r>
      <w:r>
        <w:rPr>
          <w:rFonts w:hint="eastAsia" w:ascii="微软雅黑" w:hAnsi="微软雅黑" w:eastAsia="微软雅黑" w:cs="微软雅黑"/>
          <w:color w:val="0000FF"/>
          <w:sz w:val="15"/>
          <w:szCs w:val="15"/>
          <w:lang w:val="en-US" w:eastAsia="zh-CN"/>
        </w:rPr>
        <w:t>计数规则</w:t>
      </w: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：对相同维度值下的度量个数进行计数、COUNT非空计数、DISTINCTCOUNT去重计数</w:t>
      </w: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3、</w:t>
      </w:r>
      <w:r>
        <w:rPr>
          <w:rFonts w:hint="eastAsia" w:ascii="微软雅黑" w:hAnsi="微软雅黑" w:eastAsia="微软雅黑" w:cs="微软雅黑"/>
          <w:color w:val="0000FF"/>
          <w:sz w:val="15"/>
          <w:szCs w:val="15"/>
          <w:lang w:val="en-US" w:eastAsia="zh-CN"/>
        </w:rPr>
        <w:t>平均规则</w:t>
      </w: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：用合计规则的结果除以计数规则的结果，平均=合计/计数，AVERAGE函数</w:t>
      </w: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平均值陷阱：用</w:t>
      </w:r>
      <w:r>
        <w:rPr>
          <w:rFonts w:hint="eastAsia" w:ascii="微软雅黑" w:hAnsi="微软雅黑" w:eastAsia="微软雅黑" w:cs="微软雅黑"/>
          <w:color w:val="FF0000"/>
          <w:sz w:val="15"/>
          <w:szCs w:val="15"/>
          <w:lang w:val="en-US" w:eastAsia="zh-CN"/>
        </w:rPr>
        <w:t>AVERAGE</w:t>
      </w: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求得的</w:t>
      </w:r>
      <w:r>
        <w:rPr>
          <w:rFonts w:hint="eastAsia" w:ascii="微软雅黑" w:hAnsi="微软雅黑" w:eastAsia="微软雅黑" w:cs="微软雅黑"/>
          <w:color w:val="FF0000"/>
          <w:sz w:val="15"/>
          <w:szCs w:val="15"/>
          <w:lang w:val="en-US" w:eastAsia="zh-CN"/>
        </w:rPr>
        <w:t>平均值是</w:t>
      </w: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默认主键维度下的平均值，使用“总计/个数”就可以避免“均值陷阱”</w:t>
      </w:r>
    </w:p>
    <w:p>
      <w:pPr>
        <w:rPr>
          <w:rFonts w:hint="default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4、</w:t>
      </w:r>
      <w:r>
        <w:rPr>
          <w:rFonts w:hint="eastAsia" w:ascii="微软雅黑" w:hAnsi="微软雅黑" w:eastAsia="微软雅黑" w:cs="微软雅黑"/>
          <w:color w:val="0000FF"/>
          <w:sz w:val="15"/>
          <w:szCs w:val="15"/>
          <w:lang w:val="en-US" w:eastAsia="zh-CN"/>
        </w:rPr>
        <w:t>最大值规则</w:t>
      </w: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：求相同维度下的最大度量值，MAX函数</w:t>
      </w: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5、</w:t>
      </w:r>
      <w:r>
        <w:rPr>
          <w:rFonts w:hint="eastAsia" w:ascii="微软雅黑" w:hAnsi="微软雅黑" w:eastAsia="微软雅黑" w:cs="微软雅黑"/>
          <w:color w:val="0000FF"/>
          <w:sz w:val="15"/>
          <w:szCs w:val="15"/>
          <w:lang w:val="en-US" w:eastAsia="zh-CN"/>
        </w:rPr>
        <w:t>最小值规则</w:t>
      </w: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：求相同维度下的最小度量值，MIN函数</w:t>
      </w:r>
      <w:bookmarkStart w:id="0" w:name="_GoBack"/>
      <w:bookmarkEnd w:id="0"/>
    </w:p>
    <w:p>
      <w:pPr>
        <w:rPr>
          <w:rFonts w:hint="default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color w:val="00B0F0"/>
          <w:sz w:val="15"/>
          <w:szCs w:val="15"/>
          <w:lang w:val="en-US" w:eastAsia="zh-CN"/>
        </w:rPr>
        <w:t>数据透视拓展规则：对比计算规则</w:t>
      </w: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1、</w:t>
      </w:r>
      <w:r>
        <w:rPr>
          <w:rFonts w:hint="eastAsia" w:ascii="微软雅黑" w:hAnsi="微软雅黑" w:eastAsia="微软雅黑" w:cs="微软雅黑"/>
          <w:color w:val="0000FF"/>
          <w:sz w:val="15"/>
          <w:szCs w:val="15"/>
          <w:lang w:val="en-US" w:eastAsia="zh-CN"/>
        </w:rPr>
        <w:t>均比</w:t>
      </w: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：实际值与平均值之间的对比，同类型产品销售情况</w:t>
      </w: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2、</w:t>
      </w:r>
      <w:r>
        <w:rPr>
          <w:rFonts w:hint="eastAsia" w:ascii="微软雅黑" w:hAnsi="微软雅黑" w:eastAsia="微软雅黑" w:cs="微软雅黑"/>
          <w:color w:val="0000FF"/>
          <w:sz w:val="15"/>
          <w:szCs w:val="15"/>
          <w:lang w:val="en-US" w:eastAsia="zh-CN"/>
        </w:rPr>
        <w:t>基准比</w:t>
      </w: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：实际值与基准值之间的对比，成绩水平</w:t>
      </w: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3、</w:t>
      </w:r>
      <w:r>
        <w:rPr>
          <w:rFonts w:hint="eastAsia" w:ascii="微软雅黑" w:hAnsi="微软雅黑" w:eastAsia="微软雅黑" w:cs="微软雅黑"/>
          <w:color w:val="0000FF"/>
          <w:sz w:val="15"/>
          <w:szCs w:val="15"/>
          <w:lang w:val="en-US" w:eastAsia="zh-CN"/>
        </w:rPr>
        <w:t>目标比</w:t>
      </w: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：实际值与目标值之间的对比，销售业绩绩效</w:t>
      </w: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4、</w:t>
      </w:r>
      <w:r>
        <w:rPr>
          <w:rFonts w:hint="eastAsia" w:ascii="微软雅黑" w:hAnsi="微软雅黑" w:eastAsia="微软雅黑" w:cs="微软雅黑"/>
          <w:color w:val="0000FF"/>
          <w:sz w:val="15"/>
          <w:szCs w:val="15"/>
          <w:lang w:val="en-US" w:eastAsia="zh-CN"/>
        </w:rPr>
        <w:t>标准比</w:t>
      </w: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：实际值与标准值之间的对比，工场工作水平绩效</w:t>
      </w: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5、</w:t>
      </w:r>
      <w:r>
        <w:rPr>
          <w:rFonts w:hint="eastAsia" w:ascii="微软雅黑" w:hAnsi="微软雅黑" w:eastAsia="微软雅黑" w:cs="微软雅黑"/>
          <w:color w:val="0000FF"/>
          <w:sz w:val="15"/>
          <w:szCs w:val="15"/>
          <w:lang w:val="en-US" w:eastAsia="zh-CN"/>
        </w:rPr>
        <w:t>占比</w:t>
      </w: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：部分与总体的对比，不同区域销售额占比</w:t>
      </w:r>
    </w:p>
    <w:p>
      <w:pPr>
        <w:rPr>
          <w:rFonts w:hint="default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color w:val="00B0F0"/>
          <w:sz w:val="15"/>
          <w:szCs w:val="15"/>
          <w:lang w:val="en-US" w:eastAsia="zh-CN"/>
        </w:rPr>
        <w:t>时间下的汇总规则</w:t>
      </w:r>
    </w:p>
    <w:p>
      <w:pPr>
        <w:rPr>
          <w:rFonts w:hint="eastAsia" w:ascii="微软雅黑" w:hAnsi="微软雅黑" w:eastAsia="微软雅黑" w:cs="微软雅黑"/>
          <w:sz w:val="15"/>
          <w:szCs w:val="15"/>
        </w:rPr>
      </w:pPr>
      <w:r>
        <w:rPr>
          <w:rFonts w:hint="eastAsia" w:ascii="微软雅黑" w:hAnsi="微软雅黑" w:eastAsia="微软雅黑" w:cs="微软雅黑"/>
          <w:sz w:val="15"/>
          <w:szCs w:val="15"/>
        </w:rPr>
        <w:t>MTD：月初至当前日期的汇总</w:t>
      </w:r>
    </w:p>
    <w:p>
      <w:pPr>
        <w:rPr>
          <w:rFonts w:hint="eastAsia" w:ascii="微软雅黑" w:hAnsi="微软雅黑" w:eastAsia="微软雅黑" w:cs="微软雅黑"/>
          <w:sz w:val="15"/>
          <w:szCs w:val="15"/>
        </w:rPr>
      </w:pPr>
      <w:r>
        <w:rPr>
          <w:rFonts w:hint="eastAsia" w:ascii="微软雅黑" w:hAnsi="微软雅黑" w:eastAsia="微软雅黑" w:cs="微软雅黑"/>
          <w:sz w:val="15"/>
          <w:szCs w:val="15"/>
        </w:rPr>
        <w:t>QTD：季度初至当前日期的汇总</w:t>
      </w:r>
    </w:p>
    <w:p>
      <w:pPr>
        <w:rPr>
          <w:rFonts w:hint="eastAsia" w:ascii="微软雅黑" w:hAnsi="微软雅黑" w:eastAsia="微软雅黑" w:cs="微软雅黑"/>
          <w:sz w:val="15"/>
          <w:szCs w:val="15"/>
        </w:rPr>
      </w:pPr>
      <w:r>
        <w:rPr>
          <w:rFonts w:hint="eastAsia" w:ascii="微软雅黑" w:hAnsi="微软雅黑" w:eastAsia="微软雅黑" w:cs="微软雅黑"/>
          <w:sz w:val="15"/>
          <w:szCs w:val="15"/>
        </w:rPr>
        <w:t>YTD：年初至当前日期的汇总</w:t>
      </w:r>
    </w:p>
    <w:p>
      <w:pPr>
        <w:rPr>
          <w:rFonts w:hint="eastAsia" w:ascii="微软雅黑" w:hAnsi="微软雅黑" w:eastAsia="微软雅黑" w:cs="微软雅黑"/>
          <w:sz w:val="15"/>
          <w:szCs w:val="15"/>
        </w:rPr>
      </w:pPr>
      <w:r>
        <w:rPr>
          <w:rFonts w:hint="eastAsia" w:ascii="微软雅黑" w:hAnsi="微软雅黑" w:eastAsia="微软雅黑" w:cs="微软雅黑"/>
          <w:sz w:val="15"/>
          <w:szCs w:val="15"/>
        </w:rPr>
        <w:t>环比：当期值与上期值之间的对比</w:t>
      </w:r>
    </w:p>
    <w:p>
      <w:pPr>
        <w:rPr>
          <w:rFonts w:hint="eastAsia" w:ascii="微软雅黑" w:hAnsi="微软雅黑" w:eastAsia="微软雅黑" w:cs="微软雅黑"/>
          <w:sz w:val="15"/>
          <w:szCs w:val="15"/>
        </w:rPr>
      </w:pPr>
      <w:r>
        <w:rPr>
          <w:rFonts w:hint="eastAsia" w:ascii="微软雅黑" w:hAnsi="微软雅黑" w:eastAsia="微软雅黑" w:cs="微软雅黑"/>
          <w:sz w:val="15"/>
          <w:szCs w:val="15"/>
        </w:rPr>
        <w:t>同比：当期值与同期值之间的对比</w:t>
      </w:r>
    </w:p>
    <w:p>
      <w:pPr>
        <w:rPr>
          <w:rFonts w:hint="eastAsia" w:ascii="微软雅黑" w:hAnsi="微软雅黑" w:eastAsia="微软雅黑" w:cs="微软雅黑"/>
          <w:color w:val="00B0F0"/>
          <w:sz w:val="15"/>
          <w:szCs w:val="15"/>
        </w:rPr>
      </w:pPr>
      <w:r>
        <w:rPr>
          <w:rFonts w:hint="eastAsia" w:ascii="微软雅黑" w:hAnsi="微软雅黑" w:eastAsia="微软雅黑" w:cs="微软雅黑"/>
          <w:color w:val="00B0F0"/>
          <w:sz w:val="15"/>
          <w:szCs w:val="15"/>
        </w:rPr>
        <w:t>对比汇总公式</w:t>
      </w:r>
    </w:p>
    <w:p>
      <w:pPr>
        <w:rPr>
          <w:rFonts w:hint="eastAsia" w:ascii="微软雅黑" w:hAnsi="微软雅黑" w:eastAsia="微软雅黑" w:cs="微软雅黑"/>
          <w:sz w:val="15"/>
          <w:szCs w:val="15"/>
        </w:rPr>
      </w:pPr>
      <w:r>
        <w:rPr>
          <w:rFonts w:hint="eastAsia" w:ascii="微软雅黑" w:hAnsi="微软雅黑" w:eastAsia="微软雅黑" w:cs="微软雅黑"/>
          <w:sz w:val="15"/>
          <w:szCs w:val="15"/>
        </w:rPr>
        <w:t>对比百分比：</w:t>
      </w:r>
      <w:r>
        <w:rPr>
          <w:rFonts w:hint="eastAsia" w:ascii="微软雅黑" w:hAnsi="微软雅黑" w:eastAsia="微软雅黑" w:cs="微软雅黑"/>
          <w:sz w:val="15"/>
          <w:szCs w:val="15"/>
          <w:lang w:eastAsia="zh-CN"/>
        </w:rPr>
        <w:t>（</w:t>
      </w:r>
      <w:r>
        <w:rPr>
          <w:rFonts w:hint="eastAsia" w:ascii="微软雅黑" w:hAnsi="微软雅黑" w:eastAsia="微软雅黑" w:cs="微软雅黑"/>
          <w:sz w:val="15"/>
          <w:szCs w:val="15"/>
        </w:rPr>
        <w:t>实际值</w:t>
      </w: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15"/>
          <w:szCs w:val="15"/>
        </w:rPr>
        <w:t>/</w:t>
      </w: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15"/>
          <w:szCs w:val="15"/>
        </w:rPr>
        <w:t>对比值</w:t>
      </w:r>
      <w:r>
        <w:rPr>
          <w:rFonts w:hint="eastAsia" w:ascii="微软雅黑" w:hAnsi="微软雅黑" w:eastAsia="微软雅黑" w:cs="微软雅黑"/>
          <w:sz w:val="15"/>
          <w:szCs w:val="15"/>
          <w:lang w:eastAsia="zh-CN"/>
        </w:rPr>
        <w:t>）</w:t>
      </w: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15"/>
          <w:szCs w:val="15"/>
        </w:rPr>
        <w:t>*</w:t>
      </w: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15"/>
          <w:szCs w:val="15"/>
        </w:rPr>
        <w:t>100%</w:t>
      </w:r>
    </w:p>
    <w:p>
      <w:pPr>
        <w:rPr>
          <w:rFonts w:hint="eastAsia" w:ascii="微软雅黑" w:hAnsi="微软雅黑" w:eastAsia="微软雅黑" w:cs="微软雅黑"/>
          <w:sz w:val="15"/>
          <w:szCs w:val="15"/>
        </w:rPr>
      </w:pPr>
      <w:r>
        <w:rPr>
          <w:rFonts w:hint="eastAsia" w:ascii="微软雅黑" w:hAnsi="微软雅黑" w:eastAsia="微软雅黑" w:cs="微软雅黑"/>
          <w:color w:val="0000FF"/>
          <w:sz w:val="15"/>
          <w:szCs w:val="15"/>
        </w:rPr>
        <w:t>差异百分比</w:t>
      </w:r>
      <w:r>
        <w:rPr>
          <w:rFonts w:hint="eastAsia" w:ascii="微软雅黑" w:hAnsi="微软雅黑" w:eastAsia="微软雅黑" w:cs="微软雅黑"/>
          <w:sz w:val="15"/>
          <w:szCs w:val="15"/>
        </w:rPr>
        <w:t>：（实际值</w:t>
      </w: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15"/>
          <w:szCs w:val="15"/>
        </w:rPr>
        <w:t>-</w:t>
      </w: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15"/>
          <w:szCs w:val="15"/>
        </w:rPr>
        <w:t>对比值）/</w:t>
      </w: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15"/>
          <w:szCs w:val="15"/>
        </w:rPr>
        <w:t>对比值</w:t>
      </w: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15"/>
          <w:szCs w:val="15"/>
        </w:rPr>
        <w:t>*</w:t>
      </w: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15"/>
          <w:szCs w:val="15"/>
        </w:rPr>
        <w:t>100%</w:t>
      </w:r>
    </w:p>
    <w:p>
      <w:pPr>
        <w:rPr>
          <w:rFonts w:hint="eastAsia" w:ascii="微软雅黑" w:hAnsi="微软雅黑" w:eastAsia="微软雅黑" w:cs="微软雅黑"/>
          <w:sz w:val="15"/>
          <w:szCs w:val="15"/>
        </w:rPr>
      </w:pPr>
      <w:r>
        <w:rPr>
          <w:rFonts w:hint="eastAsia" w:ascii="微软雅黑" w:hAnsi="微软雅黑" w:eastAsia="微软雅黑" w:cs="微软雅黑"/>
          <w:color w:val="00B0F0"/>
          <w:sz w:val="15"/>
          <w:szCs w:val="15"/>
        </w:rPr>
        <w:t>行间透视</w:t>
      </w:r>
      <w:r>
        <w:rPr>
          <w:rFonts w:hint="eastAsia" w:ascii="微软雅黑" w:hAnsi="微软雅黑" w:eastAsia="微软雅黑" w:cs="微软雅黑"/>
          <w:sz w:val="15"/>
          <w:szCs w:val="15"/>
        </w:rPr>
        <w:t>：针对每行值分别求得整体汇总值，类似于开窗函数</w:t>
      </w:r>
    </w:p>
    <w:p>
      <w:pPr>
        <w:rPr>
          <w:rFonts w:hint="default" w:ascii="微软雅黑" w:hAnsi="微软雅黑" w:eastAsia="微软雅黑" w:cs="微软雅黑"/>
          <w:b/>
          <w:bCs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  <w:t>多维透视分析应用</w:t>
      </w:r>
    </w:p>
    <w:p>
      <w:pPr>
        <w:rPr>
          <w:rFonts w:hint="eastAsia" w:ascii="微软雅黑" w:hAnsi="微软雅黑" w:eastAsia="微软雅黑" w:cs="微软雅黑"/>
          <w:sz w:val="15"/>
          <w:szCs w:val="15"/>
        </w:rPr>
      </w:pPr>
      <w:r>
        <w:drawing>
          <wp:inline distT="0" distB="0" distL="114300" distR="114300">
            <wp:extent cx="4191000" cy="1902460"/>
            <wp:effectExtent l="0" t="0" r="0" b="2540"/>
            <wp:docPr id="5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90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cs="微软雅黑" w:eastAsiaTheme="minorEastAsia"/>
          <w:sz w:val="15"/>
          <w:szCs w:val="15"/>
          <w:lang w:val="en-US" w:eastAsia="zh-CN"/>
        </w:rPr>
      </w:pPr>
      <w:r>
        <w:drawing>
          <wp:inline distT="0" distB="0" distL="114300" distR="114300">
            <wp:extent cx="3627755" cy="2207895"/>
            <wp:effectExtent l="0" t="0" r="6985" b="1905"/>
            <wp:docPr id="5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7755" cy="220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lang w:val="en-US" w:eastAsia="zh-CN"/>
        </w:rPr>
        <w:t>业务背景介绍</w:t>
      </w:r>
    </w:p>
    <w:p>
      <w:pPr>
        <w:rPr>
          <w:rFonts w:hint="eastAsia" w:ascii="微软雅黑" w:hAnsi="微软雅黑" w:cs="微软雅黑" w:eastAsiaTheme="minorEastAsia"/>
          <w:sz w:val="15"/>
          <w:szCs w:val="15"/>
          <w:lang w:val="en-US" w:eastAsia="zh-CN"/>
        </w:rPr>
      </w:pPr>
      <w:r>
        <w:drawing>
          <wp:inline distT="0" distB="0" distL="114300" distR="114300">
            <wp:extent cx="4869180" cy="2524125"/>
            <wp:effectExtent l="0" t="0" r="0" b="5715"/>
            <wp:docPr id="6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搭建多维数据模型</w:t>
      </w:r>
    </w:p>
    <w:p>
      <w:pPr>
        <w:rPr>
          <w:rFonts w:hint="default" w:ascii="微软雅黑" w:hAnsi="微软雅黑" w:cs="微软雅黑" w:eastAsiaTheme="minorEastAsia"/>
          <w:sz w:val="15"/>
          <w:szCs w:val="15"/>
          <w:lang w:val="en-US" w:eastAsia="zh-CN"/>
        </w:rPr>
      </w:pPr>
      <w:r>
        <w:drawing>
          <wp:inline distT="0" distB="0" distL="114300" distR="114300">
            <wp:extent cx="5285740" cy="2590800"/>
            <wp:effectExtent l="0" t="0" r="2540" b="0"/>
            <wp:docPr id="6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4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574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制作展示界面</w:t>
      </w:r>
    </w:p>
    <w:p>
      <w:pPr>
        <w:rPr>
          <w:rFonts w:hint="eastAsia" w:ascii="微软雅黑" w:hAnsi="微软雅黑" w:eastAsia="微软雅黑" w:cs="微软雅黑"/>
          <w:sz w:val="15"/>
          <w:szCs w:val="15"/>
        </w:rPr>
      </w:pPr>
    </w:p>
    <w:p>
      <w:pPr>
        <w:rPr>
          <w:rFonts w:hint="eastAsia" w:ascii="微软雅黑" w:hAnsi="微软雅黑" w:eastAsia="微软雅黑" w:cs="微软雅黑"/>
          <w:sz w:val="15"/>
          <w:szCs w:val="15"/>
        </w:rPr>
      </w:pPr>
    </w:p>
    <w:p>
      <w:pPr>
        <w:rPr>
          <w:rFonts w:hint="eastAsia" w:ascii="微软雅黑" w:hAnsi="微软雅黑" w:eastAsia="微软雅黑" w:cs="微软雅黑"/>
          <w:sz w:val="15"/>
          <w:szCs w:val="15"/>
        </w:rPr>
      </w:pPr>
    </w:p>
    <w:p>
      <w:pPr>
        <w:rPr>
          <w:rFonts w:hint="eastAsia" w:ascii="微软雅黑" w:hAnsi="微软雅黑" w:eastAsia="微软雅黑" w:cs="微软雅黑"/>
          <w:sz w:val="15"/>
          <w:szCs w:val="15"/>
        </w:rPr>
      </w:pPr>
    </w:p>
    <w:p>
      <w:pPr>
        <w:rPr>
          <w:rFonts w:hint="eastAsia" w:ascii="微软雅黑" w:hAnsi="微软雅黑" w:eastAsia="微软雅黑" w:cs="微软雅黑"/>
          <w:sz w:val="15"/>
          <w:szCs w:val="15"/>
        </w:rPr>
      </w:pPr>
    </w:p>
    <w:p>
      <w:pPr>
        <w:rPr>
          <w:rFonts w:hint="eastAsia" w:ascii="微软雅黑" w:hAnsi="微软雅黑" w:eastAsia="微软雅黑" w:cs="微软雅黑"/>
          <w:sz w:val="15"/>
          <w:szCs w:val="15"/>
        </w:rPr>
      </w:pPr>
    </w:p>
    <w:p>
      <w:pPr>
        <w:rPr>
          <w:rFonts w:hint="eastAsia" w:ascii="微软雅黑" w:hAnsi="微软雅黑" w:eastAsia="微软雅黑" w:cs="微软雅黑"/>
          <w:sz w:val="15"/>
          <w:szCs w:val="15"/>
        </w:rPr>
      </w:pPr>
    </w:p>
    <w:p>
      <w:pPr>
        <w:rPr>
          <w:rFonts w:hint="eastAsia" w:ascii="微软雅黑" w:hAnsi="微软雅黑" w:eastAsia="微软雅黑" w:cs="微软雅黑"/>
          <w:sz w:val="15"/>
          <w:szCs w:val="15"/>
        </w:rPr>
      </w:pPr>
    </w:p>
    <w:p>
      <w:pPr>
        <w:rPr>
          <w:rFonts w:hint="eastAsia" w:ascii="微软雅黑" w:hAnsi="微软雅黑" w:eastAsia="微软雅黑" w:cs="微软雅黑"/>
          <w:sz w:val="15"/>
          <w:szCs w:val="15"/>
        </w:rPr>
      </w:pPr>
    </w:p>
    <w:p>
      <w:pPr>
        <w:rPr>
          <w:rFonts w:hint="eastAsia" w:ascii="微软雅黑" w:hAnsi="微软雅黑" w:eastAsia="微软雅黑" w:cs="微软雅黑"/>
          <w:sz w:val="15"/>
          <w:szCs w:val="15"/>
        </w:rPr>
      </w:pPr>
    </w:p>
    <w:p>
      <w:pPr>
        <w:rPr>
          <w:rFonts w:hint="eastAsia" w:ascii="微软雅黑" w:hAnsi="微软雅黑" w:eastAsia="微软雅黑" w:cs="微软雅黑"/>
          <w:sz w:val="15"/>
          <w:szCs w:val="15"/>
        </w:rPr>
      </w:pPr>
    </w:p>
    <w:p>
      <w:pPr>
        <w:rPr>
          <w:rFonts w:hint="eastAsia" w:ascii="微软雅黑" w:hAnsi="微软雅黑" w:eastAsia="微软雅黑" w:cs="微软雅黑"/>
          <w:sz w:val="15"/>
          <w:szCs w:val="15"/>
        </w:rPr>
      </w:pPr>
    </w:p>
    <w:p>
      <w:pPr>
        <w:rPr>
          <w:rFonts w:hint="eastAsia" w:ascii="微软雅黑" w:hAnsi="微软雅黑" w:eastAsia="微软雅黑" w:cs="微软雅黑"/>
          <w:sz w:val="15"/>
          <w:szCs w:val="15"/>
        </w:rPr>
      </w:pPr>
    </w:p>
    <w:p>
      <w:pPr>
        <w:rPr>
          <w:rFonts w:hint="eastAsia" w:ascii="微软雅黑" w:hAnsi="微软雅黑" w:eastAsia="微软雅黑" w:cs="微软雅黑"/>
          <w:sz w:val="15"/>
          <w:szCs w:val="15"/>
        </w:rPr>
      </w:pPr>
    </w:p>
    <w:p>
      <w:pPr>
        <w:rPr>
          <w:rFonts w:hint="eastAsia" w:ascii="微软雅黑" w:hAnsi="微软雅黑" w:eastAsia="微软雅黑" w:cs="微软雅黑"/>
          <w:sz w:val="15"/>
          <w:szCs w:val="15"/>
        </w:rPr>
      </w:pPr>
    </w:p>
    <w:p>
      <w:pPr>
        <w:rPr>
          <w:rFonts w:hint="eastAsia" w:ascii="微软雅黑" w:hAnsi="微软雅黑" w:eastAsia="微软雅黑" w:cs="微软雅黑"/>
          <w:sz w:val="15"/>
          <w:szCs w:val="15"/>
        </w:rPr>
      </w:pPr>
    </w:p>
    <w:p>
      <w:pPr>
        <w:rPr>
          <w:rFonts w:hint="eastAsia" w:ascii="微软雅黑" w:hAnsi="微软雅黑" w:eastAsia="微软雅黑" w:cs="微软雅黑"/>
          <w:sz w:val="15"/>
          <w:szCs w:val="15"/>
        </w:rPr>
      </w:pPr>
    </w:p>
    <w:p>
      <w:pPr>
        <w:rPr>
          <w:rFonts w:hint="eastAsia" w:ascii="微软雅黑" w:hAnsi="微软雅黑" w:eastAsia="微软雅黑" w:cs="微软雅黑"/>
          <w:sz w:val="15"/>
          <w:szCs w:val="15"/>
        </w:rPr>
      </w:pPr>
    </w:p>
    <w:p>
      <w:pPr>
        <w:rPr>
          <w:rFonts w:hint="eastAsia" w:ascii="微软雅黑" w:hAnsi="微软雅黑" w:eastAsia="微软雅黑" w:cs="微软雅黑"/>
          <w:sz w:val="15"/>
          <w:szCs w:val="15"/>
        </w:rPr>
      </w:pPr>
    </w:p>
    <w:p>
      <w:pPr>
        <w:rPr>
          <w:rFonts w:hint="eastAsia" w:ascii="微软雅黑" w:hAnsi="微软雅黑" w:eastAsia="微软雅黑" w:cs="微软雅黑"/>
          <w:sz w:val="15"/>
          <w:szCs w:val="15"/>
        </w:rPr>
      </w:pPr>
    </w:p>
    <w:sectPr>
      <w:pgSz w:w="11906" w:h="16838"/>
      <w:pgMar w:top="850" w:right="850" w:bottom="850" w:left="850" w:header="851" w:footer="624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B2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FkZDczYTc5MzExNGEyM2U5ZjU1MzM2ZDE2YTAzYzQifQ=="/>
  </w:docVars>
  <w:rsids>
    <w:rsidRoot w:val="00000000"/>
    <w:rsid w:val="001662CA"/>
    <w:rsid w:val="01115B19"/>
    <w:rsid w:val="032E7EB7"/>
    <w:rsid w:val="03F83FE9"/>
    <w:rsid w:val="05C70610"/>
    <w:rsid w:val="06CC40D1"/>
    <w:rsid w:val="09CE16FB"/>
    <w:rsid w:val="0A156DB3"/>
    <w:rsid w:val="0E684512"/>
    <w:rsid w:val="10661E8E"/>
    <w:rsid w:val="10946A59"/>
    <w:rsid w:val="11982048"/>
    <w:rsid w:val="14EA75A2"/>
    <w:rsid w:val="16836DC0"/>
    <w:rsid w:val="16AE69C4"/>
    <w:rsid w:val="171B0BD7"/>
    <w:rsid w:val="17826CE3"/>
    <w:rsid w:val="1C5925D4"/>
    <w:rsid w:val="1D9B798A"/>
    <w:rsid w:val="1EB32420"/>
    <w:rsid w:val="1FB31681"/>
    <w:rsid w:val="21AD70E6"/>
    <w:rsid w:val="22774B4C"/>
    <w:rsid w:val="23D82441"/>
    <w:rsid w:val="241634F6"/>
    <w:rsid w:val="25835E21"/>
    <w:rsid w:val="266D0C81"/>
    <w:rsid w:val="28A476D1"/>
    <w:rsid w:val="28C35BEB"/>
    <w:rsid w:val="2A1468F8"/>
    <w:rsid w:val="2B8723B0"/>
    <w:rsid w:val="2B8B6927"/>
    <w:rsid w:val="2B8D0D95"/>
    <w:rsid w:val="2C443561"/>
    <w:rsid w:val="33430AE1"/>
    <w:rsid w:val="33D056F5"/>
    <w:rsid w:val="355E68B5"/>
    <w:rsid w:val="3A3642BC"/>
    <w:rsid w:val="3C0537A3"/>
    <w:rsid w:val="3C936828"/>
    <w:rsid w:val="3D70791B"/>
    <w:rsid w:val="3DC93B3A"/>
    <w:rsid w:val="400C5052"/>
    <w:rsid w:val="42493AD4"/>
    <w:rsid w:val="43523C7B"/>
    <w:rsid w:val="4C2615EA"/>
    <w:rsid w:val="4CF478FE"/>
    <w:rsid w:val="4D4E0A1D"/>
    <w:rsid w:val="4DEF38DF"/>
    <w:rsid w:val="4FBB67B2"/>
    <w:rsid w:val="5082712D"/>
    <w:rsid w:val="531225F7"/>
    <w:rsid w:val="5492552C"/>
    <w:rsid w:val="550D32D9"/>
    <w:rsid w:val="56C053D1"/>
    <w:rsid w:val="57055743"/>
    <w:rsid w:val="573B6488"/>
    <w:rsid w:val="585B3923"/>
    <w:rsid w:val="59056B15"/>
    <w:rsid w:val="5AEA0317"/>
    <w:rsid w:val="5C8B594B"/>
    <w:rsid w:val="616404C2"/>
    <w:rsid w:val="63EA7AA4"/>
    <w:rsid w:val="640921A8"/>
    <w:rsid w:val="645E0CED"/>
    <w:rsid w:val="65985D30"/>
    <w:rsid w:val="66A75C4B"/>
    <w:rsid w:val="681724DB"/>
    <w:rsid w:val="68262D33"/>
    <w:rsid w:val="6863434A"/>
    <w:rsid w:val="68EB28F1"/>
    <w:rsid w:val="69BE54C4"/>
    <w:rsid w:val="6F33447D"/>
    <w:rsid w:val="6F9B1D49"/>
    <w:rsid w:val="70852C3B"/>
    <w:rsid w:val="726C0DBD"/>
    <w:rsid w:val="76216471"/>
    <w:rsid w:val="793179A9"/>
    <w:rsid w:val="7AAB73DD"/>
    <w:rsid w:val="7B796FC6"/>
    <w:rsid w:val="7CAC05CF"/>
    <w:rsid w:val="7D630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9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rPr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1164</Words>
  <Characters>1228</Characters>
  <Lines>0</Lines>
  <Paragraphs>0</Paragraphs>
  <TotalTime>0</TotalTime>
  <ScaleCrop>false</ScaleCrop>
  <LinksUpToDate>false</LinksUpToDate>
  <CharactersWithSpaces>1239</CharactersWithSpaces>
  <Application>WPS Office_11.1.0.11875_F1E327BC-269C-435d-A152-05C5408002CA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2022-07-28T11:07:00Z</dcterms:created>
  <dc:creator>10595</dc:creator>
  <cp:lastModifiedBy>张乐</cp:lastModifiedBy>
  <cp:lastPrinted>2022-07-31T14:23:00Z</cp:lastPrinted>
  <dcterms:modified xsi:type="dcterms:W3CDTF">2022-08-01T08:58:10Z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2052-11.1.0.11875</vt:lpwstr>
  </property>
  <property fmtid="{D5CDD505-2E9C-101B-9397-08002B2CF9AE}" pid="3" name="ICV">
    <vt:lpwstr>9864952799704D73A7D8635920157D1D</vt:lpwstr>
  </property>
</Properties>
</file>