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Why the mediators (IC, AF, PP) don't work — and how to fix it</w:t>
      </w:r>
    </w:p>
    <w:p>
      <w:r>
        <w:rPr>
          <w:i/>
        </w:rPr>
        <w:t>AI Companion Study 5 — mediation diagnostics (analysis filter applied, n = 177)</w:t>
      </w:r>
    </w:p>
    <w:p>
      <w:r>
        <w:rPr>
          <w:color w:val="808080"/>
        </w:rPr>
        <w:t>Prepared 3 June 2026</w:t>
      </w:r>
    </w:p>
    <w:p>
      <w:pPr>
        <w:pStyle w:val="Heading1"/>
      </w:pPr>
      <w:r>
        <w:t>Bottom line</w:t>
      </w:r>
    </w:p>
    <w:p>
      <w:pPr>
        <w:pStyle w:val="ListBullet"/>
      </w:pPr>
      <w:r>
        <w:t>The single decisive reason: the modality manipulation does NOT change any of the proposed mediators (the a-path is null for IC, AF, and PP). A mediator can only transmit an effect if the conditions differ on it — these don't, so no indirect effect is possible.</w:t>
      </w:r>
    </w:p>
    <w:p>
      <w:pPr>
        <w:pStyle w:val="ListBullet"/>
      </w:pPr>
      <w:r>
        <w:t>This is not a failed manipulation: 100% of participants correctly recalled their format. People knew they were in VR vs Text; it simply did not change their felt control, flow, or presence.</w:t>
      </w:r>
    </w:p>
    <w:p>
      <w:pPr>
        <w:pStyle w:val="ListBullet"/>
      </w:pPr>
      <w:r>
        <w:t>Therefore this should be reported as an informative null (the disclosure effect is NOT explained by these experiences), not 'fixed' by searching for a significant mediator.</w:t>
      </w:r>
    </w:p>
    <w:p>
      <w:pPr>
        <w:pStyle w:val="Heading1"/>
      </w:pPr>
      <w:r>
        <w:t>Diagnostic 1 — a-paths (does modality move the mediator?)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Mediator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VR mean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Text mean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a-path p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Verdict</w:t>
            </w:r>
          </w:p>
        </w:tc>
      </w:tr>
      <w:tr>
        <w:tc>
          <w:tcPr>
            <w:tcW w:type="dxa" w:w="1728"/>
          </w:tcPr>
          <w:p>
            <w:r>
              <w:t>IC – information control</w:t>
            </w:r>
          </w:p>
        </w:tc>
        <w:tc>
          <w:tcPr>
            <w:tcW w:type="dxa" w:w="1728"/>
          </w:tcPr>
          <w:p>
            <w:r>
              <w:t>5.76</w:t>
            </w:r>
          </w:p>
        </w:tc>
        <w:tc>
          <w:tcPr>
            <w:tcW w:type="dxa" w:w="1728"/>
          </w:tcPr>
          <w:p>
            <w:r>
              <w:t>5.78</w:t>
            </w:r>
          </w:p>
        </w:tc>
        <w:tc>
          <w:tcPr>
            <w:tcW w:type="dxa" w:w="1728"/>
          </w:tcPr>
          <w:p>
            <w:r>
              <w:t>= 0.913</w:t>
            </w:r>
          </w:p>
        </w:tc>
        <w:tc>
          <w:tcPr>
            <w:tcW w:type="dxa" w:w="1728"/>
          </w:tcPr>
          <w:p>
            <w:r>
              <w:t>no difference</w:t>
            </w:r>
          </w:p>
        </w:tc>
      </w:tr>
      <w:tr>
        <w:tc>
          <w:tcPr>
            <w:tcW w:type="dxa" w:w="1728"/>
          </w:tcPr>
          <w:p>
            <w:r>
              <w:t>AF – flow/absorption</w:t>
            </w:r>
          </w:p>
        </w:tc>
        <w:tc>
          <w:tcPr>
            <w:tcW w:type="dxa" w:w="1728"/>
          </w:tcPr>
          <w:p>
            <w:r>
              <w:t>5.04</w:t>
            </w:r>
          </w:p>
        </w:tc>
        <w:tc>
          <w:tcPr>
            <w:tcW w:type="dxa" w:w="1728"/>
          </w:tcPr>
          <w:p>
            <w:r>
              <w:t>4.85</w:t>
            </w:r>
          </w:p>
        </w:tc>
        <w:tc>
          <w:tcPr>
            <w:tcW w:type="dxa" w:w="1728"/>
          </w:tcPr>
          <w:p>
            <w:r>
              <w:t>= 0.277</w:t>
            </w:r>
          </w:p>
        </w:tc>
        <w:tc>
          <w:tcPr>
            <w:tcW w:type="dxa" w:w="1728"/>
          </w:tcPr>
          <w:p>
            <w:r>
              <w:t>no difference</w:t>
            </w:r>
          </w:p>
        </w:tc>
      </w:tr>
      <w:tr>
        <w:tc>
          <w:tcPr>
            <w:tcW w:type="dxa" w:w="1728"/>
          </w:tcPr>
          <w:p>
            <w:r>
              <w:t>PP – presence/absorption</w:t>
            </w:r>
          </w:p>
        </w:tc>
        <w:tc>
          <w:tcPr>
            <w:tcW w:type="dxa" w:w="1728"/>
          </w:tcPr>
          <w:p>
            <w:r>
              <w:t>4.96</w:t>
            </w:r>
          </w:p>
        </w:tc>
        <w:tc>
          <w:tcPr>
            <w:tcW w:type="dxa" w:w="1728"/>
          </w:tcPr>
          <w:p>
            <w:r>
              <w:t>4.96</w:t>
            </w:r>
          </w:p>
        </w:tc>
        <w:tc>
          <w:tcPr>
            <w:tcW w:type="dxa" w:w="1728"/>
          </w:tcPr>
          <w:p>
            <w:r>
              <w:t>= 0.976</w:t>
            </w:r>
          </w:p>
        </w:tc>
        <w:tc>
          <w:tcPr>
            <w:tcW w:type="dxa" w:w="1728"/>
          </w:tcPr>
          <w:p>
            <w:r>
              <w:t>no difference</w:t>
            </w:r>
          </w:p>
        </w:tc>
      </w:tr>
      <w:tr>
        <w:tc>
          <w:tcPr>
            <w:tcW w:type="dxa" w:w="1728"/>
          </w:tcPr>
          <w:p>
            <w:r>
              <w:t>SPE – self-presentation effort</w:t>
            </w:r>
          </w:p>
        </w:tc>
        <w:tc>
          <w:tcPr>
            <w:tcW w:type="dxa" w:w="1728"/>
          </w:tcPr>
          <w:p>
            <w:r>
              <w:t>4.06</w:t>
            </w:r>
          </w:p>
        </w:tc>
        <w:tc>
          <w:tcPr>
            <w:tcW w:type="dxa" w:w="1728"/>
          </w:tcPr>
          <w:p>
            <w:r>
              <w:t>4.24</w:t>
            </w:r>
          </w:p>
        </w:tc>
        <w:tc>
          <w:tcPr>
            <w:tcW w:type="dxa" w:w="1728"/>
          </w:tcPr>
          <w:p>
            <w:r>
              <w:t>= 0.379</w:t>
            </w:r>
          </w:p>
        </w:tc>
        <w:tc>
          <w:tcPr>
            <w:tcW w:type="dxa" w:w="1728"/>
          </w:tcPr>
          <w:p>
            <w:r>
              <w:t>no difference</w:t>
            </w:r>
          </w:p>
        </w:tc>
      </w:tr>
    </w:tbl>
    <w:p>
      <w:r>
        <w:rPr>
          <w:i/>
        </w:rPr>
        <w:t>All a-paths are non-significant: modality does not shift any mediator. This is the binding constraint.</w:t>
      </w:r>
    </w:p>
    <w:p>
      <w:pPr>
        <w:pStyle w:val="Heading1"/>
      </w:pPr>
      <w:r>
        <w:t>Diagnostic 2 — b-paths (does the mediator predict disclosure?)</w:t>
      </w:r>
    </w:p>
    <w:p>
      <w:r>
        <w:t>Two possible outcomes: DD_L = AI-coded behavioural depth (0–6); DC = self-reported disclosure.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Mediator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→ DD_L (coded)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</w:t>
            </w:r>
          </w:p>
        </w:tc>
        <w:tc>
          <w:tcPr>
            <w:tcW w:type="dxa" w:w="1728"/>
          </w:tcPr>
          <w:p>
            <w:r>
              <w:rPr>
                <w:b/>
              </w:rPr>
              <w:t>→ DC (self-report)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</w:t>
            </w:r>
          </w:p>
        </w:tc>
      </w:tr>
      <w:tr>
        <w:tc>
          <w:tcPr>
            <w:tcW w:type="dxa" w:w="1728"/>
          </w:tcPr>
          <w:p>
            <w:r>
              <w:t>IC</w:t>
            </w:r>
          </w:p>
        </w:tc>
        <w:tc>
          <w:tcPr>
            <w:tcW w:type="dxa" w:w="1728"/>
          </w:tcPr>
          <w:p>
            <w:r>
              <w:t>b = +0.11</w:t>
            </w:r>
          </w:p>
        </w:tc>
        <w:tc>
          <w:tcPr>
            <w:tcW w:type="dxa" w:w="1728"/>
          </w:tcPr>
          <w:p>
            <w:r>
              <w:t>= 0.282</w:t>
            </w:r>
          </w:p>
        </w:tc>
        <w:tc>
          <w:tcPr>
            <w:tcW w:type="dxa" w:w="1728"/>
          </w:tcPr>
          <w:p>
            <w:r>
              <w:t>b = +0.10</w:t>
            </w:r>
          </w:p>
        </w:tc>
        <w:tc>
          <w:tcPr>
            <w:tcW w:type="dxa" w:w="1728"/>
          </w:tcPr>
          <w:p>
            <w:r>
              <w:t>= 0.265</w:t>
            </w:r>
          </w:p>
        </w:tc>
      </w:tr>
      <w:tr>
        <w:tc>
          <w:tcPr>
            <w:tcW w:type="dxa" w:w="1728"/>
          </w:tcPr>
          <w:p>
            <w:r>
              <w:t>AF</w:t>
            </w:r>
          </w:p>
        </w:tc>
        <w:tc>
          <w:tcPr>
            <w:tcW w:type="dxa" w:w="1728"/>
          </w:tcPr>
          <w:p>
            <w:r>
              <w:t>b = +0.08</w:t>
            </w:r>
          </w:p>
        </w:tc>
        <w:tc>
          <w:tcPr>
            <w:tcW w:type="dxa" w:w="1728"/>
          </w:tcPr>
          <w:p>
            <w:r>
              <w:t>= 0.333</w:t>
            </w:r>
          </w:p>
        </w:tc>
        <w:tc>
          <w:tcPr>
            <w:tcW w:type="dxa" w:w="1728"/>
          </w:tcPr>
          <w:p>
            <w:r>
              <w:t>b = +0.37</w:t>
            </w:r>
          </w:p>
        </w:tc>
        <w:tc>
          <w:tcPr>
            <w:tcW w:type="dxa" w:w="1728"/>
          </w:tcPr>
          <w:p>
            <w:r>
              <w:t>&lt; .001</w:t>
            </w:r>
          </w:p>
        </w:tc>
      </w:tr>
      <w:tr>
        <w:tc>
          <w:tcPr>
            <w:tcW w:type="dxa" w:w="1728"/>
          </w:tcPr>
          <w:p>
            <w:r>
              <w:t>PP</w:t>
            </w:r>
          </w:p>
        </w:tc>
        <w:tc>
          <w:tcPr>
            <w:tcW w:type="dxa" w:w="1728"/>
          </w:tcPr>
          <w:p>
            <w:r>
              <w:t>b = +0.06</w:t>
            </w:r>
          </w:p>
        </w:tc>
        <w:tc>
          <w:tcPr>
            <w:tcW w:type="dxa" w:w="1728"/>
          </w:tcPr>
          <w:p>
            <w:r>
              <w:t>= 0.442</w:t>
            </w:r>
          </w:p>
        </w:tc>
        <w:tc>
          <w:tcPr>
            <w:tcW w:type="dxa" w:w="1728"/>
          </w:tcPr>
          <w:p>
            <w:r>
              <w:t>b = +0.49</w:t>
            </w:r>
          </w:p>
        </w:tc>
        <w:tc>
          <w:tcPr>
            <w:tcW w:type="dxa" w:w="1728"/>
          </w:tcPr>
          <w:p>
            <w:r>
              <w:t>&lt; .001</w:t>
            </w:r>
          </w:p>
        </w:tc>
      </w:tr>
    </w:tbl>
    <w:p>
      <w:r>
        <w:rPr>
          <w:i/>
        </w:rPr>
        <w:t>AF and PP strongly predict self-reported disclosure (DC) but not coded depth (DD_L); IC predicts neither. So AF/PP are genuine correlates of felt disclosure — just not mediators of the modality effect, because modality doesn't move them.</w:t>
      </w:r>
    </w:p>
    <w:p>
      <w:pPr>
        <w:pStyle w:val="Heading1"/>
      </w:pPr>
      <w:r>
        <w:t>Diagnostic 3 — measurement quality</w:t>
      </w:r>
    </w:p>
    <w:p>
      <w:pPr>
        <w:pStyle w:val="ListBullet"/>
      </w:pPr>
      <w:r>
        <w:t>Reliability (Cronbach's alpha): IC = 0.85 (good), PP = 0.83 (good), AF = 0.57 (POOR, below .70). AF is an unreliable scale, which attenuates its relationships.</w:t>
      </w:r>
    </w:p>
    <w:p>
      <w:pPr>
        <w:pStyle w:val="ListBullet"/>
      </w:pPr>
      <w:r>
        <w:t>AF and PP correlate r = 0.76 — they measure nearly the same construct, so they should not be entered as two separate mediators.</w:t>
      </w:r>
    </w:p>
    <w:p>
      <w:pPr>
        <w:pStyle w:val="ListBullet"/>
      </w:pPr>
      <w:r>
        <w:t>IC sits near the ceiling (~5.8 / 7) in both conditions, leaving little variance to predict anything.</w:t>
      </w:r>
    </w:p>
    <w:p>
      <w:pPr>
        <w:pStyle w:val="ListBullet"/>
      </w:pPr>
      <w:r>
        <w:t>Coded depth (DD_L) and self-report (DC) correlate only r = 0.22 — they are different constructs and must not be treated interchangeably.</w:t>
      </w:r>
    </w:p>
    <w:p>
      <w:pPr>
        <w:pStyle w:val="Heading1"/>
      </w:pPr>
      <w:r>
        <w:t>Diagnostic 4 — the one pathway that is active: word count (suppression)</w:t>
      </w:r>
    </w:p>
    <w:p>
      <w:r>
        <w:t>Modality strongly moves word count (Text → -178 words, p &lt; .001), and word count predicts depth (b = +0.0047, p &lt; .001). But the indirect effect (-0.84) is opposite in sign to the direct effect (+1.29). This is suppression / inconsistent mediation, not classic mediation: text participants write fewer words yet disclose more per word.</w:t>
      </w:r>
    </w:p>
    <w:p>
      <w:pPr>
        <w:pStyle w:val="Heading1"/>
      </w:pPr>
      <w:r>
        <w:t>How to fix each problem</w:t>
      </w:r>
    </w:p>
    <w:p>
      <w:pPr>
        <w:pStyle w:val="ListBullet"/>
      </w:pPr>
      <w:r>
        <w:rPr>
          <w:b/>
        </w:rPr>
        <w:t xml:space="preserve">Null a-paths (the main issue): </w:t>
      </w:r>
      <w:r>
        <w:t>Report as an informative null — the disclosure effect is not carried by control/flow/presence/effort. Do NOT keep swapping mediators until one is significant (that capitalises on chance). Pre-register the revised model.</w:t>
      </w:r>
    </w:p>
    <w:p>
      <w:pPr>
        <w:pStyle w:val="ListBullet"/>
      </w:pPr>
      <w:r>
        <w:rPr>
          <w:b/>
        </w:rPr>
        <w:t xml:space="preserve">AF reliability (alpha = .57): </w:t>
      </w:r>
      <w:r>
        <w:t>Don't report AF as-is. Merge AF and PP into one 'absorption/presence' factor (they correlate .76); confirm with EFA/CFA and report the combined alpha. In future, use a validated flow/presence scale.</w:t>
      </w:r>
    </w:p>
    <w:p>
      <w:pPr>
        <w:pStyle w:val="ListBullet"/>
      </w:pPr>
      <w:r>
        <w:rPr>
          <w:b/>
        </w:rPr>
        <w:t xml:space="preserve">AF/PP redundancy: </w:t>
      </w:r>
      <w:r>
        <w:t>Enter a single immersion composite, not two near-identical mediators (avoids collinearity).</w:t>
      </w:r>
    </w:p>
    <w:p>
      <w:pPr>
        <w:pStyle w:val="ListBullet"/>
      </w:pPr>
      <w:r>
        <w:rPr>
          <w:b/>
        </w:rPr>
        <w:t xml:space="preserve">IC ceiling / no effect: </w:t>
      </w:r>
      <w:r>
        <w:t>Treat IC as a non-starter here (no variance, no a- or b-path) and note the ceiling.</w:t>
      </w:r>
    </w:p>
    <w:p>
      <w:pPr>
        <w:pStyle w:val="ListBullet"/>
      </w:pPr>
      <w:r>
        <w:rPr>
          <w:b/>
        </w:rPr>
        <w:t xml:space="preserve">DV ambiguity (DD vs DC): </w:t>
      </w:r>
      <w:r>
        <w:t>Choose one primary outcome a priori from theory. AF/PP belong to the subjective (DC) story; word count belongs to the behavioural (DD) story. Keep them separate.</w:t>
      </w:r>
    </w:p>
    <w:p>
      <w:pPr>
        <w:pStyle w:val="ListBullet"/>
      </w:pPr>
      <w:r>
        <w:rPr>
          <w:b/>
        </w:rPr>
        <w:t xml:space="preserve">Noisy coded depth: </w:t>
      </w:r>
      <w:r>
        <w:t>Add a human second-coder for DD on a subset and report inter-rater reliability; single-rater AI coding attenuates every b-path to DD.</w:t>
      </w:r>
    </w:p>
    <w:p>
      <w:pPr>
        <w:pStyle w:val="ListBullet"/>
      </w:pPr>
      <w:r>
        <w:rPr>
          <w:b/>
        </w:rPr>
        <w:t xml:space="preserve">Word-count pathway: </w:t>
      </w:r>
      <w:r>
        <w:t>Model it as suppression with bootstrapped indirect effects (e.g. PROCESS / semopy), and describe it correctly: fewer words but deeper disclosure in text.</w:t>
      </w:r>
    </w:p>
    <w:p>
      <w:pPr>
        <w:pStyle w:val="ListBullet"/>
      </w:pPr>
      <w:r>
        <w:rPr>
          <w:b/>
        </w:rPr>
        <w:t xml:space="preserve">If experiential mechanism is central (new data): </w:t>
      </w:r>
      <w:r>
        <w:t>Pilot the VR manipulation to confirm it actually raises presence (here it didn't), and measure the likely real driver of text disclosure: editability/revisability, asynchronous deliberation, reduced social presence, response latency.</w:t>
      </w:r>
    </w:p>
    <w:p>
      <w:pPr>
        <w:pStyle w:val="Heading1"/>
      </w:pPr>
      <w:r>
        <w:t>Recommended reframe</w:t>
      </w:r>
    </w:p>
    <w:p>
      <w:pPr>
        <w:pStyle w:val="ListBullet"/>
      </w:pPr>
      <w:r>
        <w:t>Behavioural story: Modality -&gt; word count (suppressor) -&gt; coded depth; text raises depth directly, independent of verbosity.</w:t>
      </w:r>
    </w:p>
    <w:p>
      <w:pPr>
        <w:pStyle w:val="ListBullet"/>
      </w:pPr>
      <w:r>
        <w:t>Subjective story: presence/absorption -&gt; felt disclosure (DC) as an individual-difference predictor, not a mediator of modality.</w:t>
      </w:r>
    </w:p>
    <w:p>
      <w:pPr>
        <w:pStyle w:val="ListBullet"/>
      </w:pPr>
      <w:r>
        <w:t>Presence/flow as an OUTCOME: 'Did VR increase immersion over text?' Here, no — itself worth reporting.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