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pStyle w:val="Heading1"/>
        <w:keepLines w:val="0"/>
        <w:spacing w:after="220" w:before="0" w:line="240" w:lineRule="auto"/>
        <w:ind w:left="709" w:firstLine="0"/>
        <w:jc w:val="center"/>
        <w:rPr>
          <w:rFonts w:ascii="Times New Roman" w:cs="Times New Roman" w:eastAsia="Times New Roman" w:hAnsi="Times New Roman"/>
          <w:b w:val="1"/>
          <w:smallCaps w:val="1"/>
          <w:sz w:val="22"/>
          <w:szCs w:val="22"/>
        </w:rPr>
      </w:pPr>
      <w:bookmarkStart w:colFirst="0" w:colLast="0" w:name="_8h4q17apdft4" w:id="0"/>
      <w:bookmarkEnd w:id="0"/>
      <w:r w:rsidDel="00000000" w:rsidR="00000000" w:rsidRPr="00000000">
        <w:rPr>
          <w:rFonts w:ascii="Times New Roman" w:cs="Times New Roman" w:eastAsia="Times New Roman" w:hAnsi="Times New Roman"/>
          <w:b w:val="1"/>
          <w:smallCaps w:val="1"/>
          <w:sz w:val="22"/>
          <w:szCs w:val="22"/>
          <w:rtl w:val="0"/>
        </w:rPr>
        <w:t xml:space="preserve">UK/EU/SG Regulatory Characterisation</w:t>
        <w:br w:type="textWrapping"/>
        <w:t xml:space="preserve">[•]</w:t>
      </w:r>
    </w:p>
    <w:p w:rsidR="00000000" w:rsidDel="00000000" w:rsidP="00000000" w:rsidRDefault="00000000" w:rsidRPr="00000000" w14:paraId="00000002">
      <w:pPr>
        <w:pStyle w:val="Heading1"/>
        <w:keepLines w:val="0"/>
        <w:numPr>
          <w:ilvl w:val="0"/>
          <w:numId w:val="4"/>
        </w:numPr>
        <w:spacing w:after="220" w:before="0" w:line="240" w:lineRule="auto"/>
        <w:ind w:left="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mallCaps w:val="1"/>
          <w:sz w:val="22"/>
          <w:szCs w:val="22"/>
          <w:rtl w:val="0"/>
        </w:rPr>
        <w:t xml:space="preserve">Overall RAG rating (Determine based on completion of detailed evaluation table in 2 below)</w:t>
      </w:r>
    </w:p>
    <w:tbl>
      <w:tblPr>
        <w:tblStyle w:val="Table1"/>
        <w:tblW w:w="10920.0" w:type="dxa"/>
        <w:jc w:val="left"/>
        <w:tblInd w:w="-115.0" w:type="dxa"/>
        <w:tblBorders>
          <w:top w:color="000000" w:space="0" w:sz="24" w:val="single"/>
          <w:left w:color="000000" w:space="0" w:sz="24" w:val="single"/>
          <w:bottom w:color="000000" w:space="0" w:sz="24" w:val="single"/>
          <w:right w:color="000000" w:space="0" w:sz="24" w:val="single"/>
          <w:insideH w:color="000000" w:space="0" w:sz="6" w:val="single"/>
          <w:insideV w:color="000000" w:space="0" w:sz="6" w:val="single"/>
        </w:tblBorders>
        <w:tblLayout w:type="fixed"/>
        <w:tblLook w:val="0400"/>
      </w:tblPr>
      <w:tblGrid>
        <w:gridCol w:w="1820"/>
        <w:gridCol w:w="820"/>
        <w:gridCol w:w="8280"/>
        <w:tblGridChange w:id="0">
          <w:tblGrid>
            <w:gridCol w:w="1820"/>
            <w:gridCol w:w="820"/>
            <w:gridCol w:w="8280"/>
          </w:tblGrid>
        </w:tblGridChange>
      </w:tblGrid>
      <w:tr>
        <w:trPr>
          <w:cantSplit w:val="0"/>
          <w:tblHeader w:val="0"/>
        </w:trPr>
        <w:tc>
          <w:tcPr>
            <w:shd w:fill="a6a6a6" w:val="clear"/>
          </w:tcPr>
          <w:p w:rsidR="00000000" w:rsidDel="00000000" w:rsidP="00000000" w:rsidRDefault="00000000" w:rsidRPr="00000000" w14:paraId="00000003">
            <w:pPr>
              <w:pStyle w:val="Heading2"/>
              <w:keepNext w:val="0"/>
              <w:keepLines w:val="0"/>
              <w:spacing w:after="220" w:before="0" w:line="240" w:lineRule="auto"/>
              <w:ind w:left="709"/>
              <w:rPr>
                <w:b w:val="1"/>
                <w:color w:val="000000"/>
                <w:sz w:val="18"/>
                <w:szCs w:val="18"/>
              </w:rPr>
            </w:pPr>
            <w:r w:rsidDel="00000000" w:rsidR="00000000" w:rsidRPr="00000000">
              <w:rPr>
                <w:b w:val="1"/>
                <w:color w:val="000000"/>
                <w:sz w:val="18"/>
                <w:szCs w:val="18"/>
                <w:rtl w:val="0"/>
              </w:rPr>
              <w:t xml:space="preserve">Overall RAG rating</w:t>
            </w:r>
          </w:p>
        </w:tc>
        <w:tc>
          <w:tcPr>
            <w:shd w:fill="a6a6a6" w:val="clear"/>
          </w:tcPr>
          <w:p w:rsidR="00000000" w:rsidDel="00000000" w:rsidP="00000000" w:rsidRDefault="00000000" w:rsidRPr="00000000" w14:paraId="00000004">
            <w:pPr>
              <w:pStyle w:val="Heading2"/>
              <w:keepNext w:val="0"/>
              <w:keepLines w:val="0"/>
              <w:spacing w:after="220" w:before="0" w:line="240" w:lineRule="auto"/>
              <w:ind w:left="709"/>
              <w:jc w:val="both"/>
              <w:rPr>
                <w:b w:val="1"/>
                <w:color w:val="000000"/>
                <w:sz w:val="18"/>
                <w:szCs w:val="18"/>
              </w:rPr>
            </w:pPr>
            <w:r w:rsidDel="00000000" w:rsidR="00000000" w:rsidRPr="00000000">
              <w:rPr>
                <w:b w:val="1"/>
                <w:color w:val="000000"/>
                <w:sz w:val="18"/>
                <w:szCs w:val="18"/>
                <w:rtl w:val="0"/>
              </w:rPr>
              <w:t xml:space="preserve">Selection</w:t>
            </w:r>
          </w:p>
        </w:tc>
        <w:tc>
          <w:tcPr>
            <w:shd w:fill="a6a6a6" w:val="clear"/>
          </w:tcPr>
          <w:p w:rsidR="00000000" w:rsidDel="00000000" w:rsidP="00000000" w:rsidRDefault="00000000" w:rsidRPr="00000000" w14:paraId="00000005">
            <w:pPr>
              <w:pStyle w:val="Heading2"/>
              <w:keepNext w:val="0"/>
              <w:keepLines w:val="0"/>
              <w:spacing w:after="220" w:before="0" w:line="240" w:lineRule="auto"/>
              <w:ind w:left="709"/>
              <w:jc w:val="both"/>
              <w:rPr>
                <w:b w:val="1"/>
                <w:color w:val="000000"/>
                <w:sz w:val="18"/>
                <w:szCs w:val="18"/>
              </w:rPr>
            </w:pPr>
            <w:r w:rsidDel="00000000" w:rsidR="00000000" w:rsidRPr="00000000">
              <w:rPr>
                <w:b w:val="1"/>
                <w:color w:val="000000"/>
                <w:sz w:val="18"/>
                <w:szCs w:val="18"/>
                <w:rtl w:val="0"/>
              </w:rPr>
              <w:t xml:space="preserve">Criteria</w:t>
            </w:r>
          </w:p>
        </w:tc>
      </w:tr>
      <w:tr>
        <w:trPr>
          <w:cantSplit w:val="0"/>
          <w:tblHeader w:val="0"/>
        </w:trPr>
        <w:tc>
          <w:tcPr>
            <w:shd w:fill="00b050" w:val="clear"/>
          </w:tcPr>
          <w:p w:rsidR="00000000" w:rsidDel="00000000" w:rsidP="00000000" w:rsidRDefault="00000000" w:rsidRPr="00000000" w14:paraId="00000006">
            <w:pPr>
              <w:pStyle w:val="Heading2"/>
              <w:keepNext w:val="0"/>
              <w:keepLines w:val="0"/>
              <w:spacing w:after="220" w:before="0" w:line="240" w:lineRule="auto"/>
              <w:ind w:left="709"/>
              <w:jc w:val="both"/>
              <w:rPr>
                <w:b w:val="1"/>
                <w:color w:val="000000"/>
                <w:sz w:val="18"/>
                <w:szCs w:val="18"/>
              </w:rPr>
            </w:pPr>
            <w:r w:rsidDel="00000000" w:rsidR="00000000" w:rsidRPr="00000000">
              <w:rPr>
                <w:b w:val="1"/>
                <w:color w:val="000000"/>
                <w:sz w:val="18"/>
                <w:szCs w:val="18"/>
                <w:rtl w:val="0"/>
              </w:rPr>
              <w:t xml:space="preserve">Green</w:t>
            </w:r>
          </w:p>
        </w:tc>
        <w:tc>
          <w:tcPr>
            <w:vAlign w:val="center"/>
          </w:tcPr>
          <w:p w:rsidR="00000000" w:rsidDel="00000000" w:rsidP="00000000" w:rsidRDefault="00000000" w:rsidRPr="00000000" w14:paraId="00000007">
            <w:pPr>
              <w:widowControl w:val="0"/>
              <w:spacing w:after="220" w:line="240" w:lineRule="auto"/>
              <w:jc w:val="center"/>
              <w:rPr>
                <w:b w:val="0"/>
                <w:color w:val="000000"/>
                <w:sz w:val="16"/>
                <w:szCs w:val="16"/>
              </w:rPr>
            </w:pPr>
            <w:r w:rsidDel="00000000" w:rsidR="00000000" w:rsidRPr="00000000">
              <w:rPr>
                <w:rFonts w:ascii="Wingdings" w:cs="Wingdings" w:eastAsia="Wingdings" w:hAnsi="Wingdings"/>
                <w:b w:val="0"/>
                <w:color w:val="000000"/>
                <w:sz w:val="18"/>
                <w:szCs w:val="18"/>
                <w:rtl w:val="0"/>
              </w:rPr>
              <w:t xml:space="preserve">◻</w:t>
            </w:r>
            <w:r w:rsidDel="00000000" w:rsidR="00000000" w:rsidRPr="00000000">
              <w:rPr>
                <w:rtl w:val="0"/>
              </w:rPr>
            </w:r>
          </w:p>
        </w:tc>
        <w:tc>
          <w:tcPr/>
          <w:p w:rsidR="00000000" w:rsidDel="00000000" w:rsidP="00000000" w:rsidRDefault="00000000" w:rsidRPr="00000000" w14:paraId="00000008">
            <w:pPr>
              <w:pStyle w:val="Heading2"/>
              <w:keepNext w:val="0"/>
              <w:keepLines w:val="0"/>
              <w:spacing w:after="220" w:before="0" w:line="240" w:lineRule="auto"/>
              <w:ind w:left="709"/>
              <w:jc w:val="both"/>
              <w:rPr>
                <w:color w:val="000000"/>
                <w:sz w:val="18"/>
                <w:szCs w:val="18"/>
              </w:rPr>
            </w:pPr>
            <w:r w:rsidDel="00000000" w:rsidR="00000000" w:rsidRPr="00000000">
              <w:rPr>
                <w:color w:val="000000"/>
                <w:sz w:val="18"/>
                <w:szCs w:val="18"/>
                <w:rtl w:val="0"/>
              </w:rPr>
              <w:t xml:space="preserve">All green individual RAG ratings.</w:t>
            </w:r>
          </w:p>
        </w:tc>
      </w:tr>
      <w:tr>
        <w:trPr>
          <w:cantSplit w:val="0"/>
          <w:tblHeader w:val="0"/>
        </w:trPr>
        <w:tc>
          <w:tcPr>
            <w:shd w:fill="ffc000" w:val="clear"/>
          </w:tcPr>
          <w:p w:rsidR="00000000" w:rsidDel="00000000" w:rsidP="00000000" w:rsidRDefault="00000000" w:rsidRPr="00000000" w14:paraId="00000009">
            <w:pPr>
              <w:pStyle w:val="Heading2"/>
              <w:keepNext w:val="0"/>
              <w:keepLines w:val="0"/>
              <w:spacing w:after="220" w:before="0" w:line="240" w:lineRule="auto"/>
              <w:ind w:left="709"/>
              <w:jc w:val="both"/>
              <w:rPr>
                <w:b w:val="1"/>
                <w:color w:val="000000"/>
                <w:sz w:val="18"/>
                <w:szCs w:val="18"/>
              </w:rPr>
            </w:pPr>
            <w:r w:rsidDel="00000000" w:rsidR="00000000" w:rsidRPr="00000000">
              <w:rPr>
                <w:b w:val="1"/>
                <w:color w:val="000000"/>
                <w:sz w:val="18"/>
                <w:szCs w:val="18"/>
                <w:rtl w:val="0"/>
              </w:rPr>
              <w:t xml:space="preserve">Amber</w:t>
            </w:r>
          </w:p>
        </w:tc>
        <w:tc>
          <w:tcPr>
            <w:vAlign w:val="center"/>
          </w:tcPr>
          <w:p w:rsidR="00000000" w:rsidDel="00000000" w:rsidP="00000000" w:rsidRDefault="00000000" w:rsidRPr="00000000" w14:paraId="0000000A">
            <w:pPr>
              <w:spacing w:after="220" w:line="240" w:lineRule="auto"/>
              <w:jc w:val="center"/>
              <w:rPr>
                <w:b w:val="0"/>
                <w:color w:val="000000"/>
                <w:sz w:val="18"/>
                <w:szCs w:val="18"/>
              </w:rPr>
            </w:pPr>
            <w:r w:rsidDel="00000000" w:rsidR="00000000" w:rsidRPr="00000000">
              <w:rPr>
                <w:rFonts w:ascii="Wingdings" w:cs="Wingdings" w:eastAsia="Wingdings" w:hAnsi="Wingdings"/>
                <w:b w:val="0"/>
                <w:color w:val="000000"/>
                <w:sz w:val="18"/>
                <w:szCs w:val="18"/>
                <w:rtl w:val="0"/>
              </w:rPr>
              <w:t xml:space="preserve">◻</w:t>
            </w:r>
            <w:r w:rsidDel="00000000" w:rsidR="00000000" w:rsidRPr="00000000">
              <w:rPr>
                <w:rtl w:val="0"/>
              </w:rPr>
            </w:r>
          </w:p>
        </w:tc>
        <w:tc>
          <w:tcPr/>
          <w:p w:rsidR="00000000" w:rsidDel="00000000" w:rsidP="00000000" w:rsidRDefault="00000000" w:rsidRPr="00000000" w14:paraId="0000000B">
            <w:pPr>
              <w:pStyle w:val="Heading2"/>
              <w:keepNext w:val="0"/>
              <w:keepLines w:val="0"/>
              <w:spacing w:after="220" w:before="0" w:line="240" w:lineRule="auto"/>
              <w:ind w:left="709"/>
              <w:jc w:val="both"/>
              <w:rPr>
                <w:color w:val="000000"/>
                <w:sz w:val="18"/>
                <w:szCs w:val="18"/>
              </w:rPr>
            </w:pPr>
            <w:r w:rsidDel="00000000" w:rsidR="00000000" w:rsidRPr="00000000">
              <w:rPr>
                <w:color w:val="000000"/>
                <w:sz w:val="18"/>
                <w:szCs w:val="18"/>
                <w:rtl w:val="0"/>
              </w:rPr>
              <w:t xml:space="preserve">One or more amber individual RAG ratings in detailed evaluation table and no red individual RAG ratings.</w:t>
            </w:r>
          </w:p>
        </w:tc>
      </w:tr>
      <w:tr>
        <w:trPr>
          <w:cantSplit w:val="0"/>
          <w:tblHeader w:val="0"/>
        </w:trPr>
        <w:tc>
          <w:tcPr>
            <w:shd w:fill="c00000" w:val="clear"/>
          </w:tcPr>
          <w:p w:rsidR="00000000" w:rsidDel="00000000" w:rsidP="00000000" w:rsidRDefault="00000000" w:rsidRPr="00000000" w14:paraId="0000000C">
            <w:pPr>
              <w:pStyle w:val="Heading2"/>
              <w:keepNext w:val="0"/>
              <w:keepLines w:val="0"/>
              <w:spacing w:after="220" w:before="0" w:line="240" w:lineRule="auto"/>
              <w:ind w:left="709"/>
              <w:jc w:val="both"/>
              <w:rPr>
                <w:b w:val="1"/>
                <w:sz w:val="18"/>
                <w:szCs w:val="18"/>
              </w:rPr>
            </w:pPr>
            <w:r w:rsidDel="00000000" w:rsidR="00000000" w:rsidRPr="00000000">
              <w:rPr>
                <w:b w:val="1"/>
                <w:sz w:val="18"/>
                <w:szCs w:val="18"/>
                <w:rtl w:val="0"/>
              </w:rPr>
              <w:t xml:space="preserve">Red</w:t>
            </w:r>
          </w:p>
        </w:tc>
        <w:tc>
          <w:tcPr>
            <w:vAlign w:val="center"/>
          </w:tcPr>
          <w:p w:rsidR="00000000" w:rsidDel="00000000" w:rsidP="00000000" w:rsidRDefault="00000000" w:rsidRPr="00000000" w14:paraId="0000000D">
            <w:pPr>
              <w:spacing w:after="220" w:line="240" w:lineRule="auto"/>
              <w:jc w:val="center"/>
              <w:rPr>
                <w:b w:val="0"/>
                <w:color w:val="000000"/>
                <w:sz w:val="18"/>
                <w:szCs w:val="18"/>
              </w:rPr>
            </w:pPr>
            <w:r w:rsidDel="00000000" w:rsidR="00000000" w:rsidRPr="00000000">
              <w:rPr>
                <w:rFonts w:ascii="Wingdings" w:cs="Wingdings" w:eastAsia="Wingdings" w:hAnsi="Wingdings"/>
                <w:b w:val="0"/>
                <w:color w:val="000000"/>
                <w:sz w:val="18"/>
                <w:szCs w:val="18"/>
                <w:rtl w:val="0"/>
              </w:rPr>
              <w:t xml:space="preserve">◻</w:t>
            </w:r>
            <w:r w:rsidDel="00000000" w:rsidR="00000000" w:rsidRPr="00000000">
              <w:rPr>
                <w:rtl w:val="0"/>
              </w:rPr>
            </w:r>
          </w:p>
        </w:tc>
        <w:tc>
          <w:tcPr/>
          <w:p w:rsidR="00000000" w:rsidDel="00000000" w:rsidP="00000000" w:rsidRDefault="00000000" w:rsidRPr="00000000" w14:paraId="0000000E">
            <w:pPr>
              <w:pStyle w:val="Heading2"/>
              <w:keepNext w:val="0"/>
              <w:keepLines w:val="0"/>
              <w:spacing w:after="220" w:before="0" w:line="240" w:lineRule="auto"/>
              <w:ind w:left="709"/>
              <w:jc w:val="both"/>
              <w:rPr>
                <w:color w:val="000000"/>
                <w:sz w:val="18"/>
                <w:szCs w:val="18"/>
              </w:rPr>
            </w:pPr>
            <w:r w:rsidDel="00000000" w:rsidR="00000000" w:rsidRPr="00000000">
              <w:rPr>
                <w:color w:val="000000"/>
                <w:sz w:val="18"/>
                <w:szCs w:val="18"/>
                <w:rtl w:val="0"/>
              </w:rPr>
              <w:t xml:space="preserve">At least one red individual RAG rating in detailed evaluation table.</w:t>
            </w:r>
          </w:p>
        </w:tc>
      </w:tr>
    </w:tbl>
    <w:p w:rsidR="00000000" w:rsidDel="00000000" w:rsidP="00000000" w:rsidRDefault="00000000" w:rsidRPr="00000000" w14:paraId="0000000F">
      <w:pPr>
        <w:pStyle w:val="Heading3"/>
        <w:keepNext w:val="0"/>
        <w:keepLines w:val="0"/>
        <w:spacing w:after="220" w:before="0" w:line="240" w:lineRule="auto"/>
        <w:ind w:left="1418" w:hanging="709"/>
        <w:jc w:val="both"/>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10">
      <w:pPr>
        <w:pStyle w:val="Heading1"/>
        <w:keepLines w:val="0"/>
        <w:numPr>
          <w:ilvl w:val="0"/>
          <w:numId w:val="4"/>
        </w:numPr>
        <w:spacing w:after="220" w:before="0" w:line="240" w:lineRule="auto"/>
        <w:ind w:left="709"/>
        <w:jc w:val="both"/>
        <w:rPr>
          <w:rFonts w:ascii="Times New Roman" w:cs="Times New Roman" w:eastAsia="Times New Roman" w:hAnsi="Times New Roman"/>
        </w:rPr>
      </w:pPr>
      <w:bookmarkStart w:colFirst="0" w:colLast="0" w:name="_30j0zll" w:id="1"/>
      <w:bookmarkEnd w:id="1"/>
      <w:r w:rsidDel="00000000" w:rsidR="00000000" w:rsidRPr="00000000">
        <w:rPr>
          <w:rFonts w:ascii="Times New Roman" w:cs="Times New Roman" w:eastAsia="Times New Roman" w:hAnsi="Times New Roman"/>
          <w:b w:val="1"/>
          <w:smallCaps w:val="1"/>
          <w:sz w:val="22"/>
          <w:szCs w:val="22"/>
          <w:rtl w:val="0"/>
        </w:rPr>
        <w:t xml:space="preserve">Detailed evaluation table</w:t>
      </w:r>
    </w:p>
    <w:tbl>
      <w:tblPr>
        <w:tblStyle w:val="Table2"/>
        <w:tblW w:w="10940.0" w:type="dxa"/>
        <w:jc w:val="left"/>
        <w:tblInd w:w="-115.0" w:type="dxa"/>
        <w:tblBorders>
          <w:top w:color="000000" w:space="0" w:sz="24" w:val="single"/>
          <w:left w:color="000000" w:space="0" w:sz="24" w:val="single"/>
          <w:bottom w:color="000000" w:space="0" w:sz="24" w:val="single"/>
          <w:right w:color="000000" w:space="0" w:sz="24" w:val="single"/>
          <w:insideH w:color="000000" w:space="0" w:sz="6" w:val="single"/>
          <w:insideV w:color="000000" w:space="0" w:sz="6" w:val="single"/>
        </w:tblBorders>
        <w:tblLayout w:type="fixed"/>
        <w:tblLook w:val="0400"/>
      </w:tblPr>
      <w:tblGrid>
        <w:gridCol w:w="1040"/>
        <w:gridCol w:w="80"/>
        <w:gridCol w:w="1200"/>
        <w:gridCol w:w="2240"/>
        <w:gridCol w:w="560"/>
        <w:gridCol w:w="560"/>
        <w:gridCol w:w="560"/>
        <w:gridCol w:w="4700"/>
        <w:tblGridChange w:id="0">
          <w:tblGrid>
            <w:gridCol w:w="1040"/>
            <w:gridCol w:w="80"/>
            <w:gridCol w:w="1200"/>
            <w:gridCol w:w="2240"/>
            <w:gridCol w:w="560"/>
            <w:gridCol w:w="560"/>
            <w:gridCol w:w="560"/>
            <w:gridCol w:w="4700"/>
          </w:tblGrid>
        </w:tblGridChange>
      </w:tblGrid>
      <w:tr>
        <w:trPr>
          <w:cantSplit w:val="0"/>
          <w:tblHeader w:val="1"/>
        </w:trPr>
        <w:tc>
          <w:tcPr>
            <w:gridSpan w:val="3"/>
            <w:vMerge w:val="restart"/>
            <w:shd w:fill="c00000" w:val="clear"/>
            <w:vAlign w:val="center"/>
          </w:tcPr>
          <w:p w:rsidR="00000000" w:rsidDel="00000000" w:rsidP="00000000" w:rsidRDefault="00000000" w:rsidRPr="00000000" w14:paraId="00000011">
            <w:pPr>
              <w:widowControl w:val="0"/>
              <w:spacing w:after="220" w:line="240" w:lineRule="auto"/>
              <w:jc w:val="center"/>
              <w:rPr>
                <w:sz w:val="16"/>
                <w:szCs w:val="16"/>
              </w:rPr>
            </w:pPr>
            <w:r w:rsidDel="00000000" w:rsidR="00000000" w:rsidRPr="00000000">
              <w:rPr>
                <w:sz w:val="16"/>
                <w:szCs w:val="16"/>
                <w:rtl w:val="0"/>
              </w:rPr>
              <w:t xml:space="preserve">Relevant kind of security/investment/regulated product</w:t>
            </w:r>
          </w:p>
        </w:tc>
        <w:tc>
          <w:tcPr>
            <w:vMerge w:val="restart"/>
            <w:shd w:fill="c00000" w:val="clear"/>
            <w:vAlign w:val="center"/>
          </w:tcPr>
          <w:p w:rsidR="00000000" w:rsidDel="00000000" w:rsidP="00000000" w:rsidRDefault="00000000" w:rsidRPr="00000000" w14:paraId="00000014">
            <w:pPr>
              <w:widowControl w:val="0"/>
              <w:spacing w:after="220" w:line="240" w:lineRule="auto"/>
              <w:jc w:val="center"/>
              <w:rPr>
                <w:sz w:val="16"/>
                <w:szCs w:val="16"/>
              </w:rPr>
            </w:pPr>
            <w:r w:rsidDel="00000000" w:rsidR="00000000" w:rsidRPr="00000000">
              <w:rPr>
                <w:sz w:val="16"/>
                <w:szCs w:val="16"/>
                <w:rtl w:val="0"/>
              </w:rPr>
              <w:t xml:space="preserve">Factors</w:t>
            </w:r>
          </w:p>
        </w:tc>
        <w:tc>
          <w:tcPr>
            <w:gridSpan w:val="3"/>
            <w:shd w:fill="c00000" w:val="clear"/>
            <w:vAlign w:val="center"/>
          </w:tcPr>
          <w:p w:rsidR="00000000" w:rsidDel="00000000" w:rsidP="00000000" w:rsidRDefault="00000000" w:rsidRPr="00000000" w14:paraId="00000015">
            <w:pPr>
              <w:widowControl w:val="0"/>
              <w:spacing w:after="220" w:line="240" w:lineRule="auto"/>
              <w:jc w:val="center"/>
              <w:rPr>
                <w:sz w:val="16"/>
                <w:szCs w:val="16"/>
              </w:rPr>
            </w:pPr>
            <w:r w:rsidDel="00000000" w:rsidR="00000000" w:rsidRPr="00000000">
              <w:rPr>
                <w:sz w:val="16"/>
                <w:szCs w:val="16"/>
                <w:rtl w:val="0"/>
              </w:rPr>
              <w:t xml:space="preserve">Evaluation</w:t>
            </w:r>
          </w:p>
        </w:tc>
        <w:tc>
          <w:tcPr>
            <w:vMerge w:val="restart"/>
            <w:shd w:fill="c00000" w:val="clear"/>
            <w:vAlign w:val="center"/>
          </w:tcPr>
          <w:p w:rsidR="00000000" w:rsidDel="00000000" w:rsidP="00000000" w:rsidRDefault="00000000" w:rsidRPr="00000000" w14:paraId="00000018">
            <w:pPr>
              <w:widowControl w:val="0"/>
              <w:spacing w:after="220" w:line="240" w:lineRule="auto"/>
              <w:jc w:val="center"/>
              <w:rPr>
                <w:sz w:val="16"/>
                <w:szCs w:val="16"/>
              </w:rPr>
            </w:pPr>
            <w:r w:rsidDel="00000000" w:rsidR="00000000" w:rsidRPr="00000000">
              <w:rPr>
                <w:sz w:val="16"/>
                <w:szCs w:val="16"/>
                <w:rtl w:val="0"/>
              </w:rPr>
              <w:t xml:space="preserve">Comments, mitigants and exclusions</w:t>
            </w:r>
          </w:p>
        </w:tc>
      </w:tr>
      <w:tr>
        <w:trPr>
          <w:cantSplit w:val="0"/>
          <w:tblHeader w:val="1"/>
        </w:trPr>
        <w:tc>
          <w:tcPr>
            <w:gridSpan w:val="3"/>
            <w:vMerge w:val="continue"/>
            <w:shd w:fill="c00000" w:val="clear"/>
            <w:vAlign w:val="center"/>
          </w:tcPr>
          <w:p w:rsidR="00000000" w:rsidDel="00000000" w:rsidP="00000000" w:rsidRDefault="00000000" w:rsidRPr="00000000" w14:paraId="00000019">
            <w:pPr>
              <w:widowControl w:val="0"/>
              <w:rPr>
                <w:color w:val="000000"/>
                <w:sz w:val="16"/>
                <w:szCs w:val="16"/>
              </w:rPr>
            </w:pPr>
            <w:r w:rsidDel="00000000" w:rsidR="00000000" w:rsidRPr="00000000">
              <w:rPr>
                <w:rtl w:val="0"/>
              </w:rPr>
            </w:r>
          </w:p>
        </w:tc>
        <w:tc>
          <w:tcPr>
            <w:vMerge w:val="continue"/>
            <w:shd w:fill="c00000" w:val="clear"/>
            <w:vAlign w:val="center"/>
          </w:tcPr>
          <w:p w:rsidR="00000000" w:rsidDel="00000000" w:rsidP="00000000" w:rsidRDefault="00000000" w:rsidRPr="00000000" w14:paraId="0000001C">
            <w:pPr>
              <w:widowControl w:val="0"/>
              <w:rPr>
                <w:color w:val="000000"/>
                <w:sz w:val="16"/>
                <w:szCs w:val="16"/>
              </w:rPr>
            </w:pPr>
            <w:r w:rsidDel="00000000" w:rsidR="00000000" w:rsidRPr="00000000">
              <w:rPr>
                <w:rtl w:val="0"/>
              </w:rPr>
            </w:r>
          </w:p>
        </w:tc>
        <w:tc>
          <w:tcPr>
            <w:shd w:fill="c00000" w:val="clear"/>
            <w:vAlign w:val="center"/>
          </w:tcPr>
          <w:p w:rsidR="00000000" w:rsidDel="00000000" w:rsidP="00000000" w:rsidRDefault="00000000" w:rsidRPr="00000000" w14:paraId="0000001D">
            <w:pPr>
              <w:widowControl w:val="0"/>
              <w:spacing w:after="220" w:line="240" w:lineRule="auto"/>
              <w:jc w:val="center"/>
              <w:rPr>
                <w:sz w:val="14"/>
                <w:szCs w:val="14"/>
              </w:rPr>
            </w:pPr>
            <w:r w:rsidDel="00000000" w:rsidR="00000000" w:rsidRPr="00000000">
              <w:rPr>
                <w:sz w:val="14"/>
                <w:szCs w:val="14"/>
                <w:rtl w:val="0"/>
              </w:rPr>
              <w:t xml:space="preserve">Yes</w:t>
            </w:r>
          </w:p>
        </w:tc>
        <w:tc>
          <w:tcPr>
            <w:shd w:fill="c00000" w:val="clear"/>
            <w:vAlign w:val="center"/>
          </w:tcPr>
          <w:p w:rsidR="00000000" w:rsidDel="00000000" w:rsidP="00000000" w:rsidRDefault="00000000" w:rsidRPr="00000000" w14:paraId="0000001E">
            <w:pPr>
              <w:widowControl w:val="0"/>
              <w:spacing w:after="220" w:line="240" w:lineRule="auto"/>
              <w:jc w:val="center"/>
              <w:rPr>
                <w:sz w:val="14"/>
                <w:szCs w:val="14"/>
              </w:rPr>
            </w:pPr>
            <w:r w:rsidDel="00000000" w:rsidR="00000000" w:rsidRPr="00000000">
              <w:rPr>
                <w:sz w:val="14"/>
                <w:szCs w:val="14"/>
                <w:rtl w:val="0"/>
              </w:rPr>
              <w:t xml:space="preserve">No</w:t>
            </w:r>
          </w:p>
        </w:tc>
        <w:tc>
          <w:tcPr>
            <w:shd w:fill="c00000" w:val="clear"/>
            <w:vAlign w:val="center"/>
          </w:tcPr>
          <w:p w:rsidR="00000000" w:rsidDel="00000000" w:rsidP="00000000" w:rsidRDefault="00000000" w:rsidRPr="00000000" w14:paraId="0000001F">
            <w:pPr>
              <w:widowControl w:val="0"/>
              <w:spacing w:after="220" w:line="240" w:lineRule="auto"/>
              <w:jc w:val="center"/>
              <w:rPr>
                <w:sz w:val="14"/>
                <w:szCs w:val="14"/>
              </w:rPr>
            </w:pPr>
            <w:r w:rsidDel="00000000" w:rsidR="00000000" w:rsidRPr="00000000">
              <w:rPr>
                <w:sz w:val="14"/>
                <w:szCs w:val="14"/>
                <w:rtl w:val="0"/>
              </w:rPr>
              <w:t xml:space="preserve">Indeterminate</w:t>
            </w:r>
          </w:p>
        </w:tc>
        <w:tc>
          <w:tcPr>
            <w:vMerge w:val="continue"/>
            <w:shd w:fill="c00000" w:val="clear"/>
            <w:vAlign w:val="center"/>
          </w:tcPr>
          <w:p w:rsidR="00000000" w:rsidDel="00000000" w:rsidP="00000000" w:rsidRDefault="00000000" w:rsidRPr="00000000" w14:paraId="00000020">
            <w:pPr>
              <w:widowControl w:val="0"/>
              <w:rPr>
                <w:color w:val="000000"/>
                <w:sz w:val="14"/>
                <w:szCs w:val="14"/>
              </w:rPr>
            </w:pPr>
            <w:r w:rsidDel="00000000" w:rsidR="00000000" w:rsidRPr="00000000">
              <w:rPr>
                <w:rtl w:val="0"/>
              </w:rPr>
            </w:r>
          </w:p>
        </w:tc>
      </w:tr>
      <w:tr>
        <w:trPr>
          <w:cantSplit w:val="0"/>
          <w:tblHeader w:val="0"/>
        </w:trPr>
        <w:tc>
          <w:tcPr>
            <w:gridSpan w:val="2"/>
            <w:vMerge w:val="restart"/>
            <w:vAlign w:val="center"/>
          </w:tcPr>
          <w:p w:rsidR="00000000" w:rsidDel="00000000" w:rsidP="00000000" w:rsidRDefault="00000000" w:rsidRPr="00000000" w14:paraId="00000021">
            <w:pPr>
              <w:widowControl w:val="0"/>
              <w:spacing w:after="220" w:line="240" w:lineRule="auto"/>
              <w:ind w:left="113" w:right="113" w:firstLine="0"/>
              <w:rPr>
                <w:b w:val="0"/>
                <w:color w:val="000000"/>
                <w:sz w:val="16"/>
                <w:szCs w:val="16"/>
              </w:rPr>
            </w:pPr>
            <w:r w:rsidDel="00000000" w:rsidR="00000000" w:rsidRPr="00000000">
              <w:rPr>
                <w:b w:val="0"/>
                <w:color w:val="000000"/>
                <w:sz w:val="16"/>
                <w:szCs w:val="16"/>
                <w:rtl w:val="0"/>
              </w:rPr>
              <w:t xml:space="preserve">Transferable securities/ Securities</w:t>
            </w:r>
          </w:p>
        </w:tc>
        <w:tc>
          <w:tcPr>
            <w:vMerge w:val="restart"/>
            <w:vAlign w:val="center"/>
          </w:tcPr>
          <w:p w:rsidR="00000000" w:rsidDel="00000000" w:rsidP="00000000" w:rsidRDefault="00000000" w:rsidRPr="00000000" w14:paraId="00000023">
            <w:pPr>
              <w:widowControl w:val="0"/>
              <w:spacing w:after="220" w:line="240" w:lineRule="auto"/>
              <w:rPr>
                <w:b w:val="0"/>
                <w:color w:val="000000"/>
                <w:sz w:val="16"/>
                <w:szCs w:val="16"/>
              </w:rPr>
            </w:pPr>
            <w:r w:rsidDel="00000000" w:rsidR="00000000" w:rsidRPr="00000000">
              <w:rPr>
                <w:b w:val="0"/>
                <w:color w:val="000000"/>
                <w:sz w:val="16"/>
                <w:szCs w:val="16"/>
                <w:rtl w:val="0"/>
              </w:rPr>
              <w:t xml:space="preserve">Shares and similar equity instruments equivalent to shares in companies, partnerships or other entities, or a unit in a business trust</w:t>
            </w:r>
          </w:p>
        </w:tc>
        <w:tc>
          <w:tcPr>
            <w:vAlign w:val="center"/>
          </w:tcPr>
          <w:p w:rsidR="00000000" w:rsidDel="00000000" w:rsidP="00000000" w:rsidRDefault="00000000" w:rsidRPr="00000000" w14:paraId="00000024">
            <w:pPr>
              <w:widowControl w:val="0"/>
              <w:spacing w:after="220" w:line="240" w:lineRule="auto"/>
              <w:rPr>
                <w:b w:val="0"/>
                <w:color w:val="000000"/>
                <w:sz w:val="16"/>
                <w:szCs w:val="16"/>
              </w:rPr>
            </w:pPr>
            <w:r w:rsidDel="00000000" w:rsidR="00000000" w:rsidRPr="00000000">
              <w:rPr>
                <w:b w:val="0"/>
                <w:color w:val="000000"/>
                <w:sz w:val="16"/>
                <w:szCs w:val="16"/>
                <w:rtl w:val="0"/>
              </w:rPr>
              <w:t xml:space="preserve">Does the Token grant voting rights in relation to the issuer or another relevant party?</w:t>
            </w:r>
          </w:p>
        </w:tc>
        <w:tc>
          <w:tcPr>
            <w:shd w:fill="ffc000" w:val="clear"/>
            <w:vAlign w:val="center"/>
          </w:tcPr>
          <w:p w:rsidR="00000000" w:rsidDel="00000000" w:rsidP="00000000" w:rsidRDefault="00000000" w:rsidRPr="00000000" w14:paraId="00000025">
            <w:pPr>
              <w:spacing w:line="240" w:lineRule="auto"/>
              <w:jc w:val="center"/>
              <w:rPr>
                <w:color w:val="0f0f0f"/>
                <w:sz w:val="16"/>
                <w:szCs w:val="16"/>
              </w:rPr>
            </w:pPr>
            <w:r w:rsidDel="00000000" w:rsidR="00000000" w:rsidRPr="00000000">
              <w:rPr>
                <w:color w:val="0f0f0f"/>
                <w:sz w:val="16"/>
                <w:szCs w:val="16"/>
                <w:rtl w:val="0"/>
              </w:rPr>
              <w:t xml:space="preserve">◻</w:t>
            </w:r>
          </w:p>
        </w:tc>
        <w:tc>
          <w:tcPr>
            <w:shd w:fill="70ad47" w:val="clear"/>
            <w:vAlign w:val="center"/>
          </w:tcPr>
          <w:p w:rsidR="00000000" w:rsidDel="00000000" w:rsidP="00000000" w:rsidRDefault="00000000" w:rsidRPr="00000000" w14:paraId="00000026">
            <w:pPr>
              <w:spacing w:line="240" w:lineRule="auto"/>
              <w:jc w:val="center"/>
              <w:rPr>
                <w:color w:val="0f0f0f"/>
                <w:sz w:val="16"/>
                <w:szCs w:val="16"/>
              </w:rPr>
            </w:pPr>
            <w:r w:rsidDel="00000000" w:rsidR="00000000" w:rsidRPr="00000000">
              <w:rPr>
                <w:color w:val="0f0f0f"/>
                <w:sz w:val="16"/>
                <w:szCs w:val="16"/>
                <w:rtl w:val="0"/>
              </w:rPr>
              <w:t xml:space="preserve">◻</w:t>
            </w:r>
          </w:p>
        </w:tc>
        <w:tc>
          <w:tcPr>
            <w:shd w:fill="ffc000" w:val="clear"/>
            <w:vAlign w:val="center"/>
          </w:tcPr>
          <w:p w:rsidR="00000000" w:rsidDel="00000000" w:rsidP="00000000" w:rsidRDefault="00000000" w:rsidRPr="00000000" w14:paraId="00000027">
            <w:pPr>
              <w:spacing w:line="240" w:lineRule="auto"/>
              <w:jc w:val="center"/>
              <w:rPr>
                <w:color w:val="0f0f0f"/>
                <w:sz w:val="16"/>
                <w:szCs w:val="16"/>
              </w:rPr>
            </w:pPr>
            <w:r w:rsidDel="00000000" w:rsidR="00000000" w:rsidRPr="00000000">
              <w:rPr>
                <w:color w:val="0f0f0f"/>
                <w:sz w:val="16"/>
                <w:szCs w:val="16"/>
                <w:rtl w:val="0"/>
              </w:rPr>
              <w:t xml:space="preserve">◻</w:t>
            </w:r>
          </w:p>
        </w:tc>
        <w:tc>
          <w:tcPr>
            <w:vMerge w:val="restart"/>
          </w:tcPr>
          <w:p w:rsidR="00000000" w:rsidDel="00000000" w:rsidP="00000000" w:rsidRDefault="00000000" w:rsidRPr="00000000" w14:paraId="00000028">
            <w:pPr>
              <w:widowControl w:val="0"/>
              <w:numPr>
                <w:ilvl w:val="0"/>
                <w:numId w:val="2"/>
              </w:numPr>
              <w:spacing w:after="220" w:line="240" w:lineRule="auto"/>
              <w:ind w:left="360"/>
              <w:rPr>
                <w:rFonts w:ascii="Times New Roman" w:cs="Times New Roman" w:eastAsia="Times New Roman" w:hAnsi="Times New Roman"/>
                <w:b w:val="1"/>
                <w:color w:val="ffffff"/>
                <w:sz w:val="16"/>
                <w:szCs w:val="16"/>
              </w:rPr>
            </w:pPr>
            <w:r w:rsidDel="00000000" w:rsidR="00000000" w:rsidRPr="00000000">
              <w:rPr>
                <w:color w:val="000000"/>
                <w:sz w:val="16"/>
                <w:szCs w:val="16"/>
                <w:rtl w:val="0"/>
              </w:rPr>
              <w:t xml:space="preserve">Voting rights</w:t>
            </w:r>
            <w:r w:rsidDel="00000000" w:rsidR="00000000" w:rsidRPr="00000000">
              <w:rPr>
                <w:b w:val="0"/>
                <w:color w:val="000000"/>
                <w:sz w:val="16"/>
                <w:szCs w:val="16"/>
                <w:rtl w:val="0"/>
              </w:rPr>
              <w:t xml:space="preserve">: for the purposes of this factor, it is only necessary to consider voting rights which are characteristic of shares/partnership interests, such as voting rights in relation to corporate actions involving the issuer, or relating to appointment of directors to the issuer. Broad governance rights in relation to the operation of a protocol would not be relevant to the extent they do not relate to such matters, and should be ticked “</w:t>
            </w:r>
            <w:r w:rsidDel="00000000" w:rsidR="00000000" w:rsidRPr="00000000">
              <w:rPr>
                <w:b w:val="0"/>
                <w:i w:val="1"/>
                <w:color w:val="000000"/>
                <w:sz w:val="16"/>
                <w:szCs w:val="16"/>
                <w:rtl w:val="0"/>
              </w:rPr>
              <w:t xml:space="preserve">No”</w:t>
            </w:r>
            <w:r w:rsidDel="00000000" w:rsidR="00000000" w:rsidRPr="00000000">
              <w:rPr>
                <w:b w:val="0"/>
                <w:color w:val="000000"/>
                <w:sz w:val="16"/>
                <w:szCs w:val="16"/>
                <w:rtl w:val="0"/>
              </w:rPr>
              <w:t xml:space="preserve"> – however, if it is not clear whether a voting right is characteristic of shares/partnership interests this question should be answered as “</w:t>
            </w:r>
            <w:r w:rsidDel="00000000" w:rsidR="00000000" w:rsidRPr="00000000">
              <w:rPr>
                <w:b w:val="0"/>
                <w:i w:val="1"/>
                <w:color w:val="000000"/>
                <w:sz w:val="16"/>
                <w:szCs w:val="16"/>
                <w:rtl w:val="0"/>
              </w:rPr>
              <w:t xml:space="preserve">Indeterminate</w:t>
            </w:r>
            <w:r w:rsidDel="00000000" w:rsidR="00000000" w:rsidRPr="00000000">
              <w:rPr>
                <w:b w:val="0"/>
                <w:color w:val="000000"/>
                <w:sz w:val="16"/>
                <w:szCs w:val="16"/>
                <w:rtl w:val="0"/>
              </w:rPr>
              <w:t xml:space="preserve">”.</w:t>
            </w:r>
          </w:p>
          <w:p w:rsidR="00000000" w:rsidDel="00000000" w:rsidP="00000000" w:rsidRDefault="00000000" w:rsidRPr="00000000" w14:paraId="00000029">
            <w:pPr>
              <w:widowControl w:val="0"/>
              <w:numPr>
                <w:ilvl w:val="0"/>
                <w:numId w:val="2"/>
              </w:numPr>
              <w:spacing w:after="220" w:line="240" w:lineRule="auto"/>
              <w:ind w:left="360"/>
              <w:rPr>
                <w:rFonts w:ascii="Times New Roman" w:cs="Times New Roman" w:eastAsia="Times New Roman" w:hAnsi="Times New Roman"/>
                <w:b w:val="1"/>
                <w:color w:val="ffffff"/>
                <w:sz w:val="16"/>
                <w:szCs w:val="16"/>
              </w:rPr>
            </w:pPr>
            <w:r w:rsidDel="00000000" w:rsidR="00000000" w:rsidRPr="00000000">
              <w:rPr>
                <w:color w:val="000000"/>
                <w:sz w:val="16"/>
                <w:szCs w:val="16"/>
                <w:rtl w:val="0"/>
              </w:rPr>
              <w:t xml:space="preserve">DeFi protocol Tokens (including wrapped versions)</w:t>
            </w:r>
            <w:r w:rsidDel="00000000" w:rsidR="00000000" w:rsidRPr="00000000">
              <w:rPr>
                <w:b w:val="0"/>
                <w:color w:val="000000"/>
                <w:sz w:val="16"/>
                <w:szCs w:val="16"/>
                <w:rtl w:val="0"/>
              </w:rPr>
              <w:t xml:space="preserve">: rights in relation to a smart contract (or group of smart contracts) which is not a legal person and which are not otherwise legally enforceable against a counterparty are not relevant rights for these purposes – tick “</w:t>
            </w:r>
            <w:r w:rsidDel="00000000" w:rsidR="00000000" w:rsidRPr="00000000">
              <w:rPr>
                <w:b w:val="0"/>
                <w:i w:val="1"/>
                <w:color w:val="000000"/>
                <w:sz w:val="16"/>
                <w:szCs w:val="16"/>
                <w:rtl w:val="0"/>
              </w:rPr>
              <w:t xml:space="preserve">No</w:t>
            </w:r>
            <w:r w:rsidDel="00000000" w:rsidR="00000000" w:rsidRPr="00000000">
              <w:rPr>
                <w:b w:val="0"/>
                <w:color w:val="000000"/>
                <w:sz w:val="16"/>
                <w:szCs w:val="16"/>
                <w:rtl w:val="0"/>
              </w:rPr>
              <w:t xml:space="preserve">” for such rights.</w:t>
            </w:r>
          </w:p>
        </w:tc>
      </w:tr>
      <w:tr>
        <w:trPr>
          <w:cantSplit w:val="0"/>
          <w:tblHeader w:val="0"/>
        </w:trPr>
        <w:tc>
          <w:tcPr>
            <w:gridSpan w:val="2"/>
            <w:vMerge w:val="continue"/>
            <w:vAlign w:val="center"/>
          </w:tcPr>
          <w:p w:rsidR="00000000" w:rsidDel="00000000" w:rsidP="00000000" w:rsidRDefault="00000000" w:rsidRPr="00000000" w14:paraId="0000002A">
            <w:pPr>
              <w:widowControl w:val="0"/>
              <w:rPr>
                <w:b w:val="0"/>
                <w:color w:val="000000"/>
                <w:sz w:val="16"/>
                <w:szCs w:val="16"/>
              </w:rPr>
            </w:pPr>
            <w:r w:rsidDel="00000000" w:rsidR="00000000" w:rsidRPr="00000000">
              <w:rPr>
                <w:rtl w:val="0"/>
              </w:rPr>
            </w:r>
          </w:p>
        </w:tc>
        <w:tc>
          <w:tcPr>
            <w:vMerge w:val="continue"/>
            <w:vAlign w:val="center"/>
          </w:tcPr>
          <w:p w:rsidR="00000000" w:rsidDel="00000000" w:rsidP="00000000" w:rsidRDefault="00000000" w:rsidRPr="00000000" w14:paraId="0000002C">
            <w:pPr>
              <w:widowControl w:val="0"/>
              <w:rPr>
                <w:b w:val="0"/>
                <w:color w:val="000000"/>
                <w:sz w:val="16"/>
                <w:szCs w:val="16"/>
              </w:rPr>
            </w:pPr>
            <w:r w:rsidDel="00000000" w:rsidR="00000000" w:rsidRPr="00000000">
              <w:rPr>
                <w:rtl w:val="0"/>
              </w:rPr>
            </w:r>
          </w:p>
        </w:tc>
        <w:tc>
          <w:tcPr>
            <w:vAlign w:val="center"/>
          </w:tcPr>
          <w:p w:rsidR="00000000" w:rsidDel="00000000" w:rsidP="00000000" w:rsidRDefault="00000000" w:rsidRPr="00000000" w14:paraId="0000002D">
            <w:pPr>
              <w:widowControl w:val="0"/>
              <w:spacing w:after="220" w:line="240" w:lineRule="auto"/>
              <w:rPr>
                <w:b w:val="0"/>
                <w:color w:val="000000"/>
                <w:sz w:val="16"/>
                <w:szCs w:val="16"/>
              </w:rPr>
            </w:pPr>
            <w:r w:rsidDel="00000000" w:rsidR="00000000" w:rsidRPr="00000000">
              <w:rPr>
                <w:b w:val="0"/>
                <w:color w:val="000000"/>
                <w:sz w:val="16"/>
                <w:szCs w:val="16"/>
                <w:rtl w:val="0"/>
              </w:rPr>
              <w:t xml:space="preserve">Does the Token give rights or access to share in, or receive distributions of, the profits of the issuer or another relevant party?</w:t>
            </w:r>
          </w:p>
        </w:tc>
        <w:tc>
          <w:tcPr>
            <w:shd w:fill="c00000" w:val="clear"/>
            <w:vAlign w:val="center"/>
          </w:tcPr>
          <w:p w:rsidR="00000000" w:rsidDel="00000000" w:rsidP="00000000" w:rsidRDefault="00000000" w:rsidRPr="00000000" w14:paraId="0000002E">
            <w:pPr>
              <w:spacing w:line="240" w:lineRule="auto"/>
              <w:jc w:val="center"/>
              <w:rPr>
                <w:sz w:val="16"/>
                <w:szCs w:val="16"/>
              </w:rPr>
            </w:pPr>
            <w:r w:rsidDel="00000000" w:rsidR="00000000" w:rsidRPr="00000000">
              <w:rPr>
                <w:sz w:val="16"/>
                <w:szCs w:val="16"/>
                <w:rtl w:val="0"/>
              </w:rPr>
              <w:t xml:space="preserve">◻</w:t>
            </w:r>
          </w:p>
        </w:tc>
        <w:tc>
          <w:tcPr>
            <w:shd w:fill="70ad47" w:val="clear"/>
            <w:vAlign w:val="center"/>
          </w:tcPr>
          <w:p w:rsidR="00000000" w:rsidDel="00000000" w:rsidP="00000000" w:rsidRDefault="00000000" w:rsidRPr="00000000" w14:paraId="0000002F">
            <w:pPr>
              <w:spacing w:line="240" w:lineRule="auto"/>
              <w:jc w:val="center"/>
              <w:rPr>
                <w:color w:val="0f0f0f"/>
                <w:sz w:val="16"/>
                <w:szCs w:val="16"/>
              </w:rPr>
            </w:pPr>
            <w:r w:rsidDel="00000000" w:rsidR="00000000" w:rsidRPr="00000000">
              <w:rPr>
                <w:color w:val="0f0f0f"/>
                <w:sz w:val="16"/>
                <w:szCs w:val="16"/>
                <w:rtl w:val="0"/>
              </w:rPr>
              <w:t xml:space="preserve">◻</w:t>
            </w:r>
          </w:p>
        </w:tc>
        <w:tc>
          <w:tcPr>
            <w:shd w:fill="ffc000" w:val="clear"/>
            <w:vAlign w:val="center"/>
          </w:tcPr>
          <w:p w:rsidR="00000000" w:rsidDel="00000000" w:rsidP="00000000" w:rsidRDefault="00000000" w:rsidRPr="00000000" w14:paraId="00000030">
            <w:pPr>
              <w:spacing w:line="240" w:lineRule="auto"/>
              <w:jc w:val="center"/>
              <w:rPr>
                <w:color w:val="0f0f0f"/>
                <w:sz w:val="16"/>
                <w:szCs w:val="16"/>
              </w:rPr>
            </w:pPr>
            <w:r w:rsidDel="00000000" w:rsidR="00000000" w:rsidRPr="00000000">
              <w:rPr>
                <w:color w:val="0f0f0f"/>
                <w:sz w:val="16"/>
                <w:szCs w:val="16"/>
                <w:rtl w:val="0"/>
              </w:rPr>
              <w:t xml:space="preserve">◻</w:t>
            </w:r>
          </w:p>
        </w:tc>
        <w:tc>
          <w:tcPr>
            <w:vMerge w:val="continue"/>
          </w:tcPr>
          <w:p w:rsidR="00000000" w:rsidDel="00000000" w:rsidP="00000000" w:rsidRDefault="00000000" w:rsidRPr="00000000" w14:paraId="00000031">
            <w:pPr>
              <w:widowControl w:val="0"/>
              <w:rPr>
                <w:b w:val="0"/>
                <w:color w:val="000000"/>
                <w:sz w:val="16"/>
                <w:szCs w:val="16"/>
              </w:rPr>
            </w:pPr>
            <w:r w:rsidDel="00000000" w:rsidR="00000000" w:rsidRPr="00000000">
              <w:rPr>
                <w:rtl w:val="0"/>
              </w:rPr>
            </w:r>
          </w:p>
        </w:tc>
      </w:tr>
      <w:tr>
        <w:trPr>
          <w:cantSplit w:val="0"/>
          <w:tblHeader w:val="0"/>
        </w:trPr>
        <w:tc>
          <w:tcPr>
            <w:gridSpan w:val="2"/>
            <w:vMerge w:val="continue"/>
            <w:vAlign w:val="center"/>
          </w:tcPr>
          <w:p w:rsidR="00000000" w:rsidDel="00000000" w:rsidP="00000000" w:rsidRDefault="00000000" w:rsidRPr="00000000" w14:paraId="00000032">
            <w:pPr>
              <w:widowControl w:val="0"/>
              <w:rPr>
                <w:b w:val="0"/>
                <w:color w:val="000000"/>
                <w:sz w:val="16"/>
                <w:szCs w:val="16"/>
              </w:rPr>
            </w:pPr>
            <w:r w:rsidDel="00000000" w:rsidR="00000000" w:rsidRPr="00000000">
              <w:rPr>
                <w:rtl w:val="0"/>
              </w:rPr>
            </w:r>
          </w:p>
        </w:tc>
        <w:tc>
          <w:tcPr>
            <w:vMerge w:val="continue"/>
            <w:vAlign w:val="center"/>
          </w:tcPr>
          <w:p w:rsidR="00000000" w:rsidDel="00000000" w:rsidP="00000000" w:rsidRDefault="00000000" w:rsidRPr="00000000" w14:paraId="00000034">
            <w:pPr>
              <w:widowControl w:val="0"/>
              <w:rPr>
                <w:b w:val="0"/>
                <w:color w:val="000000"/>
                <w:sz w:val="16"/>
                <w:szCs w:val="16"/>
              </w:rPr>
            </w:pPr>
            <w:r w:rsidDel="00000000" w:rsidR="00000000" w:rsidRPr="00000000">
              <w:rPr>
                <w:rtl w:val="0"/>
              </w:rPr>
            </w:r>
          </w:p>
        </w:tc>
        <w:tc>
          <w:tcPr>
            <w:vAlign w:val="center"/>
          </w:tcPr>
          <w:p w:rsidR="00000000" w:rsidDel="00000000" w:rsidP="00000000" w:rsidRDefault="00000000" w:rsidRPr="00000000" w14:paraId="00000035">
            <w:pPr>
              <w:widowControl w:val="0"/>
              <w:spacing w:after="220" w:line="240" w:lineRule="auto"/>
              <w:rPr>
                <w:b w:val="0"/>
                <w:color w:val="000000"/>
                <w:sz w:val="16"/>
                <w:szCs w:val="16"/>
              </w:rPr>
            </w:pPr>
            <w:r w:rsidDel="00000000" w:rsidR="00000000" w:rsidRPr="00000000">
              <w:rPr>
                <w:b w:val="0"/>
                <w:color w:val="000000"/>
                <w:sz w:val="16"/>
                <w:szCs w:val="16"/>
                <w:rtl w:val="0"/>
              </w:rPr>
              <w:t xml:space="preserve">Does the Token give rights to share in the capital of the issuer or another relevant party, such as rights to distribution of capital upon liquidation?</w:t>
            </w:r>
          </w:p>
        </w:tc>
        <w:tc>
          <w:tcPr>
            <w:shd w:fill="c00000" w:val="clear"/>
            <w:vAlign w:val="center"/>
          </w:tcPr>
          <w:p w:rsidR="00000000" w:rsidDel="00000000" w:rsidP="00000000" w:rsidRDefault="00000000" w:rsidRPr="00000000" w14:paraId="00000036">
            <w:pPr>
              <w:spacing w:line="240" w:lineRule="auto"/>
              <w:jc w:val="center"/>
              <w:rPr>
                <w:sz w:val="16"/>
                <w:szCs w:val="16"/>
              </w:rPr>
            </w:pPr>
            <w:r w:rsidDel="00000000" w:rsidR="00000000" w:rsidRPr="00000000">
              <w:rPr>
                <w:sz w:val="16"/>
                <w:szCs w:val="16"/>
                <w:rtl w:val="0"/>
              </w:rPr>
              <w:t xml:space="preserve">◻</w:t>
            </w:r>
          </w:p>
        </w:tc>
        <w:tc>
          <w:tcPr>
            <w:shd w:fill="70ad47" w:val="clear"/>
            <w:vAlign w:val="center"/>
          </w:tcPr>
          <w:p w:rsidR="00000000" w:rsidDel="00000000" w:rsidP="00000000" w:rsidRDefault="00000000" w:rsidRPr="00000000" w14:paraId="00000037">
            <w:pPr>
              <w:spacing w:line="240" w:lineRule="auto"/>
              <w:jc w:val="center"/>
              <w:rPr>
                <w:color w:val="0f0f0f"/>
                <w:sz w:val="16"/>
                <w:szCs w:val="16"/>
              </w:rPr>
            </w:pPr>
            <w:r w:rsidDel="00000000" w:rsidR="00000000" w:rsidRPr="00000000">
              <w:rPr>
                <w:color w:val="0f0f0f"/>
                <w:sz w:val="16"/>
                <w:szCs w:val="16"/>
                <w:rtl w:val="0"/>
              </w:rPr>
              <w:t xml:space="preserve">◻</w:t>
            </w:r>
          </w:p>
        </w:tc>
        <w:tc>
          <w:tcPr>
            <w:shd w:fill="ffc000" w:val="clear"/>
            <w:vAlign w:val="center"/>
          </w:tcPr>
          <w:p w:rsidR="00000000" w:rsidDel="00000000" w:rsidP="00000000" w:rsidRDefault="00000000" w:rsidRPr="00000000" w14:paraId="00000038">
            <w:pPr>
              <w:spacing w:line="240" w:lineRule="auto"/>
              <w:jc w:val="center"/>
              <w:rPr>
                <w:color w:val="0f0f0f"/>
                <w:sz w:val="16"/>
                <w:szCs w:val="16"/>
              </w:rPr>
            </w:pPr>
            <w:r w:rsidDel="00000000" w:rsidR="00000000" w:rsidRPr="00000000">
              <w:rPr>
                <w:color w:val="0f0f0f"/>
                <w:sz w:val="16"/>
                <w:szCs w:val="16"/>
                <w:rtl w:val="0"/>
              </w:rPr>
              <w:t xml:space="preserve">◻</w:t>
            </w:r>
          </w:p>
        </w:tc>
        <w:tc>
          <w:tcPr>
            <w:vMerge w:val="continue"/>
          </w:tcPr>
          <w:p w:rsidR="00000000" w:rsidDel="00000000" w:rsidP="00000000" w:rsidRDefault="00000000" w:rsidRPr="00000000" w14:paraId="00000039">
            <w:pPr>
              <w:widowControl w:val="0"/>
              <w:rPr>
                <w:b w:val="0"/>
                <w:color w:val="000000"/>
                <w:sz w:val="16"/>
                <w:szCs w:val="16"/>
              </w:rPr>
            </w:pPr>
            <w:r w:rsidDel="00000000" w:rsidR="00000000" w:rsidRPr="00000000">
              <w:rPr>
                <w:rtl w:val="0"/>
              </w:rPr>
            </w:r>
          </w:p>
        </w:tc>
      </w:tr>
      <w:tr>
        <w:trPr>
          <w:cantSplit w:val="0"/>
          <w:tblHeader w:val="0"/>
        </w:trPr>
        <w:tc>
          <w:tcPr>
            <w:gridSpan w:val="2"/>
            <w:vMerge w:val="continue"/>
            <w:vAlign w:val="center"/>
          </w:tcPr>
          <w:p w:rsidR="00000000" w:rsidDel="00000000" w:rsidP="00000000" w:rsidRDefault="00000000" w:rsidRPr="00000000" w14:paraId="0000003A">
            <w:pPr>
              <w:widowControl w:val="0"/>
              <w:rPr>
                <w:b w:val="0"/>
                <w:color w:val="000000"/>
                <w:sz w:val="16"/>
                <w:szCs w:val="16"/>
              </w:rPr>
            </w:pPr>
            <w:r w:rsidDel="00000000" w:rsidR="00000000" w:rsidRPr="00000000">
              <w:rPr>
                <w:rtl w:val="0"/>
              </w:rPr>
            </w:r>
          </w:p>
        </w:tc>
        <w:tc>
          <w:tcPr>
            <w:vMerge w:val="continue"/>
            <w:vAlign w:val="center"/>
          </w:tcPr>
          <w:p w:rsidR="00000000" w:rsidDel="00000000" w:rsidP="00000000" w:rsidRDefault="00000000" w:rsidRPr="00000000" w14:paraId="0000003C">
            <w:pPr>
              <w:widowControl w:val="0"/>
              <w:rPr>
                <w:b w:val="0"/>
                <w:color w:val="000000"/>
                <w:sz w:val="16"/>
                <w:szCs w:val="16"/>
              </w:rPr>
            </w:pPr>
            <w:r w:rsidDel="00000000" w:rsidR="00000000" w:rsidRPr="00000000">
              <w:rPr>
                <w:rtl w:val="0"/>
              </w:rPr>
            </w:r>
          </w:p>
        </w:tc>
        <w:tc>
          <w:tcPr>
            <w:vAlign w:val="center"/>
          </w:tcPr>
          <w:p w:rsidR="00000000" w:rsidDel="00000000" w:rsidP="00000000" w:rsidRDefault="00000000" w:rsidRPr="00000000" w14:paraId="0000003D">
            <w:pPr>
              <w:widowControl w:val="0"/>
              <w:spacing w:after="220" w:line="240" w:lineRule="auto"/>
              <w:rPr>
                <w:b w:val="0"/>
                <w:color w:val="000000"/>
                <w:sz w:val="16"/>
                <w:szCs w:val="16"/>
              </w:rPr>
            </w:pPr>
            <w:r w:rsidDel="00000000" w:rsidR="00000000" w:rsidRPr="00000000">
              <w:rPr>
                <w:b w:val="0"/>
                <w:color w:val="000000"/>
                <w:sz w:val="16"/>
                <w:szCs w:val="16"/>
                <w:rtl w:val="0"/>
              </w:rPr>
              <w:t xml:space="preserve">Does the Token represent the liability of the Token holder in the issuer or another relevant party? </w:t>
            </w:r>
          </w:p>
        </w:tc>
        <w:tc>
          <w:tcPr>
            <w:shd w:fill="c00000" w:val="clear"/>
            <w:vAlign w:val="center"/>
          </w:tcPr>
          <w:p w:rsidR="00000000" w:rsidDel="00000000" w:rsidP="00000000" w:rsidRDefault="00000000" w:rsidRPr="00000000" w14:paraId="0000003E">
            <w:pPr>
              <w:spacing w:line="240" w:lineRule="auto"/>
              <w:jc w:val="center"/>
              <w:rPr>
                <w:sz w:val="16"/>
                <w:szCs w:val="16"/>
              </w:rPr>
            </w:pPr>
            <w:r w:rsidDel="00000000" w:rsidR="00000000" w:rsidRPr="00000000">
              <w:rPr>
                <w:sz w:val="16"/>
                <w:szCs w:val="16"/>
                <w:rtl w:val="0"/>
              </w:rPr>
              <w:t xml:space="preserve">◻</w:t>
            </w:r>
          </w:p>
        </w:tc>
        <w:tc>
          <w:tcPr>
            <w:shd w:fill="70ad47" w:val="clear"/>
            <w:vAlign w:val="center"/>
          </w:tcPr>
          <w:p w:rsidR="00000000" w:rsidDel="00000000" w:rsidP="00000000" w:rsidRDefault="00000000" w:rsidRPr="00000000" w14:paraId="0000003F">
            <w:pPr>
              <w:spacing w:line="240" w:lineRule="auto"/>
              <w:jc w:val="center"/>
              <w:rPr>
                <w:color w:val="0f0f0f"/>
                <w:sz w:val="16"/>
                <w:szCs w:val="16"/>
              </w:rPr>
            </w:pPr>
            <w:r w:rsidDel="00000000" w:rsidR="00000000" w:rsidRPr="00000000">
              <w:rPr>
                <w:color w:val="0f0f0f"/>
                <w:sz w:val="16"/>
                <w:szCs w:val="16"/>
                <w:rtl w:val="0"/>
              </w:rPr>
              <w:t xml:space="preserve">◻</w:t>
            </w:r>
          </w:p>
        </w:tc>
        <w:tc>
          <w:tcPr>
            <w:shd w:fill="ffc000" w:val="clear"/>
            <w:vAlign w:val="center"/>
          </w:tcPr>
          <w:p w:rsidR="00000000" w:rsidDel="00000000" w:rsidP="00000000" w:rsidRDefault="00000000" w:rsidRPr="00000000" w14:paraId="00000040">
            <w:pPr>
              <w:spacing w:line="240" w:lineRule="auto"/>
              <w:jc w:val="center"/>
              <w:rPr>
                <w:color w:val="0f0f0f"/>
                <w:sz w:val="16"/>
                <w:szCs w:val="16"/>
              </w:rPr>
            </w:pPr>
            <w:r w:rsidDel="00000000" w:rsidR="00000000" w:rsidRPr="00000000">
              <w:rPr>
                <w:color w:val="0f0f0f"/>
                <w:sz w:val="16"/>
                <w:szCs w:val="16"/>
                <w:rtl w:val="0"/>
              </w:rPr>
              <w:t xml:space="preserve">◻</w:t>
            </w:r>
          </w:p>
        </w:tc>
        <w:tc>
          <w:tcPr>
            <w:vMerge w:val="continue"/>
          </w:tcPr>
          <w:p w:rsidR="00000000" w:rsidDel="00000000" w:rsidP="00000000" w:rsidRDefault="00000000" w:rsidRPr="00000000" w14:paraId="00000041">
            <w:pPr>
              <w:widowControl w:val="0"/>
              <w:rPr>
                <w:b w:val="0"/>
                <w:color w:val="000000"/>
                <w:sz w:val="16"/>
                <w:szCs w:val="16"/>
              </w:rPr>
            </w:pPr>
            <w:r w:rsidDel="00000000" w:rsidR="00000000" w:rsidRPr="00000000">
              <w:rPr>
                <w:rtl w:val="0"/>
              </w:rPr>
            </w:r>
          </w:p>
        </w:tc>
      </w:tr>
      <w:tr>
        <w:trPr>
          <w:cantSplit w:val="0"/>
          <w:tblHeader w:val="0"/>
        </w:trPr>
        <w:tc>
          <w:tcPr>
            <w:gridSpan w:val="2"/>
            <w:vMerge w:val="continue"/>
            <w:vAlign w:val="center"/>
          </w:tcPr>
          <w:p w:rsidR="00000000" w:rsidDel="00000000" w:rsidP="00000000" w:rsidRDefault="00000000" w:rsidRPr="00000000" w14:paraId="00000042">
            <w:pPr>
              <w:widowControl w:val="0"/>
              <w:rPr>
                <w:b w:val="0"/>
                <w:color w:val="000000"/>
                <w:sz w:val="16"/>
                <w:szCs w:val="16"/>
              </w:rPr>
            </w:pPr>
            <w:r w:rsidDel="00000000" w:rsidR="00000000" w:rsidRPr="00000000">
              <w:rPr>
                <w:rtl w:val="0"/>
              </w:rPr>
            </w:r>
          </w:p>
        </w:tc>
        <w:tc>
          <w:tcPr>
            <w:vMerge w:val="continue"/>
            <w:vAlign w:val="center"/>
          </w:tcPr>
          <w:p w:rsidR="00000000" w:rsidDel="00000000" w:rsidP="00000000" w:rsidRDefault="00000000" w:rsidRPr="00000000" w14:paraId="00000044">
            <w:pPr>
              <w:widowControl w:val="0"/>
              <w:rPr>
                <w:b w:val="0"/>
                <w:color w:val="000000"/>
                <w:sz w:val="16"/>
                <w:szCs w:val="16"/>
              </w:rPr>
            </w:pPr>
            <w:r w:rsidDel="00000000" w:rsidR="00000000" w:rsidRPr="00000000">
              <w:rPr>
                <w:rtl w:val="0"/>
              </w:rPr>
            </w:r>
          </w:p>
        </w:tc>
        <w:tc>
          <w:tcPr>
            <w:vAlign w:val="center"/>
          </w:tcPr>
          <w:p w:rsidR="00000000" w:rsidDel="00000000" w:rsidP="00000000" w:rsidRDefault="00000000" w:rsidRPr="00000000" w14:paraId="00000045">
            <w:pPr>
              <w:widowControl w:val="0"/>
              <w:spacing w:after="220" w:line="240" w:lineRule="auto"/>
              <w:rPr>
                <w:b w:val="0"/>
                <w:color w:val="000000"/>
                <w:sz w:val="16"/>
                <w:szCs w:val="16"/>
              </w:rPr>
            </w:pPr>
            <w:r w:rsidDel="00000000" w:rsidR="00000000" w:rsidRPr="00000000">
              <w:rPr>
                <w:b w:val="0"/>
                <w:color w:val="000000"/>
                <w:sz w:val="16"/>
                <w:szCs w:val="16"/>
                <w:rtl w:val="0"/>
              </w:rPr>
              <w:t xml:space="preserve">Does the Token give rights to participate in or receive profits, income or other payments or returns arising from property or business managed under a trust?  </w:t>
            </w:r>
          </w:p>
        </w:tc>
        <w:tc>
          <w:tcPr>
            <w:shd w:fill="c00000" w:val="clear"/>
            <w:vAlign w:val="center"/>
          </w:tcPr>
          <w:p w:rsidR="00000000" w:rsidDel="00000000" w:rsidP="00000000" w:rsidRDefault="00000000" w:rsidRPr="00000000" w14:paraId="00000046">
            <w:pPr>
              <w:spacing w:line="240" w:lineRule="auto"/>
              <w:jc w:val="center"/>
              <w:rPr>
                <w:sz w:val="16"/>
                <w:szCs w:val="16"/>
              </w:rPr>
            </w:pPr>
            <w:r w:rsidDel="00000000" w:rsidR="00000000" w:rsidRPr="00000000">
              <w:rPr>
                <w:sz w:val="16"/>
                <w:szCs w:val="16"/>
                <w:rtl w:val="0"/>
              </w:rPr>
              <w:t xml:space="preserve">◻</w:t>
            </w:r>
          </w:p>
        </w:tc>
        <w:tc>
          <w:tcPr>
            <w:shd w:fill="70ad47" w:val="clear"/>
            <w:vAlign w:val="center"/>
          </w:tcPr>
          <w:p w:rsidR="00000000" w:rsidDel="00000000" w:rsidP="00000000" w:rsidRDefault="00000000" w:rsidRPr="00000000" w14:paraId="00000047">
            <w:pPr>
              <w:spacing w:line="240" w:lineRule="auto"/>
              <w:jc w:val="center"/>
              <w:rPr>
                <w:color w:val="000000"/>
                <w:sz w:val="16"/>
                <w:szCs w:val="16"/>
              </w:rPr>
            </w:pPr>
            <w:r w:rsidDel="00000000" w:rsidR="00000000" w:rsidRPr="00000000">
              <w:rPr>
                <w:rFonts w:ascii="Wingdings" w:cs="Wingdings" w:eastAsia="Wingdings" w:hAnsi="Wingdings"/>
                <w:color w:val="000000"/>
                <w:sz w:val="16"/>
                <w:szCs w:val="16"/>
                <w:rtl w:val="0"/>
              </w:rPr>
              <w:t xml:space="preserve">◻</w:t>
            </w:r>
            <w:r w:rsidDel="00000000" w:rsidR="00000000" w:rsidRPr="00000000">
              <w:rPr>
                <w:rtl w:val="0"/>
              </w:rPr>
            </w:r>
          </w:p>
        </w:tc>
        <w:tc>
          <w:tcPr>
            <w:shd w:fill="ffc000" w:val="clear"/>
            <w:vAlign w:val="center"/>
          </w:tcPr>
          <w:p w:rsidR="00000000" w:rsidDel="00000000" w:rsidP="00000000" w:rsidRDefault="00000000" w:rsidRPr="00000000" w14:paraId="00000048">
            <w:pPr>
              <w:spacing w:line="240" w:lineRule="auto"/>
              <w:jc w:val="center"/>
              <w:rPr>
                <w:color w:val="000000"/>
                <w:sz w:val="16"/>
                <w:szCs w:val="16"/>
              </w:rPr>
            </w:pPr>
            <w:r w:rsidDel="00000000" w:rsidR="00000000" w:rsidRPr="00000000">
              <w:rPr>
                <w:color w:val="000000"/>
                <w:sz w:val="16"/>
                <w:szCs w:val="16"/>
                <w:rtl w:val="0"/>
              </w:rPr>
              <w:t xml:space="preserve">◻</w:t>
            </w:r>
          </w:p>
        </w:tc>
        <w:tc>
          <w:tcPr>
            <w:vMerge w:val="continue"/>
          </w:tcPr>
          <w:p w:rsidR="00000000" w:rsidDel="00000000" w:rsidP="00000000" w:rsidRDefault="00000000" w:rsidRPr="00000000" w14:paraId="00000049">
            <w:pPr>
              <w:widowControl w:val="0"/>
              <w:rPr>
                <w:b w:val="0"/>
                <w:color w:val="000000"/>
                <w:sz w:val="16"/>
                <w:szCs w:val="16"/>
              </w:rPr>
            </w:pPr>
            <w:r w:rsidDel="00000000" w:rsidR="00000000" w:rsidRPr="00000000">
              <w:rPr>
                <w:rtl w:val="0"/>
              </w:rPr>
            </w:r>
          </w:p>
        </w:tc>
      </w:tr>
      <w:tr>
        <w:trPr>
          <w:cantSplit w:val="0"/>
          <w:tblHeader w:val="0"/>
        </w:trPr>
        <w:tc>
          <w:tcPr>
            <w:gridSpan w:val="2"/>
            <w:vMerge w:val="continue"/>
            <w:vAlign w:val="center"/>
          </w:tcPr>
          <w:p w:rsidR="00000000" w:rsidDel="00000000" w:rsidP="00000000" w:rsidRDefault="00000000" w:rsidRPr="00000000" w14:paraId="0000004A">
            <w:pPr>
              <w:widowControl w:val="0"/>
              <w:rPr>
                <w:b w:val="0"/>
                <w:color w:val="000000"/>
                <w:sz w:val="16"/>
                <w:szCs w:val="16"/>
              </w:rPr>
            </w:pPr>
            <w:r w:rsidDel="00000000" w:rsidR="00000000" w:rsidRPr="00000000">
              <w:rPr>
                <w:rtl w:val="0"/>
              </w:rPr>
            </w:r>
          </w:p>
        </w:tc>
        <w:tc>
          <w:tcPr>
            <w:vMerge w:val="restart"/>
            <w:shd w:fill="f2f2f2" w:val="clear"/>
            <w:vAlign w:val="center"/>
          </w:tcPr>
          <w:p w:rsidR="00000000" w:rsidDel="00000000" w:rsidP="00000000" w:rsidRDefault="00000000" w:rsidRPr="00000000" w14:paraId="0000004C">
            <w:pPr>
              <w:widowControl w:val="0"/>
              <w:spacing w:after="220" w:line="240" w:lineRule="auto"/>
              <w:rPr>
                <w:b w:val="0"/>
                <w:color w:val="000000"/>
                <w:sz w:val="16"/>
                <w:szCs w:val="16"/>
              </w:rPr>
            </w:pPr>
            <w:r w:rsidDel="00000000" w:rsidR="00000000" w:rsidRPr="00000000">
              <w:rPr>
                <w:b w:val="0"/>
                <w:color w:val="000000"/>
                <w:sz w:val="16"/>
                <w:szCs w:val="16"/>
                <w:rtl w:val="0"/>
              </w:rPr>
              <w:t xml:space="preserve">Debt instruments/ debentures</w:t>
            </w:r>
          </w:p>
        </w:tc>
        <w:tc>
          <w:tcPr>
            <w:shd w:fill="f2f2f2" w:val="clear"/>
            <w:vAlign w:val="center"/>
          </w:tcPr>
          <w:p w:rsidR="00000000" w:rsidDel="00000000" w:rsidP="00000000" w:rsidRDefault="00000000" w:rsidRPr="00000000" w14:paraId="0000004D">
            <w:pPr>
              <w:widowControl w:val="0"/>
              <w:spacing w:after="220" w:line="240" w:lineRule="auto"/>
              <w:rPr>
                <w:b w:val="0"/>
                <w:color w:val="000000"/>
                <w:sz w:val="16"/>
                <w:szCs w:val="16"/>
              </w:rPr>
            </w:pPr>
            <w:r w:rsidDel="00000000" w:rsidR="00000000" w:rsidRPr="00000000">
              <w:rPr>
                <w:b w:val="0"/>
                <w:color w:val="000000"/>
                <w:sz w:val="16"/>
                <w:szCs w:val="16"/>
                <w:rtl w:val="0"/>
              </w:rPr>
              <w:t xml:space="preserve">Does the Token represent, create or acknowledge a debt owed by, or debt claim on, the issuer or another legal entity?</w:t>
            </w:r>
          </w:p>
        </w:tc>
        <w:tc>
          <w:tcPr>
            <w:shd w:fill="c00000" w:val="clear"/>
            <w:vAlign w:val="center"/>
          </w:tcPr>
          <w:p w:rsidR="00000000" w:rsidDel="00000000" w:rsidP="00000000" w:rsidRDefault="00000000" w:rsidRPr="00000000" w14:paraId="0000004E">
            <w:pPr>
              <w:spacing w:line="240" w:lineRule="auto"/>
              <w:jc w:val="center"/>
              <w:rPr>
                <w:sz w:val="16"/>
                <w:szCs w:val="16"/>
              </w:rPr>
            </w:pPr>
            <w:r w:rsidDel="00000000" w:rsidR="00000000" w:rsidRPr="00000000">
              <w:rPr>
                <w:sz w:val="16"/>
                <w:szCs w:val="16"/>
                <w:rtl w:val="0"/>
              </w:rPr>
              <w:t xml:space="preserve">◻</w:t>
            </w:r>
          </w:p>
        </w:tc>
        <w:tc>
          <w:tcPr>
            <w:shd w:fill="70ad47" w:val="clear"/>
            <w:vAlign w:val="center"/>
          </w:tcPr>
          <w:p w:rsidR="00000000" w:rsidDel="00000000" w:rsidP="00000000" w:rsidRDefault="00000000" w:rsidRPr="00000000" w14:paraId="0000004F">
            <w:pPr>
              <w:spacing w:line="240" w:lineRule="auto"/>
              <w:jc w:val="center"/>
              <w:rPr>
                <w:color w:val="000000"/>
                <w:sz w:val="16"/>
                <w:szCs w:val="16"/>
              </w:rPr>
            </w:pPr>
            <w:r w:rsidDel="00000000" w:rsidR="00000000" w:rsidRPr="00000000">
              <w:rPr>
                <w:rFonts w:ascii="Wingdings" w:cs="Wingdings" w:eastAsia="Wingdings" w:hAnsi="Wingdings"/>
                <w:color w:val="000000"/>
                <w:sz w:val="16"/>
                <w:szCs w:val="16"/>
                <w:rtl w:val="0"/>
              </w:rPr>
              <w:t xml:space="preserve">◻</w:t>
            </w:r>
            <w:r w:rsidDel="00000000" w:rsidR="00000000" w:rsidRPr="00000000">
              <w:rPr>
                <w:rtl w:val="0"/>
              </w:rPr>
            </w:r>
          </w:p>
        </w:tc>
        <w:tc>
          <w:tcPr>
            <w:shd w:fill="ffc000" w:val="clear"/>
            <w:vAlign w:val="center"/>
          </w:tcPr>
          <w:p w:rsidR="00000000" w:rsidDel="00000000" w:rsidP="00000000" w:rsidRDefault="00000000" w:rsidRPr="00000000" w14:paraId="00000050">
            <w:pPr>
              <w:spacing w:line="240" w:lineRule="auto"/>
              <w:jc w:val="center"/>
              <w:rPr>
                <w:color w:val="000000"/>
                <w:sz w:val="16"/>
                <w:szCs w:val="16"/>
              </w:rPr>
            </w:pPr>
            <w:r w:rsidDel="00000000" w:rsidR="00000000" w:rsidRPr="00000000">
              <w:rPr>
                <w:color w:val="000000"/>
                <w:sz w:val="16"/>
                <w:szCs w:val="16"/>
                <w:rtl w:val="0"/>
              </w:rPr>
              <w:t xml:space="preserve">◻</w:t>
            </w:r>
          </w:p>
        </w:tc>
        <w:tc>
          <w:tcPr>
            <w:vMerge w:val="restart"/>
            <w:shd w:fill="f2f2f2" w:val="clear"/>
          </w:tcPr>
          <w:p w:rsidR="00000000" w:rsidDel="00000000" w:rsidP="00000000" w:rsidRDefault="00000000" w:rsidRPr="00000000" w14:paraId="00000051">
            <w:pPr>
              <w:widowControl w:val="0"/>
              <w:numPr>
                <w:ilvl w:val="0"/>
                <w:numId w:val="2"/>
              </w:numPr>
              <w:spacing w:after="220" w:line="240" w:lineRule="auto"/>
              <w:ind w:left="360"/>
              <w:rPr>
                <w:rFonts w:ascii="Times New Roman" w:cs="Times New Roman" w:eastAsia="Times New Roman" w:hAnsi="Times New Roman"/>
                <w:b w:val="1"/>
                <w:color w:val="ffffff"/>
                <w:sz w:val="16"/>
                <w:szCs w:val="16"/>
              </w:rPr>
            </w:pPr>
            <w:r w:rsidDel="00000000" w:rsidR="00000000" w:rsidRPr="00000000">
              <w:rPr>
                <w:color w:val="000000"/>
                <w:sz w:val="16"/>
                <w:szCs w:val="16"/>
                <w:rtl w:val="0"/>
              </w:rPr>
              <w:t xml:space="preserve">Indebtedness</w:t>
            </w:r>
            <w:r w:rsidDel="00000000" w:rsidR="00000000" w:rsidRPr="00000000">
              <w:rPr>
                <w:b w:val="0"/>
                <w:color w:val="000000"/>
                <w:sz w:val="16"/>
                <w:szCs w:val="16"/>
                <w:rtl w:val="0"/>
              </w:rPr>
              <w:t xml:space="preserve">: for the purposes of assessing this factor, the key issue is whether the Token creates, evidences or acknowledges indebtedness, typically a contractual obligation to repay a certain amount of money or claim for monetary value against a legal entity (for example, rights to repayment under a bond or note). If there is no such indebtedness, the Token will not constitute a debt instrument/debenture – tick “</w:t>
            </w:r>
            <w:r w:rsidDel="00000000" w:rsidR="00000000" w:rsidRPr="00000000">
              <w:rPr>
                <w:b w:val="0"/>
                <w:i w:val="1"/>
                <w:color w:val="000000"/>
                <w:sz w:val="16"/>
                <w:szCs w:val="16"/>
                <w:rtl w:val="0"/>
              </w:rPr>
              <w:t xml:space="preserve">No</w:t>
            </w:r>
            <w:r w:rsidDel="00000000" w:rsidR="00000000" w:rsidRPr="00000000">
              <w:rPr>
                <w:b w:val="0"/>
                <w:color w:val="000000"/>
                <w:sz w:val="16"/>
                <w:szCs w:val="16"/>
                <w:rtl w:val="0"/>
              </w:rPr>
              <w:t xml:space="preserve">” for such rights.</w:t>
            </w:r>
          </w:p>
          <w:p w:rsidR="00000000" w:rsidDel="00000000" w:rsidP="00000000" w:rsidRDefault="00000000" w:rsidRPr="00000000" w14:paraId="00000052">
            <w:pPr>
              <w:widowControl w:val="0"/>
              <w:numPr>
                <w:ilvl w:val="0"/>
                <w:numId w:val="2"/>
              </w:numPr>
              <w:spacing w:after="220" w:line="240" w:lineRule="auto"/>
              <w:ind w:left="360"/>
              <w:rPr>
                <w:rFonts w:ascii="Times New Roman" w:cs="Times New Roman" w:eastAsia="Times New Roman" w:hAnsi="Times New Roman"/>
                <w:b w:val="1"/>
                <w:color w:val="ffffff"/>
                <w:sz w:val="16"/>
                <w:szCs w:val="16"/>
              </w:rPr>
            </w:pPr>
            <w:r w:rsidDel="00000000" w:rsidR="00000000" w:rsidRPr="00000000">
              <w:rPr>
                <w:color w:val="000000"/>
                <w:sz w:val="16"/>
                <w:szCs w:val="16"/>
                <w:rtl w:val="0"/>
              </w:rPr>
              <w:t xml:space="preserve">Other examples of debentures</w:t>
            </w:r>
            <w:r w:rsidDel="00000000" w:rsidR="00000000" w:rsidRPr="00000000">
              <w:rPr>
                <w:b w:val="0"/>
                <w:color w:val="000000"/>
                <w:sz w:val="16"/>
                <w:szCs w:val="16"/>
                <w:rtl w:val="0"/>
              </w:rPr>
              <w:t xml:space="preserve">: examples include: (i) buy-back arrangements involving gold, silver and platinum, and (ii) products that are structured as a note, such as a participatory note or credit-linked note.</w:t>
            </w:r>
          </w:p>
          <w:p w:rsidR="00000000" w:rsidDel="00000000" w:rsidP="00000000" w:rsidRDefault="00000000" w:rsidRPr="00000000" w14:paraId="00000053">
            <w:pPr>
              <w:widowControl w:val="0"/>
              <w:numPr>
                <w:ilvl w:val="0"/>
                <w:numId w:val="2"/>
              </w:numPr>
              <w:spacing w:after="220" w:line="240" w:lineRule="auto"/>
              <w:ind w:left="360"/>
              <w:rPr>
                <w:rFonts w:ascii="Times New Roman" w:cs="Times New Roman" w:eastAsia="Times New Roman" w:hAnsi="Times New Roman"/>
                <w:b w:val="1"/>
                <w:color w:val="ffffff"/>
                <w:sz w:val="16"/>
                <w:szCs w:val="16"/>
              </w:rPr>
            </w:pPr>
            <w:r w:rsidDel="00000000" w:rsidR="00000000" w:rsidRPr="00000000">
              <w:rPr>
                <w:color w:val="000000"/>
                <w:sz w:val="16"/>
                <w:szCs w:val="16"/>
                <w:rtl w:val="0"/>
              </w:rPr>
              <w:t xml:space="preserve">Other exclusions: </w:t>
            </w:r>
            <w:r w:rsidDel="00000000" w:rsidR="00000000" w:rsidRPr="00000000">
              <w:rPr>
                <w:b w:val="0"/>
                <w:color w:val="000000"/>
                <w:sz w:val="16"/>
                <w:szCs w:val="16"/>
                <w:rtl w:val="0"/>
              </w:rPr>
              <w:t xml:space="preserve">instruments of payment (such as cheques, letters of credit, orders for the payment of money and bills of exchange) will not constitute debt instruments/debentures. Accordingly, select “</w:t>
            </w:r>
            <w:r w:rsidDel="00000000" w:rsidR="00000000" w:rsidRPr="00000000">
              <w:rPr>
                <w:b w:val="0"/>
                <w:i w:val="1"/>
                <w:color w:val="000000"/>
                <w:sz w:val="16"/>
                <w:szCs w:val="16"/>
                <w:rtl w:val="0"/>
              </w:rPr>
              <w:t xml:space="preserve">No</w:t>
            </w:r>
            <w:r w:rsidDel="00000000" w:rsidR="00000000" w:rsidRPr="00000000">
              <w:rPr>
                <w:b w:val="0"/>
                <w:color w:val="000000"/>
                <w:sz w:val="16"/>
                <w:szCs w:val="16"/>
                <w:rtl w:val="0"/>
              </w:rPr>
              <w:t xml:space="preserve">” for such instruments.</w:t>
            </w:r>
          </w:p>
        </w:tc>
      </w:tr>
      <w:tr>
        <w:trPr>
          <w:cantSplit w:val="0"/>
          <w:tblHeader w:val="0"/>
        </w:trPr>
        <w:tc>
          <w:tcPr>
            <w:gridSpan w:val="2"/>
            <w:vMerge w:val="continue"/>
            <w:vAlign w:val="center"/>
          </w:tcPr>
          <w:p w:rsidR="00000000" w:rsidDel="00000000" w:rsidP="00000000" w:rsidRDefault="00000000" w:rsidRPr="00000000" w14:paraId="00000054">
            <w:pPr>
              <w:widowControl w:val="0"/>
              <w:rPr>
                <w:b w:val="0"/>
                <w:color w:val="000000"/>
                <w:sz w:val="16"/>
                <w:szCs w:val="16"/>
              </w:rPr>
            </w:pPr>
            <w:r w:rsidDel="00000000" w:rsidR="00000000" w:rsidRPr="00000000">
              <w:rPr>
                <w:rtl w:val="0"/>
              </w:rPr>
            </w:r>
          </w:p>
        </w:tc>
        <w:tc>
          <w:tcPr>
            <w:vMerge w:val="continue"/>
            <w:shd w:fill="f2f2f2" w:val="clear"/>
            <w:vAlign w:val="center"/>
          </w:tcPr>
          <w:p w:rsidR="00000000" w:rsidDel="00000000" w:rsidP="00000000" w:rsidRDefault="00000000" w:rsidRPr="00000000" w14:paraId="00000056">
            <w:pPr>
              <w:widowControl w:val="0"/>
              <w:rPr>
                <w:b w:val="0"/>
                <w:color w:val="000000"/>
                <w:sz w:val="16"/>
                <w:szCs w:val="16"/>
              </w:rPr>
            </w:pPr>
            <w:r w:rsidDel="00000000" w:rsidR="00000000" w:rsidRPr="00000000">
              <w:rPr>
                <w:rtl w:val="0"/>
              </w:rPr>
            </w:r>
          </w:p>
        </w:tc>
        <w:tc>
          <w:tcPr>
            <w:shd w:fill="f2f2f2" w:val="clear"/>
            <w:vAlign w:val="center"/>
          </w:tcPr>
          <w:p w:rsidR="00000000" w:rsidDel="00000000" w:rsidP="00000000" w:rsidRDefault="00000000" w:rsidRPr="00000000" w14:paraId="00000057">
            <w:pPr>
              <w:widowControl w:val="0"/>
              <w:spacing w:after="220" w:line="240" w:lineRule="auto"/>
              <w:rPr>
                <w:b w:val="0"/>
                <w:color w:val="000000"/>
                <w:sz w:val="16"/>
                <w:szCs w:val="16"/>
              </w:rPr>
            </w:pPr>
            <w:r w:rsidDel="00000000" w:rsidR="00000000" w:rsidRPr="00000000">
              <w:rPr>
                <w:b w:val="0"/>
                <w:color w:val="000000"/>
                <w:sz w:val="16"/>
                <w:szCs w:val="16"/>
                <w:rtl w:val="0"/>
              </w:rPr>
              <w:t xml:space="preserve">Do Token holders have the right to redeem the Token or otherwise exchange the Token for fiat currency with the issuer? </w:t>
            </w:r>
          </w:p>
          <w:p w:rsidR="00000000" w:rsidDel="00000000" w:rsidP="00000000" w:rsidRDefault="00000000" w:rsidRPr="00000000" w14:paraId="00000058">
            <w:pPr>
              <w:widowControl w:val="0"/>
              <w:spacing w:after="220" w:line="240" w:lineRule="auto"/>
              <w:rPr>
                <w:b w:val="0"/>
                <w:color w:val="000000"/>
                <w:sz w:val="16"/>
                <w:szCs w:val="16"/>
              </w:rPr>
            </w:pPr>
            <w:r w:rsidDel="00000000" w:rsidR="00000000" w:rsidRPr="00000000">
              <w:rPr>
                <w:b w:val="0"/>
                <w:color w:val="000000"/>
                <w:sz w:val="16"/>
                <w:szCs w:val="16"/>
                <w:rtl w:val="0"/>
              </w:rPr>
              <w:t xml:space="preserve">Is the issuer under an obligation to buy-back the Token from Token holders?</w:t>
            </w:r>
          </w:p>
        </w:tc>
        <w:tc>
          <w:tcPr>
            <w:shd w:fill="c00000" w:val="clear"/>
            <w:vAlign w:val="center"/>
          </w:tcPr>
          <w:p w:rsidR="00000000" w:rsidDel="00000000" w:rsidP="00000000" w:rsidRDefault="00000000" w:rsidRPr="00000000" w14:paraId="00000059">
            <w:pPr>
              <w:spacing w:line="240" w:lineRule="auto"/>
              <w:jc w:val="center"/>
              <w:rPr>
                <w:sz w:val="16"/>
                <w:szCs w:val="16"/>
              </w:rPr>
            </w:pPr>
            <w:r w:rsidDel="00000000" w:rsidR="00000000" w:rsidRPr="00000000">
              <w:rPr>
                <w:sz w:val="16"/>
                <w:szCs w:val="16"/>
                <w:rtl w:val="0"/>
              </w:rPr>
              <w:t xml:space="preserve">◻</w:t>
            </w:r>
          </w:p>
        </w:tc>
        <w:tc>
          <w:tcPr>
            <w:shd w:fill="70ad47" w:val="clear"/>
            <w:vAlign w:val="center"/>
          </w:tcPr>
          <w:p w:rsidR="00000000" w:rsidDel="00000000" w:rsidP="00000000" w:rsidRDefault="00000000" w:rsidRPr="00000000" w14:paraId="0000005A">
            <w:pPr>
              <w:spacing w:line="240" w:lineRule="auto"/>
              <w:jc w:val="center"/>
              <w:rPr>
                <w:color w:val="000000"/>
                <w:sz w:val="16"/>
                <w:szCs w:val="16"/>
              </w:rPr>
            </w:pPr>
            <w:r w:rsidDel="00000000" w:rsidR="00000000" w:rsidRPr="00000000">
              <w:rPr>
                <w:rFonts w:ascii="Wingdings" w:cs="Wingdings" w:eastAsia="Wingdings" w:hAnsi="Wingdings"/>
                <w:color w:val="000000"/>
                <w:sz w:val="16"/>
                <w:szCs w:val="16"/>
                <w:rtl w:val="0"/>
              </w:rPr>
              <w:t xml:space="preserve">◻</w:t>
            </w:r>
            <w:r w:rsidDel="00000000" w:rsidR="00000000" w:rsidRPr="00000000">
              <w:rPr>
                <w:rtl w:val="0"/>
              </w:rPr>
            </w:r>
          </w:p>
        </w:tc>
        <w:tc>
          <w:tcPr>
            <w:shd w:fill="ffc000" w:val="clear"/>
            <w:vAlign w:val="center"/>
          </w:tcPr>
          <w:p w:rsidR="00000000" w:rsidDel="00000000" w:rsidP="00000000" w:rsidRDefault="00000000" w:rsidRPr="00000000" w14:paraId="0000005B">
            <w:pPr>
              <w:spacing w:line="240" w:lineRule="auto"/>
              <w:jc w:val="center"/>
              <w:rPr>
                <w:color w:val="000000"/>
                <w:sz w:val="16"/>
                <w:szCs w:val="16"/>
              </w:rPr>
            </w:pPr>
            <w:r w:rsidDel="00000000" w:rsidR="00000000" w:rsidRPr="00000000">
              <w:rPr>
                <w:color w:val="000000"/>
                <w:sz w:val="16"/>
                <w:szCs w:val="16"/>
                <w:rtl w:val="0"/>
              </w:rPr>
              <w:t xml:space="preserve">◻</w:t>
            </w:r>
          </w:p>
        </w:tc>
        <w:tc>
          <w:tcPr>
            <w:vMerge w:val="continue"/>
            <w:shd w:fill="f2f2f2" w:val="clear"/>
          </w:tcPr>
          <w:p w:rsidR="00000000" w:rsidDel="00000000" w:rsidP="00000000" w:rsidRDefault="00000000" w:rsidRPr="00000000" w14:paraId="0000005C">
            <w:pPr>
              <w:widowControl w:val="0"/>
              <w:rPr>
                <w:b w:val="0"/>
                <w:color w:val="000000"/>
                <w:sz w:val="16"/>
                <w:szCs w:val="16"/>
              </w:rPr>
            </w:pPr>
            <w:r w:rsidDel="00000000" w:rsidR="00000000" w:rsidRPr="00000000">
              <w:rPr>
                <w:rtl w:val="0"/>
              </w:rPr>
            </w:r>
          </w:p>
        </w:tc>
      </w:tr>
      <w:tr>
        <w:trPr>
          <w:cantSplit w:val="0"/>
          <w:tblHeader w:val="0"/>
        </w:trPr>
        <w:tc>
          <w:tcPr>
            <w:gridSpan w:val="2"/>
            <w:vMerge w:val="continue"/>
            <w:vAlign w:val="center"/>
          </w:tcPr>
          <w:p w:rsidR="00000000" w:rsidDel="00000000" w:rsidP="00000000" w:rsidRDefault="00000000" w:rsidRPr="00000000" w14:paraId="0000005D">
            <w:pPr>
              <w:widowControl w:val="0"/>
              <w:rPr>
                <w:b w:val="0"/>
                <w:color w:val="000000"/>
                <w:sz w:val="16"/>
                <w:szCs w:val="16"/>
              </w:rPr>
            </w:pPr>
            <w:r w:rsidDel="00000000" w:rsidR="00000000" w:rsidRPr="00000000">
              <w:rPr>
                <w:rtl w:val="0"/>
              </w:rPr>
            </w:r>
          </w:p>
        </w:tc>
        <w:tc>
          <w:tcPr>
            <w:shd w:fill="ffffff" w:val="clear"/>
            <w:vAlign w:val="center"/>
          </w:tcPr>
          <w:p w:rsidR="00000000" w:rsidDel="00000000" w:rsidP="00000000" w:rsidRDefault="00000000" w:rsidRPr="00000000" w14:paraId="0000005F">
            <w:pPr>
              <w:widowControl w:val="0"/>
              <w:spacing w:after="220" w:line="240" w:lineRule="auto"/>
              <w:rPr>
                <w:b w:val="0"/>
                <w:color w:val="000000"/>
                <w:sz w:val="16"/>
                <w:szCs w:val="16"/>
              </w:rPr>
            </w:pPr>
            <w:r w:rsidDel="00000000" w:rsidR="00000000" w:rsidRPr="00000000">
              <w:rPr>
                <w:b w:val="0"/>
                <w:color w:val="000000"/>
                <w:sz w:val="16"/>
                <w:szCs w:val="16"/>
                <w:rtl w:val="0"/>
              </w:rPr>
              <w:t xml:space="preserve">Depository receipts in respect of shares or debt instruments</w:t>
            </w:r>
          </w:p>
        </w:tc>
        <w:tc>
          <w:tcPr>
            <w:shd w:fill="ffffff" w:val="clear"/>
            <w:vAlign w:val="center"/>
          </w:tcPr>
          <w:p w:rsidR="00000000" w:rsidDel="00000000" w:rsidP="00000000" w:rsidRDefault="00000000" w:rsidRPr="00000000" w14:paraId="00000060">
            <w:pPr>
              <w:widowControl w:val="0"/>
              <w:spacing w:after="220" w:line="240" w:lineRule="auto"/>
              <w:jc w:val="both"/>
              <w:rPr>
                <w:b w:val="0"/>
                <w:color w:val="000000"/>
                <w:sz w:val="16"/>
                <w:szCs w:val="16"/>
              </w:rPr>
            </w:pPr>
            <w:r w:rsidDel="00000000" w:rsidR="00000000" w:rsidRPr="00000000">
              <w:rPr>
                <w:b w:val="0"/>
                <w:color w:val="000000"/>
                <w:sz w:val="16"/>
                <w:szCs w:val="16"/>
                <w:rtl w:val="0"/>
              </w:rPr>
              <w:t xml:space="preserve">Does the Token represent rights or entitlements to underlying shares or debt instruments that are deposited with another party?</w:t>
            </w:r>
          </w:p>
        </w:tc>
        <w:tc>
          <w:tcPr>
            <w:shd w:fill="c00000" w:val="clear"/>
            <w:vAlign w:val="center"/>
          </w:tcPr>
          <w:p w:rsidR="00000000" w:rsidDel="00000000" w:rsidP="00000000" w:rsidRDefault="00000000" w:rsidRPr="00000000" w14:paraId="00000061">
            <w:pPr>
              <w:spacing w:line="240" w:lineRule="auto"/>
              <w:jc w:val="center"/>
              <w:rPr>
                <w:sz w:val="16"/>
                <w:szCs w:val="16"/>
              </w:rPr>
            </w:pPr>
            <w:r w:rsidDel="00000000" w:rsidR="00000000" w:rsidRPr="00000000">
              <w:rPr>
                <w:sz w:val="16"/>
                <w:szCs w:val="16"/>
                <w:rtl w:val="0"/>
              </w:rPr>
              <w:t xml:space="preserve">◻</w:t>
            </w:r>
          </w:p>
        </w:tc>
        <w:tc>
          <w:tcPr>
            <w:shd w:fill="70ad47" w:val="clear"/>
            <w:vAlign w:val="center"/>
          </w:tcPr>
          <w:p w:rsidR="00000000" w:rsidDel="00000000" w:rsidP="00000000" w:rsidRDefault="00000000" w:rsidRPr="00000000" w14:paraId="00000062">
            <w:pPr>
              <w:spacing w:line="240" w:lineRule="auto"/>
              <w:jc w:val="center"/>
              <w:rPr>
                <w:color w:val="000000"/>
                <w:sz w:val="16"/>
                <w:szCs w:val="16"/>
              </w:rPr>
            </w:pPr>
            <w:r w:rsidDel="00000000" w:rsidR="00000000" w:rsidRPr="00000000">
              <w:rPr>
                <w:rFonts w:ascii="Wingdings" w:cs="Wingdings" w:eastAsia="Wingdings" w:hAnsi="Wingdings"/>
                <w:color w:val="000000"/>
                <w:sz w:val="16"/>
                <w:szCs w:val="16"/>
                <w:rtl w:val="0"/>
              </w:rPr>
              <w:t xml:space="preserve">◻</w:t>
            </w:r>
            <w:r w:rsidDel="00000000" w:rsidR="00000000" w:rsidRPr="00000000">
              <w:rPr>
                <w:rtl w:val="0"/>
              </w:rPr>
            </w:r>
          </w:p>
        </w:tc>
        <w:tc>
          <w:tcPr>
            <w:shd w:fill="ffc000" w:val="clear"/>
            <w:vAlign w:val="center"/>
          </w:tcPr>
          <w:p w:rsidR="00000000" w:rsidDel="00000000" w:rsidP="00000000" w:rsidRDefault="00000000" w:rsidRPr="00000000" w14:paraId="00000063">
            <w:pPr>
              <w:spacing w:line="240" w:lineRule="auto"/>
              <w:jc w:val="center"/>
              <w:rPr>
                <w:color w:val="000000"/>
                <w:sz w:val="16"/>
                <w:szCs w:val="16"/>
              </w:rPr>
            </w:pPr>
            <w:r w:rsidDel="00000000" w:rsidR="00000000" w:rsidRPr="00000000">
              <w:rPr>
                <w:color w:val="000000"/>
                <w:sz w:val="16"/>
                <w:szCs w:val="16"/>
                <w:rtl w:val="0"/>
              </w:rPr>
              <w:t xml:space="preserve">◻</w:t>
            </w:r>
          </w:p>
        </w:tc>
        <w:tc>
          <w:tcPr>
            <w:shd w:fill="ffffff" w:val="clear"/>
          </w:tcPr>
          <w:p w:rsidR="00000000" w:rsidDel="00000000" w:rsidP="00000000" w:rsidRDefault="00000000" w:rsidRPr="00000000" w14:paraId="00000064">
            <w:pPr>
              <w:widowControl w:val="0"/>
              <w:numPr>
                <w:ilvl w:val="0"/>
                <w:numId w:val="2"/>
              </w:numPr>
              <w:spacing w:after="220" w:line="240" w:lineRule="auto"/>
              <w:ind w:left="360"/>
              <w:rPr>
                <w:rFonts w:ascii="Times New Roman" w:cs="Times New Roman" w:eastAsia="Times New Roman" w:hAnsi="Times New Roman"/>
                <w:b w:val="1"/>
                <w:color w:val="ffffff"/>
                <w:sz w:val="16"/>
                <w:szCs w:val="16"/>
              </w:rPr>
            </w:pPr>
            <w:r w:rsidDel="00000000" w:rsidR="00000000" w:rsidRPr="00000000">
              <w:rPr>
                <w:color w:val="000000"/>
                <w:sz w:val="16"/>
                <w:szCs w:val="16"/>
                <w:rtl w:val="0"/>
              </w:rPr>
              <w:t xml:space="preserve">DeFi protocol Tokens (including wrapped versions)</w:t>
            </w:r>
            <w:r w:rsidDel="00000000" w:rsidR="00000000" w:rsidRPr="00000000">
              <w:rPr>
                <w:b w:val="0"/>
                <w:color w:val="000000"/>
                <w:sz w:val="16"/>
                <w:szCs w:val="16"/>
                <w:rtl w:val="0"/>
              </w:rPr>
              <w:t xml:space="preserve">: rights in relation to a smart contract (or group of smart contracts) which is not a legal person and which are not otherwise legally enforceable against a counterparty are not relevant rights for these purposes – tick “</w:t>
            </w:r>
            <w:r w:rsidDel="00000000" w:rsidR="00000000" w:rsidRPr="00000000">
              <w:rPr>
                <w:b w:val="0"/>
                <w:i w:val="1"/>
                <w:color w:val="000000"/>
                <w:sz w:val="16"/>
                <w:szCs w:val="16"/>
                <w:rtl w:val="0"/>
              </w:rPr>
              <w:t xml:space="preserve">No</w:t>
            </w:r>
            <w:r w:rsidDel="00000000" w:rsidR="00000000" w:rsidRPr="00000000">
              <w:rPr>
                <w:b w:val="0"/>
                <w:color w:val="000000"/>
                <w:sz w:val="16"/>
                <w:szCs w:val="16"/>
                <w:rtl w:val="0"/>
              </w:rPr>
              <w:t xml:space="preserve">” for such rights.</w:t>
            </w:r>
            <w:r w:rsidDel="00000000" w:rsidR="00000000" w:rsidRPr="00000000">
              <w:rPr>
                <w:rtl w:val="0"/>
              </w:rPr>
            </w:r>
          </w:p>
        </w:tc>
      </w:tr>
      <w:tr>
        <w:trPr>
          <w:cantSplit w:val="0"/>
          <w:tblHeader w:val="0"/>
        </w:trPr>
        <w:tc>
          <w:tcPr>
            <w:gridSpan w:val="2"/>
            <w:vMerge w:val="continue"/>
            <w:vAlign w:val="center"/>
          </w:tcPr>
          <w:p w:rsidR="00000000" w:rsidDel="00000000" w:rsidP="00000000" w:rsidRDefault="00000000" w:rsidRPr="00000000" w14:paraId="00000065">
            <w:pPr>
              <w:widowControl w:val="0"/>
              <w:rPr>
                <w:color w:val="000000"/>
                <w:sz w:val="16"/>
                <w:szCs w:val="16"/>
              </w:rPr>
            </w:pPr>
            <w:r w:rsidDel="00000000" w:rsidR="00000000" w:rsidRPr="00000000">
              <w:rPr>
                <w:rtl w:val="0"/>
              </w:rPr>
            </w:r>
          </w:p>
        </w:tc>
        <w:tc>
          <w:tcPr>
            <w:shd w:fill="f2f2f2" w:val="clear"/>
            <w:vAlign w:val="center"/>
          </w:tcPr>
          <w:p w:rsidR="00000000" w:rsidDel="00000000" w:rsidP="00000000" w:rsidRDefault="00000000" w:rsidRPr="00000000" w14:paraId="00000067">
            <w:pPr>
              <w:widowControl w:val="0"/>
              <w:spacing w:after="220" w:line="240" w:lineRule="auto"/>
              <w:rPr>
                <w:b w:val="0"/>
                <w:color w:val="000000"/>
                <w:sz w:val="16"/>
                <w:szCs w:val="16"/>
              </w:rPr>
            </w:pPr>
            <w:r w:rsidDel="00000000" w:rsidR="00000000" w:rsidRPr="00000000">
              <w:rPr>
                <w:b w:val="0"/>
                <w:color w:val="000000"/>
                <w:sz w:val="16"/>
                <w:szCs w:val="16"/>
                <w:rtl w:val="0"/>
              </w:rPr>
              <w:t xml:space="preserve">Security embedding a derivative </w:t>
            </w:r>
          </w:p>
        </w:tc>
        <w:tc>
          <w:tcPr>
            <w:shd w:fill="f2f2f2" w:val="clear"/>
            <w:vAlign w:val="center"/>
          </w:tcPr>
          <w:p w:rsidR="00000000" w:rsidDel="00000000" w:rsidP="00000000" w:rsidRDefault="00000000" w:rsidRPr="00000000" w14:paraId="00000068">
            <w:pPr>
              <w:widowControl w:val="0"/>
              <w:spacing w:after="220" w:line="240" w:lineRule="auto"/>
              <w:jc w:val="both"/>
              <w:rPr>
                <w:b w:val="0"/>
                <w:color w:val="000000"/>
                <w:sz w:val="16"/>
                <w:szCs w:val="16"/>
              </w:rPr>
            </w:pPr>
            <w:r w:rsidDel="00000000" w:rsidR="00000000" w:rsidRPr="00000000">
              <w:rPr>
                <w:b w:val="0"/>
                <w:color w:val="000000"/>
                <w:sz w:val="16"/>
                <w:szCs w:val="16"/>
                <w:rtl w:val="0"/>
              </w:rPr>
              <w:t xml:space="preserve">Does the Token give rise to a cash settlement determined by reference to transferable securities, currencies, interest rates or yields, commodities or other indices or measures?</w:t>
            </w:r>
          </w:p>
        </w:tc>
        <w:tc>
          <w:tcPr>
            <w:shd w:fill="c00000" w:val="clear"/>
            <w:vAlign w:val="center"/>
          </w:tcPr>
          <w:p w:rsidR="00000000" w:rsidDel="00000000" w:rsidP="00000000" w:rsidRDefault="00000000" w:rsidRPr="00000000" w14:paraId="00000069">
            <w:pPr>
              <w:spacing w:line="240" w:lineRule="auto"/>
              <w:jc w:val="center"/>
              <w:rPr>
                <w:sz w:val="16"/>
                <w:szCs w:val="16"/>
              </w:rPr>
            </w:pPr>
            <w:r w:rsidDel="00000000" w:rsidR="00000000" w:rsidRPr="00000000">
              <w:rPr>
                <w:sz w:val="16"/>
                <w:szCs w:val="16"/>
                <w:rtl w:val="0"/>
              </w:rPr>
              <w:t xml:space="preserve">◻</w:t>
            </w:r>
          </w:p>
        </w:tc>
        <w:tc>
          <w:tcPr>
            <w:shd w:fill="70ad47" w:val="clear"/>
            <w:vAlign w:val="center"/>
          </w:tcPr>
          <w:p w:rsidR="00000000" w:rsidDel="00000000" w:rsidP="00000000" w:rsidRDefault="00000000" w:rsidRPr="00000000" w14:paraId="0000006A">
            <w:pPr>
              <w:spacing w:line="240" w:lineRule="auto"/>
              <w:jc w:val="center"/>
              <w:rPr>
                <w:color w:val="0f0f0f"/>
                <w:sz w:val="16"/>
                <w:szCs w:val="16"/>
              </w:rPr>
            </w:pPr>
            <w:r w:rsidDel="00000000" w:rsidR="00000000" w:rsidRPr="00000000">
              <w:rPr>
                <w:color w:val="0f0f0f"/>
                <w:sz w:val="16"/>
                <w:szCs w:val="16"/>
                <w:rtl w:val="0"/>
              </w:rPr>
              <w:t xml:space="preserve">◻</w:t>
            </w:r>
          </w:p>
        </w:tc>
        <w:tc>
          <w:tcPr>
            <w:shd w:fill="ffc000" w:val="clear"/>
            <w:vAlign w:val="center"/>
          </w:tcPr>
          <w:p w:rsidR="00000000" w:rsidDel="00000000" w:rsidP="00000000" w:rsidRDefault="00000000" w:rsidRPr="00000000" w14:paraId="0000006B">
            <w:pPr>
              <w:spacing w:line="240" w:lineRule="auto"/>
              <w:jc w:val="center"/>
              <w:rPr>
                <w:color w:val="0f0f0f"/>
                <w:sz w:val="16"/>
                <w:szCs w:val="16"/>
              </w:rPr>
            </w:pPr>
            <w:r w:rsidDel="00000000" w:rsidR="00000000" w:rsidRPr="00000000">
              <w:rPr>
                <w:color w:val="0f0f0f"/>
                <w:sz w:val="16"/>
                <w:szCs w:val="16"/>
                <w:rtl w:val="0"/>
              </w:rPr>
              <w:t xml:space="preserve">◻</w:t>
            </w:r>
          </w:p>
        </w:tc>
        <w:tc>
          <w:tcPr>
            <w:shd w:fill="f2f2f2" w:val="clear"/>
          </w:tcPr>
          <w:p w:rsidR="00000000" w:rsidDel="00000000" w:rsidP="00000000" w:rsidRDefault="00000000" w:rsidRPr="00000000" w14:paraId="0000006C">
            <w:pPr>
              <w:widowControl w:val="0"/>
              <w:spacing w:after="220" w:line="240" w:lineRule="auto"/>
              <w:rPr>
                <w:color w:val="000000"/>
                <w:sz w:val="16"/>
                <w:szCs w:val="16"/>
              </w:rPr>
            </w:pPr>
            <w:r w:rsidDel="00000000" w:rsidR="00000000" w:rsidRPr="00000000">
              <w:rPr>
                <w:rtl w:val="0"/>
              </w:rPr>
            </w:r>
          </w:p>
        </w:tc>
      </w:tr>
      <w:tr>
        <w:trPr>
          <w:cantSplit w:val="0"/>
          <w:tblHeader w:val="0"/>
        </w:trPr>
        <w:tc>
          <w:tcPr>
            <w:gridSpan w:val="2"/>
            <w:vMerge w:val="continue"/>
            <w:vAlign w:val="center"/>
          </w:tcPr>
          <w:p w:rsidR="00000000" w:rsidDel="00000000" w:rsidP="00000000" w:rsidRDefault="00000000" w:rsidRPr="00000000" w14:paraId="0000006D">
            <w:pPr>
              <w:widowControl w:val="0"/>
              <w:rPr>
                <w:color w:val="000000"/>
                <w:sz w:val="16"/>
                <w:szCs w:val="16"/>
              </w:rPr>
            </w:pPr>
            <w:r w:rsidDel="00000000" w:rsidR="00000000" w:rsidRPr="00000000">
              <w:rPr>
                <w:rtl w:val="0"/>
              </w:rPr>
            </w:r>
          </w:p>
        </w:tc>
        <w:tc>
          <w:tcPr>
            <w:shd w:fill="ffffff" w:val="clear"/>
            <w:vAlign w:val="center"/>
          </w:tcPr>
          <w:p w:rsidR="00000000" w:rsidDel="00000000" w:rsidP="00000000" w:rsidRDefault="00000000" w:rsidRPr="00000000" w14:paraId="0000006F">
            <w:pPr>
              <w:widowControl w:val="0"/>
              <w:spacing w:after="220" w:line="240" w:lineRule="auto"/>
              <w:rPr>
                <w:b w:val="0"/>
                <w:color w:val="000000"/>
                <w:sz w:val="16"/>
                <w:szCs w:val="16"/>
              </w:rPr>
            </w:pPr>
            <w:r w:rsidDel="00000000" w:rsidR="00000000" w:rsidRPr="00000000">
              <w:rPr>
                <w:b w:val="0"/>
                <w:color w:val="000000"/>
                <w:sz w:val="16"/>
                <w:szCs w:val="16"/>
                <w:rtl w:val="0"/>
              </w:rPr>
              <w:t xml:space="preserve">Certificates representing certain securities</w:t>
            </w:r>
          </w:p>
        </w:tc>
        <w:tc>
          <w:tcPr>
            <w:shd w:fill="ffffff" w:val="clear"/>
            <w:vAlign w:val="center"/>
          </w:tcPr>
          <w:p w:rsidR="00000000" w:rsidDel="00000000" w:rsidP="00000000" w:rsidRDefault="00000000" w:rsidRPr="00000000" w14:paraId="00000070">
            <w:pPr>
              <w:widowControl w:val="0"/>
              <w:spacing w:after="220" w:line="240" w:lineRule="auto"/>
              <w:jc w:val="both"/>
              <w:rPr>
                <w:b w:val="0"/>
                <w:color w:val="000000"/>
                <w:sz w:val="16"/>
                <w:szCs w:val="16"/>
              </w:rPr>
            </w:pPr>
            <w:r w:rsidDel="00000000" w:rsidR="00000000" w:rsidRPr="00000000">
              <w:rPr>
                <w:b w:val="0"/>
                <w:color w:val="000000"/>
                <w:sz w:val="16"/>
                <w:szCs w:val="16"/>
                <w:rtl w:val="0"/>
              </w:rPr>
              <w:t xml:space="preserve">Does the Token grant contractual or property rights over other securities?</w:t>
            </w:r>
          </w:p>
        </w:tc>
        <w:tc>
          <w:tcPr>
            <w:shd w:fill="c00000" w:val="clear"/>
            <w:vAlign w:val="center"/>
          </w:tcPr>
          <w:p w:rsidR="00000000" w:rsidDel="00000000" w:rsidP="00000000" w:rsidRDefault="00000000" w:rsidRPr="00000000" w14:paraId="00000071">
            <w:pPr>
              <w:spacing w:line="240" w:lineRule="auto"/>
              <w:jc w:val="center"/>
              <w:rPr>
                <w:sz w:val="16"/>
                <w:szCs w:val="16"/>
              </w:rPr>
            </w:pPr>
            <w:r w:rsidDel="00000000" w:rsidR="00000000" w:rsidRPr="00000000">
              <w:rPr>
                <w:sz w:val="16"/>
                <w:szCs w:val="16"/>
                <w:rtl w:val="0"/>
              </w:rPr>
              <w:t xml:space="preserve">◻</w:t>
            </w:r>
          </w:p>
        </w:tc>
        <w:tc>
          <w:tcPr>
            <w:shd w:fill="70ad47" w:val="clear"/>
            <w:vAlign w:val="center"/>
          </w:tcPr>
          <w:p w:rsidR="00000000" w:rsidDel="00000000" w:rsidP="00000000" w:rsidRDefault="00000000" w:rsidRPr="00000000" w14:paraId="00000072">
            <w:pPr>
              <w:spacing w:line="240" w:lineRule="auto"/>
              <w:jc w:val="center"/>
              <w:rPr>
                <w:color w:val="0f0f0f"/>
                <w:sz w:val="16"/>
                <w:szCs w:val="16"/>
              </w:rPr>
            </w:pPr>
            <w:r w:rsidDel="00000000" w:rsidR="00000000" w:rsidRPr="00000000">
              <w:rPr>
                <w:color w:val="0f0f0f"/>
                <w:sz w:val="16"/>
                <w:szCs w:val="16"/>
                <w:rtl w:val="0"/>
              </w:rPr>
              <w:t xml:space="preserve">◻</w:t>
            </w:r>
          </w:p>
        </w:tc>
        <w:tc>
          <w:tcPr>
            <w:shd w:fill="ffc000" w:val="clear"/>
            <w:vAlign w:val="center"/>
          </w:tcPr>
          <w:p w:rsidR="00000000" w:rsidDel="00000000" w:rsidP="00000000" w:rsidRDefault="00000000" w:rsidRPr="00000000" w14:paraId="00000073">
            <w:pPr>
              <w:spacing w:line="240" w:lineRule="auto"/>
              <w:jc w:val="center"/>
              <w:rPr>
                <w:color w:val="0f0f0f"/>
                <w:sz w:val="16"/>
                <w:szCs w:val="16"/>
              </w:rPr>
            </w:pPr>
            <w:r w:rsidDel="00000000" w:rsidR="00000000" w:rsidRPr="00000000">
              <w:rPr>
                <w:color w:val="0f0f0f"/>
                <w:sz w:val="16"/>
                <w:szCs w:val="16"/>
                <w:rtl w:val="0"/>
              </w:rPr>
              <w:t xml:space="preserve">◻</w:t>
            </w:r>
          </w:p>
        </w:tc>
        <w:tc>
          <w:tcPr>
            <w:shd w:fill="ffffff" w:val="clear"/>
          </w:tcPr>
          <w:p w:rsidR="00000000" w:rsidDel="00000000" w:rsidP="00000000" w:rsidRDefault="00000000" w:rsidRPr="00000000" w14:paraId="00000074">
            <w:pPr>
              <w:widowControl w:val="0"/>
              <w:numPr>
                <w:ilvl w:val="0"/>
                <w:numId w:val="2"/>
              </w:numPr>
              <w:spacing w:after="220" w:line="240" w:lineRule="auto"/>
              <w:ind w:left="360"/>
              <w:rPr>
                <w:rFonts w:ascii="Times New Roman" w:cs="Times New Roman" w:eastAsia="Times New Roman" w:hAnsi="Times New Roman"/>
                <w:b w:val="1"/>
                <w:color w:val="ffffff"/>
                <w:sz w:val="16"/>
                <w:szCs w:val="16"/>
              </w:rPr>
            </w:pPr>
            <w:r w:rsidDel="00000000" w:rsidR="00000000" w:rsidRPr="00000000">
              <w:rPr>
                <w:color w:val="000000"/>
                <w:sz w:val="16"/>
                <w:szCs w:val="16"/>
                <w:rtl w:val="0"/>
              </w:rPr>
              <w:t xml:space="preserve">Contractual or property rights</w:t>
            </w:r>
            <w:r w:rsidDel="00000000" w:rsidR="00000000" w:rsidRPr="00000000">
              <w:rPr>
                <w:b w:val="0"/>
                <w:color w:val="000000"/>
                <w:sz w:val="16"/>
                <w:szCs w:val="16"/>
                <w:rtl w:val="0"/>
              </w:rPr>
              <w:t xml:space="preserve">: this expression is not defined, but will capture Tokens which represent contractual or property rights over securities held by another party, provided the Tokens are transferable without the consent of that party – e.g., a Tokenised depository receipt. Accordingly tick “</w:t>
            </w:r>
            <w:r w:rsidDel="00000000" w:rsidR="00000000" w:rsidRPr="00000000">
              <w:rPr>
                <w:b w:val="0"/>
                <w:i w:val="1"/>
                <w:color w:val="000000"/>
                <w:sz w:val="16"/>
                <w:szCs w:val="16"/>
                <w:rtl w:val="0"/>
              </w:rPr>
              <w:t xml:space="preserve">Yes</w:t>
            </w:r>
            <w:r w:rsidDel="00000000" w:rsidR="00000000" w:rsidRPr="00000000">
              <w:rPr>
                <w:b w:val="0"/>
                <w:color w:val="000000"/>
                <w:sz w:val="16"/>
                <w:szCs w:val="16"/>
                <w:rtl w:val="0"/>
              </w:rPr>
              <w:t xml:space="preserve">” for such Tokens.</w:t>
            </w:r>
            <w:r w:rsidDel="00000000" w:rsidR="00000000" w:rsidRPr="00000000">
              <w:rPr>
                <w:rtl w:val="0"/>
              </w:rPr>
            </w:r>
          </w:p>
        </w:tc>
      </w:tr>
      <w:tr>
        <w:trPr>
          <w:cantSplit w:val="0"/>
          <w:tblHeader w:val="0"/>
        </w:trPr>
        <w:tc>
          <w:tcPr>
            <w:gridSpan w:val="2"/>
            <w:vMerge w:val="continue"/>
            <w:vAlign w:val="center"/>
          </w:tcPr>
          <w:p w:rsidR="00000000" w:rsidDel="00000000" w:rsidP="00000000" w:rsidRDefault="00000000" w:rsidRPr="00000000" w14:paraId="00000075">
            <w:pPr>
              <w:widowControl w:val="0"/>
              <w:rPr>
                <w:color w:val="000000"/>
                <w:sz w:val="16"/>
                <w:szCs w:val="16"/>
              </w:rPr>
            </w:pPr>
            <w:r w:rsidDel="00000000" w:rsidR="00000000" w:rsidRPr="00000000">
              <w:rPr>
                <w:rtl w:val="0"/>
              </w:rPr>
            </w:r>
          </w:p>
        </w:tc>
        <w:tc>
          <w:tcPr>
            <w:shd w:fill="f2f2f2" w:val="clear"/>
            <w:vAlign w:val="center"/>
          </w:tcPr>
          <w:p w:rsidR="00000000" w:rsidDel="00000000" w:rsidP="00000000" w:rsidRDefault="00000000" w:rsidRPr="00000000" w14:paraId="00000077">
            <w:pPr>
              <w:widowControl w:val="0"/>
              <w:spacing w:after="220" w:line="240" w:lineRule="auto"/>
              <w:rPr>
                <w:b w:val="0"/>
                <w:color w:val="000000"/>
                <w:sz w:val="16"/>
                <w:szCs w:val="16"/>
              </w:rPr>
            </w:pPr>
            <w:r w:rsidDel="00000000" w:rsidR="00000000" w:rsidRPr="00000000">
              <w:rPr>
                <w:b w:val="0"/>
                <w:color w:val="000000"/>
                <w:sz w:val="16"/>
                <w:szCs w:val="16"/>
                <w:rtl w:val="0"/>
              </w:rPr>
              <w:t xml:space="preserve">Warrants</w:t>
            </w:r>
          </w:p>
        </w:tc>
        <w:tc>
          <w:tcPr>
            <w:shd w:fill="f2f2f2" w:val="clear"/>
            <w:vAlign w:val="center"/>
          </w:tcPr>
          <w:p w:rsidR="00000000" w:rsidDel="00000000" w:rsidP="00000000" w:rsidRDefault="00000000" w:rsidRPr="00000000" w14:paraId="00000078">
            <w:pPr>
              <w:widowControl w:val="0"/>
              <w:spacing w:after="220" w:line="240" w:lineRule="auto"/>
              <w:jc w:val="both"/>
              <w:rPr>
                <w:b w:val="0"/>
                <w:color w:val="000000"/>
                <w:sz w:val="16"/>
                <w:szCs w:val="16"/>
                <w:highlight w:val="yellow"/>
              </w:rPr>
            </w:pPr>
            <w:r w:rsidDel="00000000" w:rsidR="00000000" w:rsidRPr="00000000">
              <w:rPr>
                <w:b w:val="0"/>
                <w:color w:val="000000"/>
                <w:sz w:val="16"/>
                <w:szCs w:val="16"/>
                <w:rtl w:val="0"/>
              </w:rPr>
              <w:t xml:space="preserve">Does the Token entitle the holder to subscribe for other securities?</w:t>
            </w:r>
            <w:r w:rsidDel="00000000" w:rsidR="00000000" w:rsidRPr="00000000">
              <w:rPr>
                <w:rtl w:val="0"/>
              </w:rPr>
            </w:r>
          </w:p>
        </w:tc>
        <w:tc>
          <w:tcPr>
            <w:shd w:fill="c00000" w:val="clear"/>
            <w:vAlign w:val="center"/>
          </w:tcPr>
          <w:p w:rsidR="00000000" w:rsidDel="00000000" w:rsidP="00000000" w:rsidRDefault="00000000" w:rsidRPr="00000000" w14:paraId="00000079">
            <w:pPr>
              <w:spacing w:line="240" w:lineRule="auto"/>
              <w:jc w:val="center"/>
              <w:rPr>
                <w:sz w:val="16"/>
                <w:szCs w:val="16"/>
              </w:rPr>
            </w:pPr>
            <w:r w:rsidDel="00000000" w:rsidR="00000000" w:rsidRPr="00000000">
              <w:rPr>
                <w:sz w:val="16"/>
                <w:szCs w:val="16"/>
                <w:rtl w:val="0"/>
              </w:rPr>
              <w:t xml:space="preserve">◻</w:t>
            </w:r>
          </w:p>
        </w:tc>
        <w:tc>
          <w:tcPr>
            <w:shd w:fill="70ad47" w:val="clear"/>
            <w:vAlign w:val="center"/>
          </w:tcPr>
          <w:p w:rsidR="00000000" w:rsidDel="00000000" w:rsidP="00000000" w:rsidRDefault="00000000" w:rsidRPr="00000000" w14:paraId="0000007A">
            <w:pPr>
              <w:spacing w:line="240" w:lineRule="auto"/>
              <w:jc w:val="center"/>
              <w:rPr>
                <w:color w:val="0f0f0f"/>
                <w:sz w:val="16"/>
                <w:szCs w:val="16"/>
              </w:rPr>
            </w:pPr>
            <w:r w:rsidDel="00000000" w:rsidR="00000000" w:rsidRPr="00000000">
              <w:rPr>
                <w:color w:val="0f0f0f"/>
                <w:sz w:val="16"/>
                <w:szCs w:val="16"/>
                <w:rtl w:val="0"/>
              </w:rPr>
              <w:t xml:space="preserve">◻</w:t>
            </w:r>
          </w:p>
        </w:tc>
        <w:tc>
          <w:tcPr>
            <w:shd w:fill="ffc000" w:val="clear"/>
            <w:vAlign w:val="center"/>
          </w:tcPr>
          <w:p w:rsidR="00000000" w:rsidDel="00000000" w:rsidP="00000000" w:rsidRDefault="00000000" w:rsidRPr="00000000" w14:paraId="0000007B">
            <w:pPr>
              <w:spacing w:line="240" w:lineRule="auto"/>
              <w:jc w:val="center"/>
              <w:rPr>
                <w:color w:val="0f0f0f"/>
                <w:sz w:val="16"/>
                <w:szCs w:val="16"/>
              </w:rPr>
            </w:pPr>
            <w:r w:rsidDel="00000000" w:rsidR="00000000" w:rsidRPr="00000000">
              <w:rPr>
                <w:color w:val="0f0f0f"/>
                <w:sz w:val="16"/>
                <w:szCs w:val="16"/>
                <w:rtl w:val="0"/>
              </w:rPr>
              <w:t xml:space="preserve">◻</w:t>
            </w:r>
          </w:p>
        </w:tc>
        <w:tc>
          <w:tcPr>
            <w:shd w:fill="f2f2f2" w:val="clear"/>
          </w:tcPr>
          <w:p w:rsidR="00000000" w:rsidDel="00000000" w:rsidP="00000000" w:rsidRDefault="00000000" w:rsidRPr="00000000" w14:paraId="0000007C">
            <w:pPr>
              <w:widowControl w:val="0"/>
              <w:numPr>
                <w:ilvl w:val="0"/>
                <w:numId w:val="3"/>
              </w:numPr>
              <w:spacing w:after="220" w:line="240" w:lineRule="auto"/>
              <w:ind w:left="360"/>
              <w:rPr>
                <w:rFonts w:ascii="Times New Roman" w:cs="Times New Roman" w:eastAsia="Times New Roman" w:hAnsi="Times New Roman"/>
                <w:b w:val="1"/>
                <w:color w:val="ffffff"/>
                <w:sz w:val="16"/>
                <w:szCs w:val="16"/>
              </w:rPr>
            </w:pPr>
            <w:r w:rsidDel="00000000" w:rsidR="00000000" w:rsidRPr="00000000">
              <w:rPr>
                <w:color w:val="000000"/>
                <w:sz w:val="16"/>
                <w:szCs w:val="16"/>
                <w:rtl w:val="0"/>
              </w:rPr>
              <w:t xml:space="preserve">Subscription</w:t>
            </w:r>
            <w:r w:rsidDel="00000000" w:rsidR="00000000" w:rsidRPr="00000000">
              <w:rPr>
                <w:b w:val="0"/>
                <w:color w:val="000000"/>
                <w:sz w:val="16"/>
                <w:szCs w:val="16"/>
                <w:rtl w:val="0"/>
              </w:rPr>
              <w:t xml:space="preserve">: this will capture Tokens which grant the holder the right to acquire securities from an issuer – tick “</w:t>
            </w:r>
            <w:r w:rsidDel="00000000" w:rsidR="00000000" w:rsidRPr="00000000">
              <w:rPr>
                <w:b w:val="0"/>
                <w:i w:val="1"/>
                <w:color w:val="000000"/>
                <w:sz w:val="16"/>
                <w:szCs w:val="16"/>
                <w:rtl w:val="0"/>
              </w:rPr>
              <w:t xml:space="preserve">No</w:t>
            </w:r>
            <w:r w:rsidDel="00000000" w:rsidR="00000000" w:rsidRPr="00000000">
              <w:rPr>
                <w:b w:val="0"/>
                <w:color w:val="000000"/>
                <w:sz w:val="16"/>
                <w:szCs w:val="16"/>
                <w:rtl w:val="0"/>
              </w:rPr>
              <w:t xml:space="preserve">” for a right exercisable against a third party.</w:t>
            </w:r>
          </w:p>
          <w:p w:rsidR="00000000" w:rsidDel="00000000" w:rsidP="00000000" w:rsidRDefault="00000000" w:rsidRPr="00000000" w14:paraId="0000007D">
            <w:pPr>
              <w:widowControl w:val="0"/>
              <w:numPr>
                <w:ilvl w:val="0"/>
                <w:numId w:val="3"/>
              </w:numPr>
              <w:spacing w:after="220" w:line="240" w:lineRule="auto"/>
              <w:ind w:left="360"/>
              <w:rPr>
                <w:rFonts w:ascii="Times New Roman" w:cs="Times New Roman" w:eastAsia="Times New Roman" w:hAnsi="Times New Roman"/>
                <w:b w:val="1"/>
                <w:color w:val="ffffff"/>
                <w:sz w:val="16"/>
                <w:szCs w:val="16"/>
              </w:rPr>
            </w:pPr>
            <w:r w:rsidDel="00000000" w:rsidR="00000000" w:rsidRPr="00000000">
              <w:rPr>
                <w:color w:val="000000"/>
                <w:sz w:val="16"/>
                <w:szCs w:val="16"/>
                <w:rtl w:val="0"/>
              </w:rPr>
              <w:t xml:space="preserve">Convertible Tokens</w:t>
            </w:r>
            <w:r w:rsidDel="00000000" w:rsidR="00000000" w:rsidRPr="00000000">
              <w:rPr>
                <w:b w:val="0"/>
                <w:color w:val="000000"/>
                <w:sz w:val="16"/>
                <w:szCs w:val="16"/>
                <w:rtl w:val="0"/>
              </w:rPr>
              <w:t xml:space="preserve">: the Token may convert or be exchanged into the relevant securities (provided the right is against the issuer – see above). Accordingly tick “</w:t>
            </w:r>
            <w:r w:rsidDel="00000000" w:rsidR="00000000" w:rsidRPr="00000000">
              <w:rPr>
                <w:b w:val="0"/>
                <w:i w:val="1"/>
                <w:color w:val="000000"/>
                <w:sz w:val="16"/>
                <w:szCs w:val="16"/>
                <w:rtl w:val="0"/>
              </w:rPr>
              <w:t xml:space="preserve">Yes</w:t>
            </w:r>
            <w:r w:rsidDel="00000000" w:rsidR="00000000" w:rsidRPr="00000000">
              <w:rPr>
                <w:b w:val="0"/>
                <w:color w:val="000000"/>
                <w:sz w:val="16"/>
                <w:szCs w:val="16"/>
                <w:rtl w:val="0"/>
              </w:rPr>
              <w:t xml:space="preserve">” for such Tokens.</w:t>
            </w:r>
          </w:p>
          <w:p w:rsidR="00000000" w:rsidDel="00000000" w:rsidP="00000000" w:rsidRDefault="00000000" w:rsidRPr="00000000" w14:paraId="0000007E">
            <w:pPr>
              <w:widowControl w:val="0"/>
              <w:numPr>
                <w:ilvl w:val="0"/>
                <w:numId w:val="3"/>
              </w:numPr>
              <w:spacing w:after="220" w:line="240" w:lineRule="auto"/>
              <w:ind w:left="360"/>
              <w:rPr>
                <w:rFonts w:ascii="Times New Roman" w:cs="Times New Roman" w:eastAsia="Times New Roman" w:hAnsi="Times New Roman"/>
                <w:b w:val="1"/>
                <w:color w:val="ffffff"/>
                <w:sz w:val="16"/>
                <w:szCs w:val="16"/>
              </w:rPr>
            </w:pPr>
            <w:r w:rsidDel="00000000" w:rsidR="00000000" w:rsidRPr="00000000">
              <w:rPr>
                <w:color w:val="000000"/>
                <w:sz w:val="16"/>
                <w:szCs w:val="16"/>
                <w:rtl w:val="0"/>
              </w:rPr>
              <w:t xml:space="preserve">New issuances</w:t>
            </w:r>
            <w:r w:rsidDel="00000000" w:rsidR="00000000" w:rsidRPr="00000000">
              <w:rPr>
                <w:b w:val="0"/>
                <w:color w:val="000000"/>
                <w:sz w:val="16"/>
                <w:szCs w:val="16"/>
                <w:rtl w:val="0"/>
              </w:rPr>
              <w:t xml:space="preserve">: the securities need not be in existence prior to subscription, and so a right to subscribe for newly issued securities would be caught and cannot be excluded on this basis. Accordingly tick “</w:t>
            </w:r>
            <w:r w:rsidDel="00000000" w:rsidR="00000000" w:rsidRPr="00000000">
              <w:rPr>
                <w:b w:val="0"/>
                <w:i w:val="1"/>
                <w:color w:val="000000"/>
                <w:sz w:val="16"/>
                <w:szCs w:val="16"/>
                <w:rtl w:val="0"/>
              </w:rPr>
              <w:t xml:space="preserve">Yes</w:t>
            </w:r>
            <w:r w:rsidDel="00000000" w:rsidR="00000000" w:rsidRPr="00000000">
              <w:rPr>
                <w:b w:val="0"/>
                <w:color w:val="000000"/>
                <w:sz w:val="16"/>
                <w:szCs w:val="16"/>
                <w:rtl w:val="0"/>
              </w:rPr>
              <w:t xml:space="preserve">” for such Tokens.</w:t>
            </w:r>
          </w:p>
        </w:tc>
      </w:tr>
      <w:tr>
        <w:trPr>
          <w:cantSplit w:val="0"/>
          <w:tblHeader w:val="0"/>
        </w:trPr>
        <w:tc>
          <w:tcPr>
            <w:gridSpan w:val="3"/>
            <w:shd w:fill="ffffff" w:val="clear"/>
            <w:vAlign w:val="center"/>
          </w:tcPr>
          <w:p w:rsidR="00000000" w:rsidDel="00000000" w:rsidP="00000000" w:rsidRDefault="00000000" w:rsidRPr="00000000" w14:paraId="0000007F">
            <w:pPr>
              <w:widowControl w:val="0"/>
              <w:spacing w:after="220" w:line="240" w:lineRule="auto"/>
              <w:rPr>
                <w:b w:val="0"/>
                <w:color w:val="000000"/>
                <w:sz w:val="16"/>
                <w:szCs w:val="16"/>
              </w:rPr>
            </w:pPr>
            <w:r w:rsidDel="00000000" w:rsidR="00000000" w:rsidRPr="00000000">
              <w:rPr>
                <w:b w:val="0"/>
                <w:color w:val="000000"/>
                <w:sz w:val="16"/>
                <w:szCs w:val="16"/>
                <w:rtl w:val="0"/>
              </w:rPr>
              <w:t xml:space="preserve">Money-market instruments</w:t>
            </w:r>
          </w:p>
        </w:tc>
        <w:tc>
          <w:tcPr>
            <w:shd w:fill="ffffff" w:val="clear"/>
            <w:vAlign w:val="center"/>
          </w:tcPr>
          <w:p w:rsidR="00000000" w:rsidDel="00000000" w:rsidP="00000000" w:rsidRDefault="00000000" w:rsidRPr="00000000" w14:paraId="00000082">
            <w:pPr>
              <w:widowControl w:val="0"/>
              <w:spacing w:after="220" w:line="240" w:lineRule="auto"/>
              <w:jc w:val="both"/>
              <w:rPr>
                <w:b w:val="0"/>
                <w:color w:val="000000"/>
                <w:sz w:val="16"/>
                <w:szCs w:val="16"/>
              </w:rPr>
            </w:pPr>
            <w:r w:rsidDel="00000000" w:rsidR="00000000" w:rsidRPr="00000000">
              <w:rPr>
                <w:b w:val="0"/>
                <w:color w:val="000000"/>
                <w:sz w:val="16"/>
                <w:szCs w:val="16"/>
                <w:rtl w:val="0"/>
              </w:rPr>
              <w:t xml:space="preserve">Does the Token represent an instrument normally dealt in on the money market, such as treasury bills, certificates of deposit or commercial papers (in each case with a maturity at issuance of 397 days or less)?</w:t>
            </w:r>
          </w:p>
        </w:tc>
        <w:tc>
          <w:tcPr>
            <w:shd w:fill="c00000" w:val="clear"/>
            <w:vAlign w:val="center"/>
          </w:tcPr>
          <w:p w:rsidR="00000000" w:rsidDel="00000000" w:rsidP="00000000" w:rsidRDefault="00000000" w:rsidRPr="00000000" w14:paraId="00000083">
            <w:pPr>
              <w:spacing w:line="240" w:lineRule="auto"/>
              <w:jc w:val="center"/>
              <w:rPr>
                <w:sz w:val="16"/>
                <w:szCs w:val="16"/>
              </w:rPr>
            </w:pPr>
            <w:r w:rsidDel="00000000" w:rsidR="00000000" w:rsidRPr="00000000">
              <w:rPr>
                <w:sz w:val="16"/>
                <w:szCs w:val="16"/>
                <w:rtl w:val="0"/>
              </w:rPr>
              <w:t xml:space="preserve">◻</w:t>
            </w:r>
          </w:p>
        </w:tc>
        <w:tc>
          <w:tcPr>
            <w:shd w:fill="70ad47" w:val="clear"/>
            <w:vAlign w:val="center"/>
          </w:tcPr>
          <w:p w:rsidR="00000000" w:rsidDel="00000000" w:rsidP="00000000" w:rsidRDefault="00000000" w:rsidRPr="00000000" w14:paraId="00000084">
            <w:pPr>
              <w:spacing w:line="240" w:lineRule="auto"/>
              <w:jc w:val="center"/>
              <w:rPr>
                <w:color w:val="000000"/>
                <w:sz w:val="16"/>
                <w:szCs w:val="16"/>
              </w:rPr>
            </w:pPr>
            <w:r w:rsidDel="00000000" w:rsidR="00000000" w:rsidRPr="00000000">
              <w:rPr>
                <w:color w:val="000000"/>
                <w:sz w:val="16"/>
                <w:szCs w:val="16"/>
                <w:rtl w:val="0"/>
              </w:rPr>
              <w:t xml:space="preserve">◻</w:t>
            </w:r>
          </w:p>
        </w:tc>
        <w:tc>
          <w:tcPr>
            <w:shd w:fill="ffc000" w:val="clear"/>
            <w:vAlign w:val="center"/>
          </w:tcPr>
          <w:p w:rsidR="00000000" w:rsidDel="00000000" w:rsidP="00000000" w:rsidRDefault="00000000" w:rsidRPr="00000000" w14:paraId="00000085">
            <w:pPr>
              <w:spacing w:line="240" w:lineRule="auto"/>
              <w:jc w:val="center"/>
              <w:rPr>
                <w:color w:val="000000"/>
                <w:sz w:val="16"/>
                <w:szCs w:val="16"/>
              </w:rPr>
            </w:pPr>
            <w:r w:rsidDel="00000000" w:rsidR="00000000" w:rsidRPr="00000000">
              <w:rPr>
                <w:color w:val="000000"/>
                <w:sz w:val="16"/>
                <w:szCs w:val="16"/>
                <w:rtl w:val="0"/>
              </w:rPr>
              <w:t xml:space="preserve">◻</w:t>
            </w:r>
          </w:p>
        </w:tc>
        <w:tc>
          <w:tcPr>
            <w:shd w:fill="ffffff" w:val="clear"/>
          </w:tcPr>
          <w:p w:rsidR="00000000" w:rsidDel="00000000" w:rsidP="00000000" w:rsidRDefault="00000000" w:rsidRPr="00000000" w14:paraId="00000086">
            <w:pPr>
              <w:widowControl w:val="0"/>
              <w:spacing w:after="220" w:line="240" w:lineRule="auto"/>
              <w:ind w:left="360" w:firstLine="0"/>
              <w:rPr>
                <w:color w:val="000000"/>
                <w:sz w:val="16"/>
                <w:szCs w:val="16"/>
              </w:rPr>
            </w:pPr>
            <w:r w:rsidDel="00000000" w:rsidR="00000000" w:rsidRPr="00000000">
              <w:rPr>
                <w:rtl w:val="0"/>
              </w:rPr>
            </w:r>
          </w:p>
        </w:tc>
      </w:tr>
      <w:tr>
        <w:trPr>
          <w:cantSplit w:val="0"/>
          <w:trHeight w:val="1620" w:hRule="atLeast"/>
          <w:tblHeader w:val="0"/>
        </w:trPr>
        <w:tc>
          <w:tcPr>
            <w:vMerge w:val="restart"/>
            <w:vAlign w:val="center"/>
          </w:tcPr>
          <w:p w:rsidR="00000000" w:rsidDel="00000000" w:rsidP="00000000" w:rsidRDefault="00000000" w:rsidRPr="00000000" w14:paraId="00000087">
            <w:pPr>
              <w:widowControl w:val="0"/>
              <w:spacing w:after="220" w:line="240" w:lineRule="auto"/>
              <w:ind w:left="113" w:right="113" w:firstLine="0"/>
              <w:jc w:val="center"/>
              <w:rPr>
                <w:b w:val="0"/>
                <w:color w:val="000000"/>
                <w:sz w:val="16"/>
                <w:szCs w:val="16"/>
              </w:rPr>
            </w:pPr>
            <w:r w:rsidDel="00000000" w:rsidR="00000000" w:rsidRPr="00000000">
              <w:rPr>
                <w:b w:val="0"/>
                <w:color w:val="000000"/>
                <w:sz w:val="16"/>
                <w:szCs w:val="16"/>
                <w:rtl w:val="0"/>
              </w:rPr>
              <w:t xml:space="preserve">Derivatives</w:t>
            </w:r>
          </w:p>
        </w:tc>
        <w:tc>
          <w:tcPr>
            <w:gridSpan w:val="2"/>
            <w:vAlign w:val="center"/>
          </w:tcPr>
          <w:p w:rsidR="00000000" w:rsidDel="00000000" w:rsidP="00000000" w:rsidRDefault="00000000" w:rsidRPr="00000000" w14:paraId="00000088">
            <w:pPr>
              <w:widowControl w:val="0"/>
              <w:spacing w:after="220" w:line="240" w:lineRule="auto"/>
              <w:rPr>
                <w:b w:val="0"/>
                <w:color w:val="000000"/>
                <w:sz w:val="16"/>
                <w:szCs w:val="16"/>
              </w:rPr>
            </w:pPr>
            <w:r w:rsidDel="00000000" w:rsidR="00000000" w:rsidRPr="00000000">
              <w:rPr>
                <w:b w:val="0"/>
                <w:color w:val="000000"/>
                <w:sz w:val="16"/>
                <w:szCs w:val="16"/>
                <w:rtl w:val="0"/>
              </w:rPr>
              <w:t xml:space="preserve">Options</w:t>
            </w:r>
          </w:p>
        </w:tc>
        <w:tc>
          <w:tcPr>
            <w:vAlign w:val="center"/>
          </w:tcPr>
          <w:p w:rsidR="00000000" w:rsidDel="00000000" w:rsidP="00000000" w:rsidRDefault="00000000" w:rsidRPr="00000000" w14:paraId="0000008A">
            <w:pPr>
              <w:widowControl w:val="0"/>
              <w:spacing w:after="220" w:line="240" w:lineRule="auto"/>
              <w:rPr>
                <w:b w:val="0"/>
                <w:color w:val="000000"/>
                <w:sz w:val="16"/>
                <w:szCs w:val="16"/>
              </w:rPr>
            </w:pPr>
            <w:r w:rsidDel="00000000" w:rsidR="00000000" w:rsidRPr="00000000">
              <w:rPr>
                <w:b w:val="0"/>
                <w:color w:val="000000"/>
                <w:sz w:val="16"/>
                <w:szCs w:val="16"/>
                <w:rtl w:val="0"/>
              </w:rPr>
              <w:t xml:space="preserve">Does the Token grant rights to acquire or dispose of any underlying property?</w:t>
            </w:r>
          </w:p>
        </w:tc>
        <w:tc>
          <w:tcPr>
            <w:shd w:fill="c00000" w:val="clear"/>
            <w:vAlign w:val="center"/>
          </w:tcPr>
          <w:p w:rsidR="00000000" w:rsidDel="00000000" w:rsidP="00000000" w:rsidRDefault="00000000" w:rsidRPr="00000000" w14:paraId="0000008B">
            <w:pPr>
              <w:spacing w:line="240" w:lineRule="auto"/>
              <w:jc w:val="center"/>
              <w:rPr>
                <w:sz w:val="16"/>
                <w:szCs w:val="16"/>
              </w:rPr>
            </w:pPr>
            <w:r w:rsidDel="00000000" w:rsidR="00000000" w:rsidRPr="00000000">
              <w:rPr>
                <w:sz w:val="16"/>
                <w:szCs w:val="16"/>
                <w:rtl w:val="0"/>
              </w:rPr>
              <w:t xml:space="preserve">◻</w:t>
            </w:r>
          </w:p>
        </w:tc>
        <w:tc>
          <w:tcPr>
            <w:shd w:fill="70ad47" w:val="clear"/>
            <w:vAlign w:val="center"/>
          </w:tcPr>
          <w:p w:rsidR="00000000" w:rsidDel="00000000" w:rsidP="00000000" w:rsidRDefault="00000000" w:rsidRPr="00000000" w14:paraId="0000008C">
            <w:pPr>
              <w:spacing w:line="240" w:lineRule="auto"/>
              <w:jc w:val="center"/>
              <w:rPr>
                <w:color w:val="000000"/>
                <w:sz w:val="16"/>
                <w:szCs w:val="16"/>
              </w:rPr>
            </w:pPr>
            <w:r w:rsidDel="00000000" w:rsidR="00000000" w:rsidRPr="00000000">
              <w:rPr>
                <w:color w:val="000000"/>
                <w:sz w:val="16"/>
                <w:szCs w:val="16"/>
                <w:rtl w:val="0"/>
              </w:rPr>
              <w:t xml:space="preserve">◻</w:t>
            </w:r>
          </w:p>
        </w:tc>
        <w:tc>
          <w:tcPr>
            <w:shd w:fill="ffc000" w:val="clear"/>
            <w:vAlign w:val="center"/>
          </w:tcPr>
          <w:p w:rsidR="00000000" w:rsidDel="00000000" w:rsidP="00000000" w:rsidRDefault="00000000" w:rsidRPr="00000000" w14:paraId="0000008D">
            <w:pPr>
              <w:spacing w:line="240" w:lineRule="auto"/>
              <w:jc w:val="center"/>
              <w:rPr>
                <w:color w:val="000000"/>
                <w:sz w:val="16"/>
                <w:szCs w:val="16"/>
              </w:rPr>
            </w:pPr>
            <w:r w:rsidDel="00000000" w:rsidR="00000000" w:rsidRPr="00000000">
              <w:rPr>
                <w:color w:val="000000"/>
                <w:sz w:val="16"/>
                <w:szCs w:val="16"/>
                <w:rtl w:val="0"/>
              </w:rPr>
              <w:t xml:space="preserve">◻</w:t>
            </w:r>
          </w:p>
        </w:tc>
        <w:tc>
          <w:tcPr/>
          <w:p w:rsidR="00000000" w:rsidDel="00000000" w:rsidP="00000000" w:rsidRDefault="00000000" w:rsidRPr="00000000" w14:paraId="0000008E">
            <w:pPr>
              <w:widowControl w:val="0"/>
              <w:numPr>
                <w:ilvl w:val="0"/>
                <w:numId w:val="2"/>
              </w:numPr>
              <w:spacing w:after="220" w:line="240" w:lineRule="auto"/>
              <w:ind w:left="360"/>
              <w:rPr>
                <w:rFonts w:ascii="Times New Roman" w:cs="Times New Roman" w:eastAsia="Times New Roman" w:hAnsi="Times New Roman"/>
                <w:b w:val="1"/>
                <w:color w:val="ffffff"/>
                <w:sz w:val="16"/>
                <w:szCs w:val="16"/>
              </w:rPr>
            </w:pPr>
            <w:r w:rsidDel="00000000" w:rsidR="00000000" w:rsidRPr="00000000">
              <w:rPr>
                <w:color w:val="000000"/>
                <w:sz w:val="16"/>
                <w:szCs w:val="16"/>
                <w:rtl w:val="0"/>
              </w:rPr>
              <w:t xml:space="preserve">Optionality</w:t>
            </w:r>
            <w:r w:rsidDel="00000000" w:rsidR="00000000" w:rsidRPr="00000000">
              <w:rPr>
                <w:b w:val="0"/>
                <w:color w:val="000000"/>
                <w:sz w:val="16"/>
                <w:szCs w:val="16"/>
                <w:rtl w:val="0"/>
              </w:rPr>
              <w:t xml:space="preserve">: an option must</w:t>
            </w:r>
            <w:r w:rsidDel="00000000" w:rsidR="00000000" w:rsidRPr="00000000">
              <w:rPr>
                <w:b w:val="0"/>
                <w:color w:val="000000"/>
                <w:sz w:val="16"/>
                <w:szCs w:val="16"/>
                <w:u w:val="single"/>
                <w:rtl w:val="0"/>
              </w:rPr>
              <w:t xml:space="preserve"> </w:t>
            </w:r>
            <w:r w:rsidDel="00000000" w:rsidR="00000000" w:rsidRPr="00000000">
              <w:rPr>
                <w:b w:val="0"/>
                <w:color w:val="000000"/>
                <w:sz w:val="16"/>
                <w:szCs w:val="16"/>
                <w:rtl w:val="0"/>
              </w:rPr>
              <w:t xml:space="preserve">involve the right but not the obligation to acquire the relevant asset – tick “</w:t>
            </w:r>
            <w:r w:rsidDel="00000000" w:rsidR="00000000" w:rsidRPr="00000000">
              <w:rPr>
                <w:b w:val="0"/>
                <w:i w:val="1"/>
                <w:color w:val="000000"/>
                <w:sz w:val="16"/>
                <w:szCs w:val="16"/>
                <w:rtl w:val="0"/>
              </w:rPr>
              <w:t xml:space="preserve">No</w:t>
            </w:r>
            <w:r w:rsidDel="00000000" w:rsidR="00000000" w:rsidRPr="00000000">
              <w:rPr>
                <w:b w:val="0"/>
                <w:color w:val="000000"/>
                <w:sz w:val="16"/>
                <w:szCs w:val="16"/>
                <w:rtl w:val="0"/>
              </w:rPr>
              <w:t xml:space="preserve">” where there are no such rights.</w:t>
            </w:r>
          </w:p>
          <w:p w:rsidR="00000000" w:rsidDel="00000000" w:rsidP="00000000" w:rsidRDefault="00000000" w:rsidRPr="00000000" w14:paraId="0000008F">
            <w:pPr>
              <w:widowControl w:val="0"/>
              <w:numPr>
                <w:ilvl w:val="0"/>
                <w:numId w:val="2"/>
              </w:numPr>
              <w:spacing w:after="220" w:line="240" w:lineRule="auto"/>
              <w:ind w:left="360"/>
              <w:rPr>
                <w:rFonts w:ascii="Times New Roman" w:cs="Times New Roman" w:eastAsia="Times New Roman" w:hAnsi="Times New Roman"/>
                <w:b w:val="1"/>
                <w:color w:val="ffffff"/>
                <w:sz w:val="16"/>
                <w:szCs w:val="16"/>
              </w:rPr>
            </w:pPr>
            <w:r w:rsidDel="00000000" w:rsidR="00000000" w:rsidRPr="00000000">
              <w:rPr>
                <w:color w:val="000000"/>
                <w:sz w:val="16"/>
                <w:szCs w:val="16"/>
                <w:rtl w:val="0"/>
              </w:rPr>
              <w:t xml:space="preserve">Settlement</w:t>
            </w:r>
            <w:r w:rsidDel="00000000" w:rsidR="00000000" w:rsidRPr="00000000">
              <w:rPr>
                <w:b w:val="0"/>
                <w:color w:val="000000"/>
                <w:sz w:val="16"/>
                <w:szCs w:val="16"/>
                <w:rtl w:val="0"/>
              </w:rPr>
              <w:t xml:space="preserve">: a contract may be cash settled (rather than physically settled) and still amount to an option, provided that the cash settlement amount is calculated by reference to the right to acquire or dispose of the relevant underlying property.</w:t>
            </w:r>
          </w:p>
        </w:tc>
      </w:tr>
      <w:tr>
        <w:trPr>
          <w:cantSplit w:val="0"/>
          <w:tblHeader w:val="0"/>
        </w:trPr>
        <w:tc>
          <w:tcPr>
            <w:vMerge w:val="continue"/>
            <w:vAlign w:val="center"/>
          </w:tcPr>
          <w:p w:rsidR="00000000" w:rsidDel="00000000" w:rsidP="00000000" w:rsidRDefault="00000000" w:rsidRPr="00000000" w14:paraId="00000090">
            <w:pPr>
              <w:widowControl w:val="0"/>
              <w:rPr>
                <w:b w:val="0"/>
                <w:color w:val="000000"/>
                <w:sz w:val="16"/>
                <w:szCs w:val="16"/>
              </w:rPr>
            </w:pPr>
            <w:r w:rsidDel="00000000" w:rsidR="00000000" w:rsidRPr="00000000">
              <w:rPr>
                <w:rtl w:val="0"/>
              </w:rPr>
            </w:r>
          </w:p>
        </w:tc>
        <w:tc>
          <w:tcPr>
            <w:gridSpan w:val="2"/>
            <w:shd w:fill="f2f2f2" w:val="clear"/>
            <w:vAlign w:val="center"/>
          </w:tcPr>
          <w:p w:rsidR="00000000" w:rsidDel="00000000" w:rsidP="00000000" w:rsidRDefault="00000000" w:rsidRPr="00000000" w14:paraId="00000091">
            <w:pPr>
              <w:widowControl w:val="0"/>
              <w:spacing w:after="220" w:line="240" w:lineRule="auto"/>
              <w:rPr>
                <w:b w:val="0"/>
                <w:color w:val="000000"/>
                <w:sz w:val="16"/>
                <w:szCs w:val="16"/>
              </w:rPr>
            </w:pPr>
            <w:r w:rsidDel="00000000" w:rsidR="00000000" w:rsidRPr="00000000">
              <w:rPr>
                <w:b w:val="0"/>
                <w:color w:val="000000"/>
                <w:sz w:val="16"/>
                <w:szCs w:val="16"/>
                <w:rtl w:val="0"/>
              </w:rPr>
              <w:t xml:space="preserve">Futures/Forwards</w:t>
            </w:r>
          </w:p>
        </w:tc>
        <w:tc>
          <w:tcPr>
            <w:shd w:fill="f2f2f2" w:val="clear"/>
            <w:vAlign w:val="center"/>
          </w:tcPr>
          <w:p w:rsidR="00000000" w:rsidDel="00000000" w:rsidP="00000000" w:rsidRDefault="00000000" w:rsidRPr="00000000" w14:paraId="00000093">
            <w:pPr>
              <w:widowControl w:val="0"/>
              <w:spacing w:after="220" w:line="240" w:lineRule="auto"/>
              <w:rPr>
                <w:b w:val="0"/>
                <w:color w:val="000000"/>
                <w:sz w:val="16"/>
                <w:szCs w:val="16"/>
              </w:rPr>
            </w:pPr>
            <w:r w:rsidDel="00000000" w:rsidR="00000000" w:rsidRPr="00000000">
              <w:rPr>
                <w:b w:val="0"/>
                <w:color w:val="000000"/>
                <w:sz w:val="16"/>
                <w:szCs w:val="16"/>
                <w:rtl w:val="0"/>
              </w:rPr>
              <w:t xml:space="preserve">Does the Token grant rights under a contract of sale of a commodity or property of any other description where delivery is to be made at a future date and at a pre-agreed price?</w:t>
            </w:r>
          </w:p>
        </w:tc>
        <w:tc>
          <w:tcPr>
            <w:shd w:fill="c00000" w:val="clear"/>
            <w:vAlign w:val="center"/>
          </w:tcPr>
          <w:p w:rsidR="00000000" w:rsidDel="00000000" w:rsidP="00000000" w:rsidRDefault="00000000" w:rsidRPr="00000000" w14:paraId="00000094">
            <w:pPr>
              <w:spacing w:line="240" w:lineRule="auto"/>
              <w:jc w:val="center"/>
              <w:rPr>
                <w:sz w:val="16"/>
                <w:szCs w:val="16"/>
              </w:rPr>
            </w:pPr>
            <w:r w:rsidDel="00000000" w:rsidR="00000000" w:rsidRPr="00000000">
              <w:rPr>
                <w:sz w:val="16"/>
                <w:szCs w:val="16"/>
                <w:rtl w:val="0"/>
              </w:rPr>
              <w:t xml:space="preserve">◻</w:t>
            </w:r>
          </w:p>
        </w:tc>
        <w:tc>
          <w:tcPr>
            <w:shd w:fill="70ad47" w:val="clear"/>
            <w:vAlign w:val="center"/>
          </w:tcPr>
          <w:p w:rsidR="00000000" w:rsidDel="00000000" w:rsidP="00000000" w:rsidRDefault="00000000" w:rsidRPr="00000000" w14:paraId="00000095">
            <w:pPr>
              <w:spacing w:line="240" w:lineRule="auto"/>
              <w:jc w:val="center"/>
              <w:rPr>
                <w:color w:val="000000"/>
                <w:sz w:val="16"/>
                <w:szCs w:val="16"/>
              </w:rPr>
            </w:pPr>
            <w:r w:rsidDel="00000000" w:rsidR="00000000" w:rsidRPr="00000000">
              <w:rPr>
                <w:color w:val="000000"/>
                <w:sz w:val="16"/>
                <w:szCs w:val="16"/>
                <w:rtl w:val="0"/>
              </w:rPr>
              <w:t xml:space="preserve">◻</w:t>
            </w:r>
          </w:p>
        </w:tc>
        <w:tc>
          <w:tcPr>
            <w:shd w:fill="ffc000" w:val="clear"/>
            <w:vAlign w:val="center"/>
          </w:tcPr>
          <w:p w:rsidR="00000000" w:rsidDel="00000000" w:rsidP="00000000" w:rsidRDefault="00000000" w:rsidRPr="00000000" w14:paraId="00000096">
            <w:pPr>
              <w:spacing w:line="240" w:lineRule="auto"/>
              <w:jc w:val="center"/>
              <w:rPr>
                <w:color w:val="000000"/>
                <w:sz w:val="16"/>
                <w:szCs w:val="16"/>
              </w:rPr>
            </w:pPr>
            <w:r w:rsidDel="00000000" w:rsidR="00000000" w:rsidRPr="00000000">
              <w:rPr>
                <w:color w:val="000000"/>
                <w:sz w:val="16"/>
                <w:szCs w:val="16"/>
                <w:rtl w:val="0"/>
              </w:rPr>
              <w:t xml:space="preserve">◻</w:t>
            </w:r>
          </w:p>
        </w:tc>
        <w:tc>
          <w:tcPr>
            <w:shd w:fill="f2f2f2" w:val="clear"/>
          </w:tcPr>
          <w:p w:rsidR="00000000" w:rsidDel="00000000" w:rsidP="00000000" w:rsidRDefault="00000000" w:rsidRPr="00000000" w14:paraId="00000097">
            <w:pPr>
              <w:widowControl w:val="0"/>
              <w:numPr>
                <w:ilvl w:val="0"/>
                <w:numId w:val="3"/>
              </w:numPr>
              <w:spacing w:after="220" w:line="240" w:lineRule="auto"/>
              <w:ind w:left="360"/>
              <w:rPr>
                <w:rFonts w:ascii="Times New Roman" w:cs="Times New Roman" w:eastAsia="Times New Roman" w:hAnsi="Times New Roman"/>
                <w:b w:val="1"/>
                <w:color w:val="ffffff"/>
                <w:sz w:val="16"/>
                <w:szCs w:val="16"/>
              </w:rPr>
            </w:pPr>
            <w:r w:rsidDel="00000000" w:rsidR="00000000" w:rsidRPr="00000000">
              <w:rPr>
                <w:color w:val="000000"/>
                <w:sz w:val="16"/>
                <w:szCs w:val="16"/>
                <w:rtl w:val="0"/>
              </w:rPr>
              <w:t xml:space="preserve">Contract for sale</w:t>
            </w:r>
            <w:r w:rsidDel="00000000" w:rsidR="00000000" w:rsidRPr="00000000">
              <w:rPr>
                <w:b w:val="0"/>
                <w:color w:val="000000"/>
                <w:sz w:val="16"/>
                <w:szCs w:val="16"/>
                <w:rtl w:val="0"/>
              </w:rPr>
              <w:t xml:space="preserve">: Futures contracts must involve a contract for sale under which the price is agreed at the time the futures contract is made, but delivery is scheduled for a future date. The agreed price need not be specified in numerical terms in the contract; it may be, e.g., determined by reference to market prices on the settlement date. If there is no such contract for sale, select “</w:t>
            </w:r>
            <w:r w:rsidDel="00000000" w:rsidR="00000000" w:rsidRPr="00000000">
              <w:rPr>
                <w:b w:val="0"/>
                <w:i w:val="1"/>
                <w:color w:val="000000"/>
                <w:sz w:val="16"/>
                <w:szCs w:val="16"/>
                <w:rtl w:val="0"/>
              </w:rPr>
              <w:t xml:space="preserve">No</w:t>
            </w:r>
            <w:r w:rsidDel="00000000" w:rsidR="00000000" w:rsidRPr="00000000">
              <w:rPr>
                <w:b w:val="0"/>
                <w:color w:val="000000"/>
                <w:sz w:val="16"/>
                <w:szCs w:val="16"/>
                <w:rtl w:val="0"/>
              </w:rPr>
              <w:t xml:space="preserve">”.</w:t>
            </w:r>
          </w:p>
          <w:p w:rsidR="00000000" w:rsidDel="00000000" w:rsidP="00000000" w:rsidRDefault="00000000" w:rsidRPr="00000000" w14:paraId="00000098">
            <w:pPr>
              <w:widowControl w:val="0"/>
              <w:numPr>
                <w:ilvl w:val="0"/>
                <w:numId w:val="3"/>
              </w:numPr>
              <w:spacing w:after="220" w:line="240" w:lineRule="auto"/>
              <w:ind w:left="360"/>
              <w:rPr>
                <w:rFonts w:ascii="Times New Roman" w:cs="Times New Roman" w:eastAsia="Times New Roman" w:hAnsi="Times New Roman"/>
                <w:b w:val="1"/>
                <w:color w:val="ffffff"/>
                <w:sz w:val="16"/>
                <w:szCs w:val="16"/>
              </w:rPr>
            </w:pPr>
            <w:r w:rsidDel="00000000" w:rsidR="00000000" w:rsidRPr="00000000">
              <w:rPr>
                <w:color w:val="000000"/>
                <w:sz w:val="16"/>
                <w:szCs w:val="16"/>
                <w:rtl w:val="0"/>
              </w:rPr>
              <w:t xml:space="preserve">Underlyings</w:t>
            </w:r>
            <w:r w:rsidDel="00000000" w:rsidR="00000000" w:rsidRPr="00000000">
              <w:rPr>
                <w:b w:val="0"/>
                <w:color w:val="000000"/>
                <w:sz w:val="16"/>
                <w:szCs w:val="16"/>
                <w:rtl w:val="0"/>
              </w:rPr>
              <w:t xml:space="preserve">: Futures relate to “</w:t>
            </w:r>
            <w:r w:rsidDel="00000000" w:rsidR="00000000" w:rsidRPr="00000000">
              <w:rPr>
                <w:b w:val="0"/>
                <w:i w:val="1"/>
                <w:color w:val="000000"/>
                <w:sz w:val="16"/>
                <w:szCs w:val="16"/>
                <w:rtl w:val="0"/>
              </w:rPr>
              <w:t xml:space="preserve">commodity or property of any other description</w:t>
            </w:r>
            <w:r w:rsidDel="00000000" w:rsidR="00000000" w:rsidRPr="00000000">
              <w:rPr>
                <w:b w:val="0"/>
                <w:color w:val="000000"/>
                <w:sz w:val="16"/>
                <w:szCs w:val="16"/>
                <w:rtl w:val="0"/>
              </w:rPr>
              <w:t xml:space="preserve">”: this is a very broad notion and will capture a broad range of underlyings (including cryptocurrencies and other token underlyings), and it will not generally be possible to exclude a Token on the basis it does not have the appropriate underlying. Accordingly select “</w:t>
            </w:r>
            <w:r w:rsidDel="00000000" w:rsidR="00000000" w:rsidRPr="00000000">
              <w:rPr>
                <w:b w:val="0"/>
                <w:i w:val="1"/>
                <w:color w:val="000000"/>
                <w:sz w:val="16"/>
                <w:szCs w:val="16"/>
                <w:rtl w:val="0"/>
              </w:rPr>
              <w:t xml:space="preserve">Indeterminate</w:t>
            </w:r>
            <w:r w:rsidDel="00000000" w:rsidR="00000000" w:rsidRPr="00000000">
              <w:rPr>
                <w:b w:val="0"/>
                <w:color w:val="000000"/>
                <w:sz w:val="16"/>
                <w:szCs w:val="16"/>
                <w:rtl w:val="0"/>
              </w:rPr>
              <w:t xml:space="preserve">” if there is a question as to whether the Token may be excluded on the basis the underlying does not meet this condition.</w:t>
            </w:r>
          </w:p>
          <w:p w:rsidR="00000000" w:rsidDel="00000000" w:rsidP="00000000" w:rsidRDefault="00000000" w:rsidRPr="00000000" w14:paraId="00000099">
            <w:pPr>
              <w:widowControl w:val="0"/>
              <w:numPr>
                <w:ilvl w:val="0"/>
                <w:numId w:val="3"/>
              </w:numPr>
              <w:spacing w:after="220" w:line="240" w:lineRule="auto"/>
              <w:ind w:left="360"/>
              <w:rPr>
                <w:rFonts w:ascii="Times New Roman" w:cs="Times New Roman" w:eastAsia="Times New Roman" w:hAnsi="Times New Roman"/>
                <w:b w:val="1"/>
                <w:color w:val="ffffff"/>
                <w:sz w:val="16"/>
                <w:szCs w:val="16"/>
              </w:rPr>
            </w:pPr>
            <w:r w:rsidDel="00000000" w:rsidR="00000000" w:rsidRPr="00000000">
              <w:rPr>
                <w:color w:val="000000"/>
                <w:sz w:val="16"/>
                <w:szCs w:val="16"/>
                <w:rtl w:val="0"/>
              </w:rPr>
              <w:t xml:space="preserve">Wrapped and commodity-linked Tokens</w:t>
            </w:r>
            <w:r w:rsidDel="00000000" w:rsidR="00000000" w:rsidRPr="00000000">
              <w:rPr>
                <w:b w:val="0"/>
                <w:color w:val="000000"/>
                <w:sz w:val="16"/>
                <w:szCs w:val="16"/>
                <w:rtl w:val="0"/>
              </w:rPr>
              <w:t xml:space="preserve">: such Tokens represent or are linked to some underlying precious metal (e.g., gold, silver, etc.) or underlying commodity (e.g., diamonds, oil, etc.). The key question is whether or not the Tokens grant holders a right or entitlement that is legally enforceable against another party to acquire or dispose of the relevant underlying precious metal or commodity. If so, select “</w:t>
            </w:r>
            <w:r w:rsidDel="00000000" w:rsidR="00000000" w:rsidRPr="00000000">
              <w:rPr>
                <w:b w:val="0"/>
                <w:i w:val="1"/>
                <w:color w:val="000000"/>
                <w:sz w:val="16"/>
                <w:szCs w:val="16"/>
                <w:rtl w:val="0"/>
              </w:rPr>
              <w:t xml:space="preserve">Yes</w:t>
            </w:r>
            <w:r w:rsidDel="00000000" w:rsidR="00000000" w:rsidRPr="00000000">
              <w:rPr>
                <w:b w:val="0"/>
                <w:color w:val="000000"/>
                <w:sz w:val="16"/>
                <w:szCs w:val="16"/>
                <w:rtl w:val="0"/>
              </w:rPr>
              <w:t xml:space="preserve">” for the relevant underlying asset, otherwise “</w:t>
            </w:r>
            <w:r w:rsidDel="00000000" w:rsidR="00000000" w:rsidRPr="00000000">
              <w:rPr>
                <w:b w:val="0"/>
                <w:i w:val="1"/>
                <w:color w:val="000000"/>
                <w:sz w:val="16"/>
                <w:szCs w:val="16"/>
                <w:rtl w:val="0"/>
              </w:rPr>
              <w:t xml:space="preserve">No</w:t>
            </w:r>
            <w:r w:rsidDel="00000000" w:rsidR="00000000" w:rsidRPr="00000000">
              <w:rPr>
                <w:b w:val="0"/>
                <w:color w:val="000000"/>
                <w:sz w:val="16"/>
                <w:szCs w:val="16"/>
                <w:rtl w:val="0"/>
              </w:rPr>
              <w:t xml:space="preserve">”.</w:t>
            </w:r>
          </w:p>
        </w:tc>
      </w:tr>
      <w:tr>
        <w:trPr>
          <w:cantSplit w:val="0"/>
          <w:tblHeader w:val="0"/>
        </w:trPr>
        <w:tc>
          <w:tcPr>
            <w:vMerge w:val="continue"/>
            <w:vAlign w:val="center"/>
          </w:tcPr>
          <w:p w:rsidR="00000000" w:rsidDel="00000000" w:rsidP="00000000" w:rsidRDefault="00000000" w:rsidRPr="00000000" w14:paraId="0000009A">
            <w:pPr>
              <w:widowControl w:val="0"/>
              <w:rPr>
                <w:b w:val="0"/>
                <w:color w:val="000000"/>
                <w:sz w:val="16"/>
                <w:szCs w:val="16"/>
              </w:rPr>
            </w:pPr>
            <w:r w:rsidDel="00000000" w:rsidR="00000000" w:rsidRPr="00000000">
              <w:rPr>
                <w:rtl w:val="0"/>
              </w:rPr>
            </w:r>
          </w:p>
        </w:tc>
        <w:tc>
          <w:tcPr>
            <w:gridSpan w:val="2"/>
            <w:vAlign w:val="center"/>
          </w:tcPr>
          <w:p w:rsidR="00000000" w:rsidDel="00000000" w:rsidP="00000000" w:rsidRDefault="00000000" w:rsidRPr="00000000" w14:paraId="0000009B">
            <w:pPr>
              <w:widowControl w:val="0"/>
              <w:spacing w:after="220" w:line="240" w:lineRule="auto"/>
              <w:rPr>
                <w:b w:val="0"/>
                <w:color w:val="000000"/>
                <w:sz w:val="16"/>
                <w:szCs w:val="16"/>
              </w:rPr>
            </w:pPr>
            <w:r w:rsidDel="00000000" w:rsidR="00000000" w:rsidRPr="00000000">
              <w:rPr>
                <w:b w:val="0"/>
                <w:color w:val="000000"/>
                <w:sz w:val="16"/>
                <w:szCs w:val="16"/>
                <w:rtl w:val="0"/>
              </w:rPr>
              <w:t xml:space="preserve">Contracts for differences (including swaps)</w:t>
            </w:r>
          </w:p>
        </w:tc>
        <w:tc>
          <w:tcPr>
            <w:vAlign w:val="center"/>
          </w:tcPr>
          <w:p w:rsidR="00000000" w:rsidDel="00000000" w:rsidP="00000000" w:rsidRDefault="00000000" w:rsidRPr="00000000" w14:paraId="0000009D">
            <w:pPr>
              <w:widowControl w:val="0"/>
              <w:spacing w:after="220" w:line="240" w:lineRule="auto"/>
              <w:rPr>
                <w:b w:val="0"/>
                <w:color w:val="000000"/>
                <w:sz w:val="16"/>
                <w:szCs w:val="16"/>
              </w:rPr>
            </w:pPr>
            <w:r w:rsidDel="00000000" w:rsidR="00000000" w:rsidRPr="00000000">
              <w:rPr>
                <w:b w:val="0"/>
                <w:color w:val="000000"/>
                <w:sz w:val="16"/>
                <w:szCs w:val="16"/>
                <w:rtl w:val="0"/>
              </w:rPr>
              <w:t xml:space="preserve">Does the Token entitle holders to profits or losses by reference to fluctuations in the value or price of property of any description or an index, rate, measure or other factor, where the profit or loss will not be secured by delivery of the property to which the Token relates?</w:t>
            </w:r>
          </w:p>
        </w:tc>
        <w:tc>
          <w:tcPr>
            <w:shd w:fill="c00000" w:val="clear"/>
            <w:vAlign w:val="center"/>
          </w:tcPr>
          <w:p w:rsidR="00000000" w:rsidDel="00000000" w:rsidP="00000000" w:rsidRDefault="00000000" w:rsidRPr="00000000" w14:paraId="0000009E">
            <w:pPr>
              <w:spacing w:line="240" w:lineRule="auto"/>
              <w:jc w:val="center"/>
              <w:rPr>
                <w:sz w:val="16"/>
                <w:szCs w:val="16"/>
              </w:rPr>
            </w:pPr>
            <w:r w:rsidDel="00000000" w:rsidR="00000000" w:rsidRPr="00000000">
              <w:rPr>
                <w:sz w:val="16"/>
                <w:szCs w:val="16"/>
                <w:rtl w:val="0"/>
              </w:rPr>
              <w:t xml:space="preserve">◻</w:t>
            </w:r>
          </w:p>
        </w:tc>
        <w:tc>
          <w:tcPr>
            <w:shd w:fill="70ad47" w:val="clear"/>
            <w:vAlign w:val="center"/>
          </w:tcPr>
          <w:p w:rsidR="00000000" w:rsidDel="00000000" w:rsidP="00000000" w:rsidRDefault="00000000" w:rsidRPr="00000000" w14:paraId="0000009F">
            <w:pPr>
              <w:spacing w:line="240" w:lineRule="auto"/>
              <w:jc w:val="center"/>
              <w:rPr>
                <w:color w:val="000000"/>
                <w:sz w:val="16"/>
                <w:szCs w:val="16"/>
              </w:rPr>
            </w:pPr>
            <w:r w:rsidDel="00000000" w:rsidR="00000000" w:rsidRPr="00000000">
              <w:rPr>
                <w:color w:val="000000"/>
                <w:sz w:val="16"/>
                <w:szCs w:val="16"/>
                <w:rtl w:val="0"/>
              </w:rPr>
              <w:t xml:space="preserve">◻</w:t>
            </w:r>
          </w:p>
        </w:tc>
        <w:tc>
          <w:tcPr>
            <w:shd w:fill="ffc000" w:val="clear"/>
            <w:vAlign w:val="center"/>
          </w:tcPr>
          <w:p w:rsidR="00000000" w:rsidDel="00000000" w:rsidP="00000000" w:rsidRDefault="00000000" w:rsidRPr="00000000" w14:paraId="000000A0">
            <w:pPr>
              <w:spacing w:line="240" w:lineRule="auto"/>
              <w:jc w:val="center"/>
              <w:rPr>
                <w:color w:val="000000"/>
                <w:sz w:val="16"/>
                <w:szCs w:val="16"/>
              </w:rPr>
            </w:pPr>
            <w:r w:rsidDel="00000000" w:rsidR="00000000" w:rsidRPr="00000000">
              <w:rPr>
                <w:color w:val="000000"/>
                <w:sz w:val="16"/>
                <w:szCs w:val="16"/>
                <w:rtl w:val="0"/>
              </w:rPr>
              <w:t xml:space="preserve">◻</w:t>
            </w:r>
          </w:p>
        </w:tc>
        <w:tc>
          <w:tcPr/>
          <w:p w:rsidR="00000000" w:rsidDel="00000000" w:rsidP="00000000" w:rsidRDefault="00000000" w:rsidRPr="00000000" w14:paraId="000000A1">
            <w:pPr>
              <w:widowControl w:val="0"/>
              <w:numPr>
                <w:ilvl w:val="0"/>
                <w:numId w:val="3"/>
              </w:numPr>
              <w:spacing w:after="220" w:line="240" w:lineRule="auto"/>
              <w:ind w:left="360"/>
              <w:jc w:val="both"/>
              <w:rPr>
                <w:rFonts w:ascii="Times New Roman" w:cs="Times New Roman" w:eastAsia="Times New Roman" w:hAnsi="Times New Roman"/>
                <w:b w:val="1"/>
                <w:color w:val="ffffff"/>
                <w:sz w:val="16"/>
                <w:szCs w:val="16"/>
              </w:rPr>
            </w:pPr>
            <w:r w:rsidDel="00000000" w:rsidR="00000000" w:rsidRPr="00000000">
              <w:rPr>
                <w:color w:val="000000"/>
                <w:sz w:val="16"/>
                <w:szCs w:val="16"/>
                <w:rtl w:val="0"/>
              </w:rPr>
              <w:t xml:space="preserve">Cash settlement</w:t>
            </w:r>
            <w:r w:rsidDel="00000000" w:rsidR="00000000" w:rsidRPr="00000000">
              <w:rPr>
                <w:b w:val="0"/>
                <w:color w:val="000000"/>
                <w:sz w:val="16"/>
                <w:szCs w:val="16"/>
                <w:rtl w:val="0"/>
              </w:rPr>
              <w:t xml:space="preserve">: Contracts for differences are cash settled, rather than settled by delivery of other property. If the contract is settled by delivery of property, tick “</w:t>
            </w:r>
            <w:r w:rsidDel="00000000" w:rsidR="00000000" w:rsidRPr="00000000">
              <w:rPr>
                <w:b w:val="0"/>
                <w:i w:val="1"/>
                <w:color w:val="000000"/>
                <w:sz w:val="16"/>
                <w:szCs w:val="16"/>
                <w:rtl w:val="0"/>
              </w:rPr>
              <w:t xml:space="preserve">No</w:t>
            </w:r>
            <w:r w:rsidDel="00000000" w:rsidR="00000000" w:rsidRPr="00000000">
              <w:rPr>
                <w:b w:val="0"/>
                <w:color w:val="000000"/>
                <w:sz w:val="16"/>
                <w:szCs w:val="16"/>
                <w:rtl w:val="0"/>
              </w:rPr>
              <w:t xml:space="preserve">”.</w:t>
            </w:r>
          </w:p>
        </w:tc>
      </w:tr>
      <w:tr>
        <w:trPr>
          <w:cantSplit w:val="0"/>
          <w:tblHeader w:val="0"/>
        </w:trPr>
        <w:tc>
          <w:tcPr>
            <w:gridSpan w:val="3"/>
            <w:vMerge w:val="restart"/>
            <w:shd w:fill="auto" w:val="clear"/>
            <w:vAlign w:val="center"/>
          </w:tcPr>
          <w:p w:rsidR="00000000" w:rsidDel="00000000" w:rsidP="00000000" w:rsidRDefault="00000000" w:rsidRPr="00000000" w14:paraId="000000A2">
            <w:pPr>
              <w:widowControl w:val="0"/>
              <w:spacing w:after="220" w:line="240" w:lineRule="auto"/>
              <w:rPr>
                <w:b w:val="0"/>
                <w:color w:val="000000"/>
                <w:sz w:val="16"/>
                <w:szCs w:val="16"/>
              </w:rPr>
            </w:pPr>
            <w:r w:rsidDel="00000000" w:rsidR="00000000" w:rsidRPr="00000000">
              <w:rPr>
                <w:b w:val="0"/>
                <w:color w:val="000000"/>
                <w:sz w:val="16"/>
                <w:szCs w:val="16"/>
                <w:rtl w:val="0"/>
              </w:rPr>
              <w:t xml:space="preserve">Emission allowances</w:t>
            </w:r>
          </w:p>
        </w:tc>
        <w:tc>
          <w:tcPr>
            <w:shd w:fill="auto" w:val="clear"/>
            <w:vAlign w:val="center"/>
          </w:tcPr>
          <w:p w:rsidR="00000000" w:rsidDel="00000000" w:rsidP="00000000" w:rsidRDefault="00000000" w:rsidRPr="00000000" w14:paraId="000000A5">
            <w:pPr>
              <w:widowControl w:val="0"/>
              <w:spacing w:after="220" w:line="240" w:lineRule="auto"/>
              <w:rPr>
                <w:b w:val="0"/>
                <w:color w:val="000000"/>
                <w:sz w:val="16"/>
                <w:szCs w:val="16"/>
              </w:rPr>
            </w:pPr>
            <w:r w:rsidDel="00000000" w:rsidR="00000000" w:rsidRPr="00000000">
              <w:rPr>
                <w:b w:val="0"/>
                <w:color w:val="000000"/>
                <w:sz w:val="16"/>
                <w:szCs w:val="16"/>
                <w:rtl w:val="0"/>
              </w:rPr>
              <w:t xml:space="preserve">Does the Token entitle the holder to a right to emit a certain amount of carbon dioxide or other greenhouse gas during a specified period (or represent such a right)?</w:t>
            </w:r>
          </w:p>
        </w:tc>
        <w:tc>
          <w:tcPr>
            <w:shd w:fill="c00000" w:val="clear"/>
            <w:vAlign w:val="center"/>
          </w:tcPr>
          <w:p w:rsidR="00000000" w:rsidDel="00000000" w:rsidP="00000000" w:rsidRDefault="00000000" w:rsidRPr="00000000" w14:paraId="000000A6">
            <w:pPr>
              <w:spacing w:line="240" w:lineRule="auto"/>
              <w:jc w:val="center"/>
              <w:rPr>
                <w:sz w:val="16"/>
                <w:szCs w:val="16"/>
              </w:rPr>
            </w:pPr>
            <w:r w:rsidDel="00000000" w:rsidR="00000000" w:rsidRPr="00000000">
              <w:rPr>
                <w:sz w:val="16"/>
                <w:szCs w:val="16"/>
                <w:rtl w:val="0"/>
              </w:rPr>
              <w:t xml:space="preserve">◻</w:t>
            </w:r>
          </w:p>
        </w:tc>
        <w:tc>
          <w:tcPr>
            <w:shd w:fill="70ad47" w:val="clear"/>
            <w:vAlign w:val="center"/>
          </w:tcPr>
          <w:p w:rsidR="00000000" w:rsidDel="00000000" w:rsidP="00000000" w:rsidRDefault="00000000" w:rsidRPr="00000000" w14:paraId="000000A7">
            <w:pPr>
              <w:spacing w:line="240" w:lineRule="auto"/>
              <w:jc w:val="center"/>
              <w:rPr>
                <w:color w:val="000000"/>
                <w:sz w:val="16"/>
                <w:szCs w:val="16"/>
              </w:rPr>
            </w:pPr>
            <w:r w:rsidDel="00000000" w:rsidR="00000000" w:rsidRPr="00000000">
              <w:rPr>
                <w:color w:val="000000"/>
                <w:sz w:val="16"/>
                <w:szCs w:val="16"/>
                <w:rtl w:val="0"/>
              </w:rPr>
              <w:t xml:space="preserve">◻</w:t>
            </w:r>
          </w:p>
        </w:tc>
        <w:tc>
          <w:tcPr>
            <w:shd w:fill="ffc000" w:val="clear"/>
            <w:vAlign w:val="center"/>
          </w:tcPr>
          <w:p w:rsidR="00000000" w:rsidDel="00000000" w:rsidP="00000000" w:rsidRDefault="00000000" w:rsidRPr="00000000" w14:paraId="000000A8">
            <w:pPr>
              <w:spacing w:line="240" w:lineRule="auto"/>
              <w:jc w:val="center"/>
              <w:rPr>
                <w:color w:val="000000"/>
                <w:sz w:val="16"/>
                <w:szCs w:val="16"/>
              </w:rPr>
            </w:pPr>
            <w:r w:rsidDel="00000000" w:rsidR="00000000" w:rsidRPr="00000000">
              <w:rPr>
                <w:color w:val="000000"/>
                <w:sz w:val="16"/>
                <w:szCs w:val="16"/>
                <w:rtl w:val="0"/>
              </w:rPr>
              <w:t xml:space="preserve">◻</w:t>
            </w:r>
          </w:p>
        </w:tc>
        <w:tc>
          <w:tcPr/>
          <w:p w:rsidR="00000000" w:rsidDel="00000000" w:rsidP="00000000" w:rsidRDefault="00000000" w:rsidRPr="00000000" w14:paraId="000000A9">
            <w:pPr>
              <w:widowControl w:val="0"/>
              <w:spacing w:after="220" w:line="240" w:lineRule="auto"/>
              <w:jc w:val="center"/>
              <w:rPr>
                <w:b w:val="0"/>
                <w:color w:val="000000"/>
                <w:sz w:val="16"/>
                <w:szCs w:val="16"/>
              </w:rPr>
            </w:pPr>
            <w:r w:rsidDel="00000000" w:rsidR="00000000" w:rsidRPr="00000000">
              <w:rPr>
                <w:rtl w:val="0"/>
              </w:rPr>
            </w:r>
          </w:p>
        </w:tc>
      </w:tr>
      <w:tr>
        <w:trPr>
          <w:cantSplit w:val="0"/>
          <w:tblHeader w:val="0"/>
        </w:trPr>
        <w:tc>
          <w:tcPr>
            <w:gridSpan w:val="3"/>
            <w:vMerge w:val="continue"/>
            <w:shd w:fill="auto" w:val="clear"/>
            <w:vAlign w:val="center"/>
          </w:tcPr>
          <w:p w:rsidR="00000000" w:rsidDel="00000000" w:rsidP="00000000" w:rsidRDefault="00000000" w:rsidRPr="00000000" w14:paraId="000000AA">
            <w:pPr>
              <w:widowControl w:val="0"/>
              <w:rPr>
                <w:b w:val="0"/>
                <w:color w:val="000000"/>
                <w:sz w:val="16"/>
                <w:szCs w:val="16"/>
              </w:rPr>
            </w:pPr>
            <w:r w:rsidDel="00000000" w:rsidR="00000000" w:rsidRPr="00000000">
              <w:rPr>
                <w:rtl w:val="0"/>
              </w:rPr>
            </w:r>
          </w:p>
        </w:tc>
        <w:tc>
          <w:tcPr>
            <w:shd w:fill="auto" w:val="clear"/>
            <w:vAlign w:val="center"/>
          </w:tcPr>
          <w:p w:rsidR="00000000" w:rsidDel="00000000" w:rsidP="00000000" w:rsidRDefault="00000000" w:rsidRPr="00000000" w14:paraId="000000AD">
            <w:pPr>
              <w:widowControl w:val="0"/>
              <w:spacing w:after="220" w:line="240" w:lineRule="auto"/>
              <w:rPr>
                <w:b w:val="0"/>
                <w:color w:val="000000"/>
                <w:sz w:val="16"/>
                <w:szCs w:val="16"/>
              </w:rPr>
            </w:pPr>
            <w:r w:rsidDel="00000000" w:rsidR="00000000" w:rsidRPr="00000000">
              <w:rPr>
                <w:b w:val="0"/>
                <w:color w:val="000000"/>
                <w:sz w:val="16"/>
                <w:szCs w:val="16"/>
                <w:rtl w:val="0"/>
              </w:rPr>
              <w:t xml:space="preserve">Is the Token (or does the Token represent) a unit recognised for compliance with the requirements of the EU Emissions Trading Scheme?</w:t>
            </w:r>
          </w:p>
        </w:tc>
        <w:tc>
          <w:tcPr>
            <w:shd w:fill="c00000" w:val="clear"/>
            <w:vAlign w:val="center"/>
          </w:tcPr>
          <w:p w:rsidR="00000000" w:rsidDel="00000000" w:rsidP="00000000" w:rsidRDefault="00000000" w:rsidRPr="00000000" w14:paraId="000000AE">
            <w:pPr>
              <w:spacing w:line="240" w:lineRule="auto"/>
              <w:jc w:val="center"/>
              <w:rPr>
                <w:sz w:val="16"/>
                <w:szCs w:val="16"/>
              </w:rPr>
            </w:pPr>
            <w:r w:rsidDel="00000000" w:rsidR="00000000" w:rsidRPr="00000000">
              <w:rPr>
                <w:sz w:val="16"/>
                <w:szCs w:val="16"/>
                <w:rtl w:val="0"/>
              </w:rPr>
              <w:t xml:space="preserve">◻</w:t>
            </w:r>
          </w:p>
        </w:tc>
        <w:tc>
          <w:tcPr>
            <w:shd w:fill="70ad47" w:val="clear"/>
            <w:vAlign w:val="center"/>
          </w:tcPr>
          <w:p w:rsidR="00000000" w:rsidDel="00000000" w:rsidP="00000000" w:rsidRDefault="00000000" w:rsidRPr="00000000" w14:paraId="000000AF">
            <w:pPr>
              <w:spacing w:line="240" w:lineRule="auto"/>
              <w:jc w:val="center"/>
              <w:rPr>
                <w:color w:val="000000"/>
                <w:sz w:val="16"/>
                <w:szCs w:val="16"/>
              </w:rPr>
            </w:pPr>
            <w:r w:rsidDel="00000000" w:rsidR="00000000" w:rsidRPr="00000000">
              <w:rPr>
                <w:color w:val="000000"/>
                <w:sz w:val="16"/>
                <w:szCs w:val="16"/>
                <w:rtl w:val="0"/>
              </w:rPr>
              <w:t xml:space="preserve">◻</w:t>
            </w:r>
          </w:p>
        </w:tc>
        <w:tc>
          <w:tcPr>
            <w:shd w:fill="ffc000" w:val="clear"/>
            <w:vAlign w:val="center"/>
          </w:tcPr>
          <w:p w:rsidR="00000000" w:rsidDel="00000000" w:rsidP="00000000" w:rsidRDefault="00000000" w:rsidRPr="00000000" w14:paraId="000000B0">
            <w:pPr>
              <w:spacing w:line="240" w:lineRule="auto"/>
              <w:jc w:val="center"/>
              <w:rPr>
                <w:color w:val="000000"/>
                <w:sz w:val="16"/>
                <w:szCs w:val="16"/>
              </w:rPr>
            </w:pPr>
            <w:r w:rsidDel="00000000" w:rsidR="00000000" w:rsidRPr="00000000">
              <w:rPr>
                <w:color w:val="000000"/>
                <w:sz w:val="16"/>
                <w:szCs w:val="16"/>
                <w:rtl w:val="0"/>
              </w:rPr>
              <w:t xml:space="preserve">◻</w:t>
            </w:r>
          </w:p>
        </w:tc>
        <w:tc>
          <w:tcPr/>
          <w:p w:rsidR="00000000" w:rsidDel="00000000" w:rsidP="00000000" w:rsidRDefault="00000000" w:rsidRPr="00000000" w14:paraId="000000B1">
            <w:pPr>
              <w:widowControl w:val="0"/>
              <w:spacing w:after="220" w:line="240" w:lineRule="auto"/>
              <w:jc w:val="center"/>
              <w:rPr>
                <w:b w:val="0"/>
                <w:color w:val="000000"/>
                <w:sz w:val="16"/>
                <w:szCs w:val="16"/>
              </w:rPr>
            </w:pPr>
            <w:r w:rsidDel="00000000" w:rsidR="00000000" w:rsidRPr="00000000">
              <w:rPr>
                <w:rtl w:val="0"/>
              </w:rPr>
            </w:r>
          </w:p>
        </w:tc>
      </w:tr>
      <w:tr>
        <w:trPr>
          <w:cantSplit w:val="0"/>
          <w:tblHeader w:val="0"/>
        </w:trPr>
        <w:tc>
          <w:tcPr>
            <w:gridSpan w:val="3"/>
            <w:shd w:fill="auto" w:val="clear"/>
            <w:vAlign w:val="center"/>
          </w:tcPr>
          <w:p w:rsidR="00000000" w:rsidDel="00000000" w:rsidP="00000000" w:rsidRDefault="00000000" w:rsidRPr="00000000" w14:paraId="000000B2">
            <w:pPr>
              <w:widowControl w:val="0"/>
              <w:spacing w:after="220" w:line="240" w:lineRule="auto"/>
              <w:rPr>
                <w:b w:val="0"/>
                <w:color w:val="000000"/>
                <w:sz w:val="16"/>
                <w:szCs w:val="16"/>
              </w:rPr>
            </w:pPr>
            <w:r w:rsidDel="00000000" w:rsidR="00000000" w:rsidRPr="00000000">
              <w:rPr>
                <w:b w:val="0"/>
                <w:color w:val="000000"/>
                <w:sz w:val="16"/>
                <w:szCs w:val="16"/>
                <w:rtl w:val="0"/>
              </w:rPr>
              <w:t xml:space="preserve">Spot foreign exchange contracts (whether for leveraged foreign exchange trading or otherwise) (SG only)</w:t>
            </w:r>
          </w:p>
        </w:tc>
        <w:tc>
          <w:tcPr>
            <w:shd w:fill="auto" w:val="clear"/>
            <w:vAlign w:val="center"/>
          </w:tcPr>
          <w:p w:rsidR="00000000" w:rsidDel="00000000" w:rsidP="00000000" w:rsidRDefault="00000000" w:rsidRPr="00000000" w14:paraId="000000B5">
            <w:pPr>
              <w:widowControl w:val="0"/>
              <w:spacing w:after="220" w:line="240" w:lineRule="auto"/>
              <w:rPr>
                <w:b w:val="0"/>
                <w:color w:val="000000"/>
                <w:sz w:val="16"/>
                <w:szCs w:val="16"/>
              </w:rPr>
            </w:pPr>
            <w:r w:rsidDel="00000000" w:rsidR="00000000" w:rsidRPr="00000000">
              <w:rPr>
                <w:b w:val="0"/>
                <w:color w:val="000000"/>
                <w:sz w:val="16"/>
                <w:szCs w:val="16"/>
                <w:rtl w:val="0"/>
              </w:rPr>
              <w:t xml:space="preserve">Does the Token represent a spot contract for the sale or purchase of currency at a spot price?</w:t>
            </w:r>
          </w:p>
        </w:tc>
        <w:tc>
          <w:tcPr>
            <w:shd w:fill="c00000" w:val="clear"/>
            <w:vAlign w:val="center"/>
          </w:tcPr>
          <w:p w:rsidR="00000000" w:rsidDel="00000000" w:rsidP="00000000" w:rsidRDefault="00000000" w:rsidRPr="00000000" w14:paraId="000000B6">
            <w:pPr>
              <w:spacing w:line="240" w:lineRule="auto"/>
              <w:jc w:val="center"/>
              <w:rPr>
                <w:sz w:val="16"/>
                <w:szCs w:val="16"/>
              </w:rPr>
            </w:pPr>
            <w:r w:rsidDel="00000000" w:rsidR="00000000" w:rsidRPr="00000000">
              <w:rPr>
                <w:sz w:val="16"/>
                <w:szCs w:val="16"/>
                <w:rtl w:val="0"/>
              </w:rPr>
              <w:t xml:space="preserve">◻</w:t>
            </w:r>
          </w:p>
        </w:tc>
        <w:tc>
          <w:tcPr>
            <w:shd w:fill="70ad47" w:val="clear"/>
            <w:vAlign w:val="center"/>
          </w:tcPr>
          <w:p w:rsidR="00000000" w:rsidDel="00000000" w:rsidP="00000000" w:rsidRDefault="00000000" w:rsidRPr="00000000" w14:paraId="000000B7">
            <w:pPr>
              <w:spacing w:line="240" w:lineRule="auto"/>
              <w:jc w:val="center"/>
              <w:rPr>
                <w:color w:val="000000"/>
                <w:sz w:val="16"/>
                <w:szCs w:val="16"/>
              </w:rPr>
            </w:pPr>
            <w:r w:rsidDel="00000000" w:rsidR="00000000" w:rsidRPr="00000000">
              <w:rPr>
                <w:color w:val="000000"/>
                <w:sz w:val="16"/>
                <w:szCs w:val="16"/>
                <w:rtl w:val="0"/>
              </w:rPr>
              <w:t xml:space="preserve">◻</w:t>
            </w:r>
          </w:p>
        </w:tc>
        <w:tc>
          <w:tcPr>
            <w:shd w:fill="ffc000" w:val="clear"/>
            <w:vAlign w:val="center"/>
          </w:tcPr>
          <w:p w:rsidR="00000000" w:rsidDel="00000000" w:rsidP="00000000" w:rsidRDefault="00000000" w:rsidRPr="00000000" w14:paraId="000000B8">
            <w:pPr>
              <w:spacing w:line="240" w:lineRule="auto"/>
              <w:jc w:val="center"/>
              <w:rPr>
                <w:color w:val="000000"/>
                <w:sz w:val="16"/>
                <w:szCs w:val="16"/>
              </w:rPr>
            </w:pPr>
            <w:r w:rsidDel="00000000" w:rsidR="00000000" w:rsidRPr="00000000">
              <w:rPr>
                <w:color w:val="000000"/>
                <w:sz w:val="16"/>
                <w:szCs w:val="16"/>
                <w:rtl w:val="0"/>
              </w:rPr>
              <w:t xml:space="preserve">◻</w:t>
            </w:r>
          </w:p>
        </w:tc>
        <w:tc>
          <w:tcPr/>
          <w:p w:rsidR="00000000" w:rsidDel="00000000" w:rsidP="00000000" w:rsidRDefault="00000000" w:rsidRPr="00000000" w14:paraId="000000B9">
            <w:pPr>
              <w:widowControl w:val="0"/>
              <w:spacing w:after="220" w:line="240" w:lineRule="auto"/>
              <w:jc w:val="center"/>
              <w:rPr>
                <w:b w:val="0"/>
                <w:color w:val="000000"/>
                <w:sz w:val="16"/>
                <w:szCs w:val="16"/>
              </w:rPr>
            </w:pPr>
            <w:r w:rsidDel="00000000" w:rsidR="00000000" w:rsidRPr="00000000">
              <w:rPr>
                <w:rtl w:val="0"/>
              </w:rPr>
            </w:r>
          </w:p>
        </w:tc>
      </w:tr>
      <w:tr>
        <w:trPr>
          <w:cantSplit w:val="0"/>
          <w:tblHeader w:val="0"/>
        </w:trPr>
        <w:tc>
          <w:tcPr>
            <w:gridSpan w:val="3"/>
            <w:shd w:fill="f2f2f2" w:val="clear"/>
            <w:vAlign w:val="center"/>
          </w:tcPr>
          <w:p w:rsidR="00000000" w:rsidDel="00000000" w:rsidP="00000000" w:rsidRDefault="00000000" w:rsidRPr="00000000" w14:paraId="000000BA">
            <w:pPr>
              <w:widowControl w:val="0"/>
              <w:spacing w:after="220" w:line="240" w:lineRule="auto"/>
              <w:rPr>
                <w:b w:val="0"/>
                <w:color w:val="000000"/>
                <w:sz w:val="16"/>
                <w:szCs w:val="16"/>
              </w:rPr>
            </w:pPr>
            <w:r w:rsidDel="00000000" w:rsidR="00000000" w:rsidRPr="00000000">
              <w:rPr>
                <w:b w:val="0"/>
                <w:color w:val="000000"/>
                <w:sz w:val="16"/>
                <w:szCs w:val="16"/>
                <w:rtl w:val="0"/>
              </w:rPr>
              <w:t xml:space="preserve">Collective investment schemes (UK/SG only)</w:t>
            </w:r>
          </w:p>
        </w:tc>
        <w:tc>
          <w:tcPr>
            <w:shd w:fill="f2f2f2" w:val="clear"/>
            <w:vAlign w:val="center"/>
          </w:tcPr>
          <w:p w:rsidR="00000000" w:rsidDel="00000000" w:rsidP="00000000" w:rsidRDefault="00000000" w:rsidRPr="00000000" w14:paraId="000000BD">
            <w:pPr>
              <w:widowControl w:val="0"/>
              <w:spacing w:line="240" w:lineRule="auto"/>
              <w:rPr>
                <w:b w:val="0"/>
                <w:color w:val="000000"/>
                <w:sz w:val="16"/>
                <w:szCs w:val="16"/>
              </w:rPr>
            </w:pPr>
            <w:r w:rsidDel="00000000" w:rsidR="00000000" w:rsidRPr="00000000">
              <w:rPr>
                <w:b w:val="0"/>
                <w:color w:val="000000"/>
                <w:sz w:val="16"/>
                <w:szCs w:val="16"/>
                <w:rtl w:val="0"/>
              </w:rPr>
              <w:t xml:space="preserve">Does the Token involve arrangements in respect of property of any description with a view to generating income or profits for Token holders in circumstances where the Token holders do not have day-to-day control over the management of the property, and EITHER:</w:t>
            </w:r>
          </w:p>
          <w:p w:rsidR="00000000" w:rsidDel="00000000" w:rsidP="00000000" w:rsidRDefault="00000000" w:rsidRPr="00000000" w14:paraId="000000BE">
            <w:pPr>
              <w:widowControl w:val="0"/>
              <w:spacing w:line="240" w:lineRule="auto"/>
              <w:rPr>
                <w:b w:val="0"/>
                <w:color w:val="000000"/>
                <w:sz w:val="16"/>
                <w:szCs w:val="16"/>
              </w:rPr>
            </w:pPr>
            <w:r w:rsidDel="00000000" w:rsidR="00000000" w:rsidRPr="00000000">
              <w:rPr>
                <w:rtl w:val="0"/>
              </w:rPr>
            </w:r>
          </w:p>
          <w:p w:rsidR="00000000" w:rsidDel="00000000" w:rsidP="00000000" w:rsidRDefault="00000000" w:rsidRPr="00000000" w14:paraId="000000BF">
            <w:pPr>
              <w:widowControl w:val="0"/>
              <w:numPr>
                <w:ilvl w:val="0"/>
                <w:numId w:val="1"/>
              </w:numPr>
              <w:spacing w:line="240" w:lineRule="auto"/>
              <w:ind w:left="714" w:hanging="357"/>
              <w:rPr>
                <w:rFonts w:ascii="Times New Roman" w:cs="Times New Roman" w:eastAsia="Times New Roman" w:hAnsi="Times New Roman"/>
                <w:b w:val="1"/>
                <w:color w:val="ffffff"/>
                <w:sz w:val="16"/>
                <w:szCs w:val="16"/>
              </w:rPr>
            </w:pPr>
            <w:r w:rsidDel="00000000" w:rsidR="00000000" w:rsidRPr="00000000">
              <w:rPr>
                <w:b w:val="0"/>
                <w:color w:val="000000"/>
                <w:sz w:val="16"/>
                <w:szCs w:val="16"/>
                <w:rtl w:val="0"/>
              </w:rPr>
              <w:t xml:space="preserve">are the contributions of the Token holders, and the profits or income out of which payments are to be made to the Token holders, pooled, OR</w:t>
            </w:r>
          </w:p>
          <w:p w:rsidR="00000000" w:rsidDel="00000000" w:rsidP="00000000" w:rsidRDefault="00000000" w:rsidRPr="00000000" w14:paraId="000000C0">
            <w:pPr>
              <w:widowControl w:val="0"/>
              <w:spacing w:line="240" w:lineRule="auto"/>
              <w:ind w:left="714" w:firstLine="0"/>
              <w:rPr>
                <w:b w:val="0"/>
                <w:color w:val="000000"/>
                <w:sz w:val="16"/>
                <w:szCs w:val="16"/>
              </w:rPr>
            </w:pPr>
            <w:r w:rsidDel="00000000" w:rsidR="00000000" w:rsidRPr="00000000">
              <w:rPr>
                <w:rtl w:val="0"/>
              </w:rPr>
            </w:r>
          </w:p>
          <w:p w:rsidR="00000000" w:rsidDel="00000000" w:rsidP="00000000" w:rsidRDefault="00000000" w:rsidRPr="00000000" w14:paraId="000000C1">
            <w:pPr>
              <w:widowControl w:val="0"/>
              <w:numPr>
                <w:ilvl w:val="0"/>
                <w:numId w:val="1"/>
              </w:numPr>
              <w:spacing w:line="240" w:lineRule="auto"/>
              <w:ind w:left="714" w:hanging="357"/>
              <w:rPr>
                <w:rFonts w:ascii="Times New Roman" w:cs="Times New Roman" w:eastAsia="Times New Roman" w:hAnsi="Times New Roman"/>
                <w:b w:val="1"/>
                <w:color w:val="ffffff"/>
                <w:sz w:val="16"/>
                <w:szCs w:val="16"/>
              </w:rPr>
            </w:pPr>
            <w:r w:rsidDel="00000000" w:rsidR="00000000" w:rsidRPr="00000000">
              <w:rPr>
                <w:b w:val="0"/>
                <w:color w:val="000000"/>
                <w:sz w:val="16"/>
                <w:szCs w:val="16"/>
                <w:rtl w:val="0"/>
              </w:rPr>
              <w:t xml:space="preserve">is the pooled capital managed as a whole by the issuer/a third party on the issuer’s behalf?</w:t>
            </w:r>
          </w:p>
          <w:p w:rsidR="00000000" w:rsidDel="00000000" w:rsidP="00000000" w:rsidRDefault="00000000" w:rsidRPr="00000000" w14:paraId="000000C2">
            <w:pPr>
              <w:widowControl w:val="0"/>
              <w:spacing w:line="240" w:lineRule="auto"/>
              <w:rPr>
                <w:b w:val="0"/>
                <w:color w:val="000000"/>
                <w:sz w:val="16"/>
                <w:szCs w:val="16"/>
              </w:rPr>
            </w:pPr>
            <w:r w:rsidDel="00000000" w:rsidR="00000000" w:rsidRPr="00000000">
              <w:rPr>
                <w:rtl w:val="0"/>
              </w:rPr>
            </w:r>
          </w:p>
        </w:tc>
        <w:tc>
          <w:tcPr>
            <w:shd w:fill="c00000" w:val="clear"/>
            <w:vAlign w:val="center"/>
          </w:tcPr>
          <w:p w:rsidR="00000000" w:rsidDel="00000000" w:rsidP="00000000" w:rsidRDefault="00000000" w:rsidRPr="00000000" w14:paraId="000000C3">
            <w:pPr>
              <w:spacing w:line="240" w:lineRule="auto"/>
              <w:jc w:val="center"/>
              <w:rPr>
                <w:sz w:val="16"/>
                <w:szCs w:val="16"/>
              </w:rPr>
            </w:pPr>
            <w:r w:rsidDel="00000000" w:rsidR="00000000" w:rsidRPr="00000000">
              <w:rPr>
                <w:sz w:val="16"/>
                <w:szCs w:val="16"/>
                <w:rtl w:val="0"/>
              </w:rPr>
              <w:t xml:space="preserve">◻</w:t>
            </w:r>
          </w:p>
        </w:tc>
        <w:tc>
          <w:tcPr>
            <w:shd w:fill="70ad47" w:val="clear"/>
            <w:vAlign w:val="center"/>
          </w:tcPr>
          <w:p w:rsidR="00000000" w:rsidDel="00000000" w:rsidP="00000000" w:rsidRDefault="00000000" w:rsidRPr="00000000" w14:paraId="000000C4">
            <w:pPr>
              <w:spacing w:line="240" w:lineRule="auto"/>
              <w:jc w:val="center"/>
              <w:rPr>
                <w:color w:val="0f0f0f"/>
                <w:sz w:val="16"/>
                <w:szCs w:val="16"/>
              </w:rPr>
            </w:pPr>
            <w:r w:rsidDel="00000000" w:rsidR="00000000" w:rsidRPr="00000000">
              <w:rPr>
                <w:color w:val="0f0f0f"/>
                <w:sz w:val="16"/>
                <w:szCs w:val="16"/>
                <w:rtl w:val="0"/>
              </w:rPr>
              <w:t xml:space="preserve">◻</w:t>
            </w:r>
          </w:p>
        </w:tc>
        <w:tc>
          <w:tcPr>
            <w:shd w:fill="ffc000" w:val="clear"/>
            <w:vAlign w:val="center"/>
          </w:tcPr>
          <w:p w:rsidR="00000000" w:rsidDel="00000000" w:rsidP="00000000" w:rsidRDefault="00000000" w:rsidRPr="00000000" w14:paraId="000000C5">
            <w:pPr>
              <w:spacing w:line="240" w:lineRule="auto"/>
              <w:jc w:val="center"/>
              <w:rPr>
                <w:color w:val="0f0f0f"/>
                <w:sz w:val="16"/>
                <w:szCs w:val="16"/>
              </w:rPr>
            </w:pPr>
            <w:r w:rsidDel="00000000" w:rsidR="00000000" w:rsidRPr="00000000">
              <w:rPr>
                <w:color w:val="0f0f0f"/>
                <w:sz w:val="16"/>
                <w:szCs w:val="16"/>
                <w:rtl w:val="0"/>
              </w:rPr>
              <w:t xml:space="preserve">◻</w:t>
            </w:r>
          </w:p>
        </w:tc>
        <w:tc>
          <w:tcPr>
            <w:shd w:fill="f2f2f2" w:val="clear"/>
          </w:tcPr>
          <w:p w:rsidR="00000000" w:rsidDel="00000000" w:rsidP="00000000" w:rsidRDefault="00000000" w:rsidRPr="00000000" w14:paraId="000000C6">
            <w:pPr>
              <w:widowControl w:val="0"/>
              <w:numPr>
                <w:ilvl w:val="0"/>
                <w:numId w:val="3"/>
              </w:numPr>
              <w:spacing w:after="220" w:line="240" w:lineRule="auto"/>
              <w:ind w:left="360"/>
              <w:rPr>
                <w:rFonts w:ascii="Times New Roman" w:cs="Times New Roman" w:eastAsia="Times New Roman" w:hAnsi="Times New Roman"/>
                <w:b w:val="1"/>
                <w:color w:val="ffffff"/>
                <w:sz w:val="16"/>
                <w:szCs w:val="16"/>
              </w:rPr>
            </w:pPr>
            <w:r w:rsidDel="00000000" w:rsidR="00000000" w:rsidRPr="00000000">
              <w:rPr>
                <w:color w:val="000000"/>
                <w:sz w:val="16"/>
                <w:szCs w:val="16"/>
                <w:rtl w:val="0"/>
              </w:rPr>
              <w:t xml:space="preserve">General guidance</w:t>
            </w:r>
            <w:r w:rsidDel="00000000" w:rsidR="00000000" w:rsidRPr="00000000">
              <w:rPr>
                <w:b w:val="0"/>
                <w:color w:val="000000"/>
                <w:sz w:val="16"/>
                <w:szCs w:val="16"/>
                <w:rtl w:val="0"/>
              </w:rPr>
              <w:t xml:space="preserve">: Token must meet initial condition and either (or both) of limbs (i) and (ii); otherwise tick “</w:t>
            </w:r>
            <w:r w:rsidDel="00000000" w:rsidR="00000000" w:rsidRPr="00000000">
              <w:rPr>
                <w:b w:val="0"/>
                <w:i w:val="1"/>
                <w:color w:val="000000"/>
                <w:sz w:val="16"/>
                <w:szCs w:val="16"/>
                <w:rtl w:val="0"/>
              </w:rPr>
              <w:t xml:space="preserve">No</w:t>
            </w:r>
            <w:r w:rsidDel="00000000" w:rsidR="00000000" w:rsidRPr="00000000">
              <w:rPr>
                <w:b w:val="0"/>
                <w:color w:val="000000"/>
                <w:sz w:val="16"/>
                <w:szCs w:val="16"/>
                <w:rtl w:val="0"/>
              </w:rPr>
              <w:t xml:space="preserve">”.</w:t>
            </w:r>
          </w:p>
          <w:p w:rsidR="00000000" w:rsidDel="00000000" w:rsidP="00000000" w:rsidRDefault="00000000" w:rsidRPr="00000000" w14:paraId="000000C7">
            <w:pPr>
              <w:widowControl w:val="0"/>
              <w:numPr>
                <w:ilvl w:val="0"/>
                <w:numId w:val="3"/>
              </w:numPr>
              <w:spacing w:after="220" w:line="240" w:lineRule="auto"/>
              <w:ind w:left="360"/>
              <w:rPr>
                <w:rFonts w:ascii="Times New Roman" w:cs="Times New Roman" w:eastAsia="Times New Roman" w:hAnsi="Times New Roman"/>
                <w:b w:val="1"/>
                <w:color w:val="ffffff"/>
                <w:sz w:val="16"/>
                <w:szCs w:val="16"/>
              </w:rPr>
            </w:pPr>
            <w:r w:rsidDel="00000000" w:rsidR="00000000" w:rsidRPr="00000000">
              <w:rPr>
                <w:color w:val="000000"/>
                <w:sz w:val="16"/>
                <w:szCs w:val="16"/>
                <w:rtl w:val="0"/>
              </w:rPr>
              <w:t xml:space="preserve">Pooling</w:t>
            </w:r>
            <w:r w:rsidDel="00000000" w:rsidR="00000000" w:rsidRPr="00000000">
              <w:rPr>
                <w:b w:val="0"/>
                <w:color w:val="000000"/>
                <w:sz w:val="16"/>
                <w:szCs w:val="16"/>
                <w:rtl w:val="0"/>
              </w:rPr>
              <w:t xml:space="preserve">: the UK/SG definitions of “</w:t>
            </w:r>
            <w:r w:rsidDel="00000000" w:rsidR="00000000" w:rsidRPr="00000000">
              <w:rPr>
                <w:b w:val="0"/>
                <w:i w:val="1"/>
                <w:color w:val="000000"/>
                <w:sz w:val="16"/>
                <w:szCs w:val="16"/>
                <w:rtl w:val="0"/>
              </w:rPr>
              <w:t xml:space="preserve">collective investment scheme</w:t>
            </w:r>
            <w:r w:rsidDel="00000000" w:rsidR="00000000" w:rsidRPr="00000000">
              <w:rPr>
                <w:b w:val="0"/>
                <w:color w:val="000000"/>
                <w:sz w:val="16"/>
                <w:szCs w:val="16"/>
                <w:rtl w:val="0"/>
              </w:rPr>
              <w:t xml:space="preserve">” are broad, and subject to a number of technical exemptions, however it is characteristic of a collective investment scheme that property is pooled to generate profits or income and investors do not have day-to-day control. Accordingly:</w:t>
            </w:r>
          </w:p>
          <w:p w:rsidR="00000000" w:rsidDel="00000000" w:rsidP="00000000" w:rsidRDefault="00000000" w:rsidRPr="00000000" w14:paraId="000000C8">
            <w:pPr>
              <w:widowControl w:val="0"/>
              <w:numPr>
                <w:ilvl w:val="1"/>
                <w:numId w:val="3"/>
              </w:numPr>
              <w:spacing w:after="220" w:line="240" w:lineRule="auto"/>
              <w:ind w:left="1080" w:hanging="360"/>
              <w:rPr>
                <w:rFonts w:ascii="Times New Roman" w:cs="Times New Roman" w:eastAsia="Times New Roman" w:hAnsi="Times New Roman"/>
                <w:b w:val="1"/>
                <w:color w:val="ffffff"/>
                <w:sz w:val="16"/>
                <w:szCs w:val="16"/>
              </w:rPr>
            </w:pPr>
            <w:r w:rsidDel="00000000" w:rsidR="00000000" w:rsidRPr="00000000">
              <w:rPr>
                <w:color w:val="000000"/>
                <w:sz w:val="16"/>
                <w:szCs w:val="16"/>
                <w:rtl w:val="0"/>
              </w:rPr>
              <w:t xml:space="preserve">Staking protocol</w:t>
            </w:r>
            <w:r w:rsidDel="00000000" w:rsidR="00000000" w:rsidRPr="00000000">
              <w:rPr>
                <w:b w:val="0"/>
                <w:color w:val="000000"/>
                <w:sz w:val="16"/>
                <w:szCs w:val="16"/>
                <w:rtl w:val="0"/>
              </w:rPr>
              <w:t xml:space="preserve">: typical staking arrangements in which Token holders retain the ability to manage their own Tokens (e.g. choosing to participate in staking, and to withdraw Tokens from staking) will involve holders retaining day-to-day control – tick “</w:t>
            </w:r>
            <w:r w:rsidDel="00000000" w:rsidR="00000000" w:rsidRPr="00000000">
              <w:rPr>
                <w:b w:val="0"/>
                <w:i w:val="1"/>
                <w:color w:val="000000"/>
                <w:sz w:val="16"/>
                <w:szCs w:val="16"/>
                <w:rtl w:val="0"/>
              </w:rPr>
              <w:t xml:space="preserve">No</w:t>
            </w:r>
            <w:r w:rsidDel="00000000" w:rsidR="00000000" w:rsidRPr="00000000">
              <w:rPr>
                <w:b w:val="0"/>
                <w:color w:val="000000"/>
                <w:sz w:val="16"/>
                <w:szCs w:val="16"/>
                <w:rtl w:val="0"/>
              </w:rPr>
              <w:t xml:space="preserve">” for such Tokens.</w:t>
            </w:r>
          </w:p>
          <w:p w:rsidR="00000000" w:rsidDel="00000000" w:rsidP="00000000" w:rsidRDefault="00000000" w:rsidRPr="00000000" w14:paraId="000000C9">
            <w:pPr>
              <w:widowControl w:val="0"/>
              <w:numPr>
                <w:ilvl w:val="1"/>
                <w:numId w:val="3"/>
              </w:numPr>
              <w:spacing w:after="220" w:line="240" w:lineRule="auto"/>
              <w:ind w:left="1080" w:hanging="360"/>
              <w:rPr>
                <w:rFonts w:ascii="Times New Roman" w:cs="Times New Roman" w:eastAsia="Times New Roman" w:hAnsi="Times New Roman"/>
                <w:b w:val="1"/>
                <w:color w:val="ffffff"/>
                <w:sz w:val="16"/>
                <w:szCs w:val="16"/>
              </w:rPr>
            </w:pPr>
            <w:r w:rsidDel="00000000" w:rsidR="00000000" w:rsidRPr="00000000">
              <w:rPr>
                <w:color w:val="000000"/>
                <w:sz w:val="16"/>
                <w:szCs w:val="16"/>
                <w:rtl w:val="0"/>
              </w:rPr>
              <w:t xml:space="preserve">Investment of Token issuance price</w:t>
            </w:r>
            <w:r w:rsidDel="00000000" w:rsidR="00000000" w:rsidRPr="00000000">
              <w:rPr>
                <w:b w:val="0"/>
                <w:color w:val="000000"/>
                <w:sz w:val="16"/>
                <w:szCs w:val="16"/>
                <w:rtl w:val="0"/>
              </w:rPr>
              <w:t xml:space="preserve">: the mere fact that amounts used to purchase Tokens in an initial offering are used on a pooled basis to generate a profit does not render the arrangements a collective investment scheme – provided the Token holders are not entitled to such profits – tick “</w:t>
            </w:r>
            <w:r w:rsidDel="00000000" w:rsidR="00000000" w:rsidRPr="00000000">
              <w:rPr>
                <w:b w:val="0"/>
                <w:i w:val="1"/>
                <w:color w:val="000000"/>
                <w:sz w:val="16"/>
                <w:szCs w:val="16"/>
                <w:rtl w:val="0"/>
              </w:rPr>
              <w:t xml:space="preserve">No</w:t>
            </w:r>
            <w:r w:rsidDel="00000000" w:rsidR="00000000" w:rsidRPr="00000000">
              <w:rPr>
                <w:b w:val="0"/>
                <w:color w:val="000000"/>
                <w:sz w:val="16"/>
                <w:szCs w:val="16"/>
                <w:rtl w:val="0"/>
              </w:rPr>
              <w:t xml:space="preserve">” for such Tokens. </w:t>
            </w:r>
          </w:p>
          <w:p w:rsidR="00000000" w:rsidDel="00000000" w:rsidP="00000000" w:rsidRDefault="00000000" w:rsidRPr="00000000" w14:paraId="000000CA">
            <w:pPr>
              <w:widowControl w:val="0"/>
              <w:numPr>
                <w:ilvl w:val="0"/>
                <w:numId w:val="3"/>
              </w:numPr>
              <w:spacing w:after="220" w:line="240" w:lineRule="auto"/>
              <w:ind w:left="360"/>
              <w:rPr>
                <w:rFonts w:ascii="Times New Roman" w:cs="Times New Roman" w:eastAsia="Times New Roman" w:hAnsi="Times New Roman"/>
                <w:b w:val="1"/>
                <w:color w:val="ffffff"/>
                <w:sz w:val="16"/>
                <w:szCs w:val="16"/>
              </w:rPr>
            </w:pPr>
            <w:r w:rsidDel="00000000" w:rsidR="00000000" w:rsidRPr="00000000">
              <w:rPr>
                <w:color w:val="000000"/>
                <w:sz w:val="16"/>
                <w:szCs w:val="16"/>
                <w:rtl w:val="0"/>
              </w:rPr>
              <w:t xml:space="preserve">DeFi protocol Tokens (including wrapped versions)</w:t>
            </w:r>
            <w:r w:rsidDel="00000000" w:rsidR="00000000" w:rsidRPr="00000000">
              <w:rPr>
                <w:b w:val="0"/>
                <w:color w:val="000000"/>
                <w:sz w:val="16"/>
                <w:szCs w:val="16"/>
                <w:rtl w:val="0"/>
              </w:rPr>
              <w:t xml:space="preserve">:if a Token represents an ability to benefit from income or profits generated by the pooling of cryptoassets, but this is not a right or entitlement that may be legally enforced by a holder of the Token against a counterparty, it may be possible to determine that this is not sufficient for these factors to be present in relation to the Token – however this is likely to depend on analysis of the facts. In such a scenario, unless there are clear grounds to exclude from the definition, select “</w:t>
            </w:r>
            <w:r w:rsidDel="00000000" w:rsidR="00000000" w:rsidRPr="00000000">
              <w:rPr>
                <w:b w:val="0"/>
                <w:i w:val="1"/>
                <w:color w:val="000000"/>
                <w:sz w:val="16"/>
                <w:szCs w:val="16"/>
                <w:rtl w:val="0"/>
              </w:rPr>
              <w:t xml:space="preserve">Indeterminate</w:t>
            </w:r>
            <w:r w:rsidDel="00000000" w:rsidR="00000000" w:rsidRPr="00000000">
              <w:rPr>
                <w:b w:val="0"/>
                <w:color w:val="000000"/>
                <w:sz w:val="16"/>
                <w:szCs w:val="16"/>
                <w:rtl w:val="0"/>
              </w:rPr>
              <w:t xml:space="preserve">”.</w:t>
            </w:r>
            <w:r w:rsidDel="00000000" w:rsidR="00000000" w:rsidRPr="00000000">
              <w:rPr>
                <w:rtl w:val="0"/>
              </w:rPr>
            </w:r>
          </w:p>
        </w:tc>
      </w:tr>
      <w:tr>
        <w:trPr>
          <w:cantSplit w:val="0"/>
          <w:tblHeader w:val="0"/>
        </w:trPr>
        <w:tc>
          <w:tcPr>
            <w:gridSpan w:val="3"/>
            <w:shd w:fill="f2f2f2" w:val="clear"/>
            <w:vAlign w:val="center"/>
          </w:tcPr>
          <w:p w:rsidR="00000000" w:rsidDel="00000000" w:rsidP="00000000" w:rsidRDefault="00000000" w:rsidRPr="00000000" w14:paraId="000000CB">
            <w:pPr>
              <w:widowControl w:val="0"/>
              <w:spacing w:after="220" w:line="240" w:lineRule="auto"/>
              <w:rPr>
                <w:b w:val="0"/>
                <w:color w:val="000000"/>
                <w:sz w:val="16"/>
                <w:szCs w:val="16"/>
              </w:rPr>
            </w:pPr>
            <w:r w:rsidDel="00000000" w:rsidR="00000000" w:rsidRPr="00000000">
              <w:rPr>
                <w:b w:val="0"/>
                <w:color w:val="000000"/>
                <w:sz w:val="16"/>
                <w:szCs w:val="16"/>
                <w:rtl w:val="0"/>
              </w:rPr>
              <w:t xml:space="preserve">Units in collective investment undertakings</w:t>
            </w:r>
          </w:p>
        </w:tc>
        <w:tc>
          <w:tcPr>
            <w:shd w:fill="f2f2f2" w:val="clear"/>
            <w:vAlign w:val="center"/>
          </w:tcPr>
          <w:p w:rsidR="00000000" w:rsidDel="00000000" w:rsidP="00000000" w:rsidRDefault="00000000" w:rsidRPr="00000000" w14:paraId="000000CE">
            <w:pPr>
              <w:widowControl w:val="0"/>
              <w:spacing w:line="240" w:lineRule="auto"/>
              <w:rPr>
                <w:b w:val="0"/>
                <w:color w:val="000000"/>
                <w:sz w:val="16"/>
                <w:szCs w:val="16"/>
              </w:rPr>
            </w:pPr>
            <w:r w:rsidDel="00000000" w:rsidR="00000000" w:rsidRPr="00000000">
              <w:rPr>
                <w:b w:val="0"/>
                <w:color w:val="000000"/>
                <w:sz w:val="16"/>
                <w:szCs w:val="16"/>
                <w:rtl w:val="0"/>
              </w:rPr>
              <w:t xml:space="preserve">Does the Token represent rights or entitlements to profits or income arising from an entity that: </w:t>
            </w:r>
          </w:p>
          <w:p w:rsidR="00000000" w:rsidDel="00000000" w:rsidP="00000000" w:rsidRDefault="00000000" w:rsidRPr="00000000" w14:paraId="000000CF">
            <w:pPr>
              <w:widowControl w:val="0"/>
              <w:spacing w:line="240" w:lineRule="auto"/>
              <w:rPr>
                <w:b w:val="0"/>
                <w:color w:val="000000"/>
                <w:sz w:val="16"/>
                <w:szCs w:val="16"/>
              </w:rPr>
            </w:pPr>
            <w:r w:rsidDel="00000000" w:rsidR="00000000" w:rsidRPr="00000000">
              <w:rPr>
                <w:rtl w:val="0"/>
              </w:rPr>
            </w:r>
          </w:p>
          <w:p w:rsidR="00000000" w:rsidDel="00000000" w:rsidP="00000000" w:rsidRDefault="00000000" w:rsidRPr="00000000" w14:paraId="000000D0">
            <w:pPr>
              <w:widowControl w:val="0"/>
              <w:numPr>
                <w:ilvl w:val="0"/>
                <w:numId w:val="6"/>
              </w:numPr>
              <w:spacing w:line="240" w:lineRule="auto"/>
              <w:ind w:left="720" w:hanging="360"/>
              <w:rPr>
                <w:rFonts w:ascii="Times New Roman" w:cs="Times New Roman" w:eastAsia="Times New Roman" w:hAnsi="Times New Roman"/>
                <w:b w:val="1"/>
                <w:color w:val="ffffff"/>
                <w:sz w:val="16"/>
                <w:szCs w:val="16"/>
              </w:rPr>
            </w:pPr>
            <w:r w:rsidDel="00000000" w:rsidR="00000000" w:rsidRPr="00000000">
              <w:rPr>
                <w:b w:val="0"/>
                <w:color w:val="000000"/>
                <w:sz w:val="16"/>
                <w:szCs w:val="16"/>
                <w:rtl w:val="0"/>
              </w:rPr>
              <w:t xml:space="preserve">has no general industrial or commercial purpose; and</w:t>
            </w:r>
          </w:p>
          <w:p w:rsidR="00000000" w:rsidDel="00000000" w:rsidP="00000000" w:rsidRDefault="00000000" w:rsidRPr="00000000" w14:paraId="000000D1">
            <w:pPr>
              <w:widowControl w:val="0"/>
              <w:spacing w:line="240" w:lineRule="auto"/>
              <w:ind w:left="720" w:firstLine="0"/>
              <w:rPr>
                <w:b w:val="0"/>
                <w:color w:val="000000"/>
                <w:sz w:val="16"/>
                <w:szCs w:val="16"/>
              </w:rPr>
            </w:pPr>
            <w:r w:rsidDel="00000000" w:rsidR="00000000" w:rsidRPr="00000000">
              <w:rPr>
                <w:rtl w:val="0"/>
              </w:rPr>
            </w:r>
          </w:p>
          <w:p w:rsidR="00000000" w:rsidDel="00000000" w:rsidP="00000000" w:rsidRDefault="00000000" w:rsidRPr="00000000" w14:paraId="000000D2">
            <w:pPr>
              <w:widowControl w:val="0"/>
              <w:numPr>
                <w:ilvl w:val="0"/>
                <w:numId w:val="6"/>
              </w:numPr>
              <w:spacing w:line="240" w:lineRule="auto"/>
              <w:ind w:left="720" w:hanging="360"/>
              <w:rPr>
                <w:rFonts w:ascii="Times New Roman" w:cs="Times New Roman" w:eastAsia="Times New Roman" w:hAnsi="Times New Roman"/>
                <w:b w:val="1"/>
                <w:color w:val="ffffff"/>
                <w:sz w:val="16"/>
                <w:szCs w:val="16"/>
              </w:rPr>
            </w:pPr>
            <w:r w:rsidDel="00000000" w:rsidR="00000000" w:rsidRPr="00000000">
              <w:rPr>
                <w:b w:val="0"/>
                <w:color w:val="000000"/>
                <w:sz w:val="16"/>
                <w:szCs w:val="16"/>
                <w:rtl w:val="0"/>
              </w:rPr>
              <w:t xml:space="preserve">pools together capital raised from its investors for the purpose of investment with a view to generating a pooled return for those investors,</w:t>
            </w:r>
          </w:p>
          <w:p w:rsidR="00000000" w:rsidDel="00000000" w:rsidP="00000000" w:rsidRDefault="00000000" w:rsidRPr="00000000" w14:paraId="000000D3">
            <w:pPr>
              <w:widowControl w:val="0"/>
              <w:spacing w:line="240" w:lineRule="auto"/>
              <w:rPr>
                <w:b w:val="0"/>
                <w:color w:val="000000"/>
                <w:sz w:val="16"/>
                <w:szCs w:val="16"/>
              </w:rPr>
            </w:pPr>
            <w:r w:rsidDel="00000000" w:rsidR="00000000" w:rsidRPr="00000000">
              <w:rPr>
                <w:rtl w:val="0"/>
              </w:rPr>
            </w:r>
          </w:p>
          <w:p w:rsidR="00000000" w:rsidDel="00000000" w:rsidP="00000000" w:rsidRDefault="00000000" w:rsidRPr="00000000" w14:paraId="000000D4">
            <w:pPr>
              <w:widowControl w:val="0"/>
              <w:spacing w:line="240" w:lineRule="auto"/>
              <w:rPr>
                <w:b w:val="0"/>
                <w:color w:val="000000"/>
                <w:sz w:val="16"/>
                <w:szCs w:val="16"/>
              </w:rPr>
            </w:pPr>
            <w:r w:rsidDel="00000000" w:rsidR="00000000" w:rsidRPr="00000000">
              <w:rPr>
                <w:b w:val="0"/>
                <w:color w:val="000000"/>
                <w:sz w:val="16"/>
                <w:szCs w:val="16"/>
                <w:rtl w:val="0"/>
              </w:rPr>
              <w:t xml:space="preserve">in circumstances where the Tokenholders as a collective group do not have day-to-day discretion or control?</w:t>
            </w:r>
          </w:p>
          <w:p w:rsidR="00000000" w:rsidDel="00000000" w:rsidP="00000000" w:rsidRDefault="00000000" w:rsidRPr="00000000" w14:paraId="000000D5">
            <w:pPr>
              <w:widowControl w:val="0"/>
              <w:spacing w:line="240" w:lineRule="auto"/>
              <w:rPr>
                <w:b w:val="0"/>
                <w:color w:val="000000"/>
                <w:sz w:val="16"/>
                <w:szCs w:val="16"/>
              </w:rPr>
            </w:pPr>
            <w:r w:rsidDel="00000000" w:rsidR="00000000" w:rsidRPr="00000000">
              <w:rPr>
                <w:rtl w:val="0"/>
              </w:rPr>
            </w:r>
          </w:p>
        </w:tc>
        <w:tc>
          <w:tcPr>
            <w:shd w:fill="c00000" w:val="clear"/>
            <w:vAlign w:val="center"/>
          </w:tcPr>
          <w:p w:rsidR="00000000" w:rsidDel="00000000" w:rsidP="00000000" w:rsidRDefault="00000000" w:rsidRPr="00000000" w14:paraId="000000D6">
            <w:pPr>
              <w:spacing w:line="240" w:lineRule="auto"/>
              <w:jc w:val="center"/>
              <w:rPr>
                <w:sz w:val="16"/>
                <w:szCs w:val="16"/>
              </w:rPr>
            </w:pPr>
            <w:r w:rsidDel="00000000" w:rsidR="00000000" w:rsidRPr="00000000">
              <w:rPr>
                <w:sz w:val="16"/>
                <w:szCs w:val="16"/>
                <w:rtl w:val="0"/>
              </w:rPr>
              <w:t xml:space="preserve">◻</w:t>
            </w:r>
          </w:p>
        </w:tc>
        <w:tc>
          <w:tcPr>
            <w:shd w:fill="70ad47" w:val="clear"/>
            <w:vAlign w:val="center"/>
          </w:tcPr>
          <w:p w:rsidR="00000000" w:rsidDel="00000000" w:rsidP="00000000" w:rsidRDefault="00000000" w:rsidRPr="00000000" w14:paraId="000000D7">
            <w:pPr>
              <w:spacing w:line="240" w:lineRule="auto"/>
              <w:jc w:val="center"/>
              <w:rPr>
                <w:color w:val="0f0f0f"/>
                <w:sz w:val="16"/>
                <w:szCs w:val="16"/>
              </w:rPr>
            </w:pPr>
            <w:r w:rsidDel="00000000" w:rsidR="00000000" w:rsidRPr="00000000">
              <w:rPr>
                <w:color w:val="0f0f0f"/>
                <w:sz w:val="16"/>
                <w:szCs w:val="16"/>
                <w:rtl w:val="0"/>
              </w:rPr>
              <w:t xml:space="preserve">◻</w:t>
            </w:r>
          </w:p>
        </w:tc>
        <w:tc>
          <w:tcPr>
            <w:shd w:fill="ffc000" w:val="clear"/>
            <w:vAlign w:val="center"/>
          </w:tcPr>
          <w:p w:rsidR="00000000" w:rsidDel="00000000" w:rsidP="00000000" w:rsidRDefault="00000000" w:rsidRPr="00000000" w14:paraId="000000D8">
            <w:pPr>
              <w:spacing w:line="240" w:lineRule="auto"/>
              <w:jc w:val="center"/>
              <w:rPr>
                <w:color w:val="0f0f0f"/>
                <w:sz w:val="16"/>
                <w:szCs w:val="16"/>
              </w:rPr>
            </w:pPr>
            <w:r w:rsidDel="00000000" w:rsidR="00000000" w:rsidRPr="00000000">
              <w:rPr>
                <w:color w:val="0f0f0f"/>
                <w:sz w:val="16"/>
                <w:szCs w:val="16"/>
                <w:rtl w:val="0"/>
              </w:rPr>
              <w:t xml:space="preserve">◻</w:t>
            </w:r>
          </w:p>
        </w:tc>
        <w:tc>
          <w:tcPr>
            <w:shd w:fill="f2f2f2" w:val="clear"/>
          </w:tcPr>
          <w:p w:rsidR="00000000" w:rsidDel="00000000" w:rsidP="00000000" w:rsidRDefault="00000000" w:rsidRPr="00000000" w14:paraId="000000D9">
            <w:pPr>
              <w:widowControl w:val="0"/>
              <w:numPr>
                <w:ilvl w:val="0"/>
                <w:numId w:val="3"/>
              </w:numPr>
              <w:spacing w:after="220" w:line="240" w:lineRule="auto"/>
              <w:ind w:left="360"/>
              <w:rPr>
                <w:rFonts w:ascii="Times New Roman" w:cs="Times New Roman" w:eastAsia="Times New Roman" w:hAnsi="Times New Roman"/>
                <w:b w:val="1"/>
                <w:color w:val="ffffff"/>
                <w:sz w:val="16"/>
                <w:szCs w:val="16"/>
              </w:rPr>
            </w:pPr>
            <w:r w:rsidDel="00000000" w:rsidR="00000000" w:rsidRPr="00000000">
              <w:rPr>
                <w:color w:val="000000"/>
                <w:sz w:val="16"/>
                <w:szCs w:val="16"/>
                <w:rtl w:val="0"/>
              </w:rPr>
              <w:t xml:space="preserve">DeFi protocol Tokens (including wrapped versions)</w:t>
            </w:r>
            <w:r w:rsidDel="00000000" w:rsidR="00000000" w:rsidRPr="00000000">
              <w:rPr>
                <w:b w:val="0"/>
                <w:color w:val="000000"/>
                <w:sz w:val="16"/>
                <w:szCs w:val="16"/>
                <w:rtl w:val="0"/>
              </w:rPr>
              <w:t xml:space="preserve">:if a Token represents an ability to benefit from income or profits generated by the pooling of cryptoassets, but this is not a right or entitlement that may be legally enforced by a holder of the Token against a counterparty, it may be possible to determine that this is not sufficient for these factors to be present in relation to the Token – however this is likely to depend on analysis of the facts. In such a scenario, unless there are clear grounds to exclude from the definition, select “</w:t>
            </w:r>
            <w:r w:rsidDel="00000000" w:rsidR="00000000" w:rsidRPr="00000000">
              <w:rPr>
                <w:b w:val="0"/>
                <w:i w:val="1"/>
                <w:color w:val="000000"/>
                <w:sz w:val="16"/>
                <w:szCs w:val="16"/>
                <w:rtl w:val="0"/>
              </w:rPr>
              <w:t xml:space="preserve">Indeterminate</w:t>
            </w:r>
            <w:r w:rsidDel="00000000" w:rsidR="00000000" w:rsidRPr="00000000">
              <w:rPr>
                <w:b w:val="0"/>
                <w:color w:val="000000"/>
                <w:sz w:val="16"/>
                <w:szCs w:val="16"/>
                <w:rtl w:val="0"/>
              </w:rPr>
              <w:t xml:space="preserve">”.</w:t>
            </w:r>
            <w:r w:rsidDel="00000000" w:rsidR="00000000" w:rsidRPr="00000000">
              <w:rPr>
                <w:rtl w:val="0"/>
              </w:rPr>
            </w:r>
          </w:p>
        </w:tc>
      </w:tr>
      <w:tr>
        <w:trPr>
          <w:cantSplit w:val="0"/>
          <w:tblHeader w:val="0"/>
        </w:trPr>
        <w:tc>
          <w:tcPr>
            <w:gridSpan w:val="3"/>
            <w:shd w:fill="auto" w:val="clear"/>
            <w:vAlign w:val="center"/>
          </w:tcPr>
          <w:p w:rsidR="00000000" w:rsidDel="00000000" w:rsidP="00000000" w:rsidRDefault="00000000" w:rsidRPr="00000000" w14:paraId="000000DA">
            <w:pPr>
              <w:widowControl w:val="0"/>
              <w:spacing w:after="220" w:line="240" w:lineRule="auto"/>
              <w:rPr>
                <w:b w:val="0"/>
                <w:color w:val="000000"/>
                <w:sz w:val="16"/>
                <w:szCs w:val="16"/>
                <w:highlight w:val="yellow"/>
              </w:rPr>
            </w:pPr>
            <w:r w:rsidDel="00000000" w:rsidR="00000000" w:rsidRPr="00000000">
              <w:rPr>
                <w:b w:val="0"/>
                <w:color w:val="000000"/>
                <w:sz w:val="16"/>
                <w:szCs w:val="16"/>
                <w:rtl w:val="0"/>
              </w:rPr>
              <w:t xml:space="preserve">Electronic money</w:t>
            </w:r>
            <w:r w:rsidDel="00000000" w:rsidR="00000000" w:rsidRPr="00000000">
              <w:rPr>
                <w:rtl w:val="0"/>
              </w:rPr>
            </w:r>
          </w:p>
        </w:tc>
        <w:tc>
          <w:tcPr>
            <w:shd w:fill="auto" w:val="clear"/>
            <w:vAlign w:val="center"/>
          </w:tcPr>
          <w:p w:rsidR="00000000" w:rsidDel="00000000" w:rsidP="00000000" w:rsidRDefault="00000000" w:rsidRPr="00000000" w14:paraId="000000DD">
            <w:pPr>
              <w:widowControl w:val="0"/>
              <w:spacing w:after="220" w:line="240" w:lineRule="auto"/>
              <w:jc w:val="both"/>
              <w:rPr>
                <w:b w:val="0"/>
                <w:color w:val="000000"/>
                <w:sz w:val="16"/>
                <w:szCs w:val="16"/>
              </w:rPr>
            </w:pPr>
            <w:r w:rsidDel="00000000" w:rsidR="00000000" w:rsidRPr="00000000">
              <w:rPr>
                <w:b w:val="0"/>
                <w:color w:val="000000"/>
                <w:sz w:val="16"/>
                <w:szCs w:val="16"/>
                <w:rtl w:val="0"/>
              </w:rPr>
              <w:t xml:space="preserve">Does the Token represent a claim on the issuer for electronically stored monetary value (i.e., stored value representing fiat currency or other legal tender), which is issued on receipt of funds for the purpose of making payment transactions and is accepted by a person other than the issuer?</w:t>
            </w:r>
          </w:p>
        </w:tc>
        <w:tc>
          <w:tcPr>
            <w:shd w:fill="c00000" w:val="clear"/>
            <w:vAlign w:val="center"/>
          </w:tcPr>
          <w:p w:rsidR="00000000" w:rsidDel="00000000" w:rsidP="00000000" w:rsidRDefault="00000000" w:rsidRPr="00000000" w14:paraId="000000DE">
            <w:pPr>
              <w:spacing w:line="240" w:lineRule="auto"/>
              <w:jc w:val="center"/>
              <w:rPr>
                <w:sz w:val="16"/>
                <w:szCs w:val="16"/>
              </w:rPr>
            </w:pPr>
            <w:r w:rsidDel="00000000" w:rsidR="00000000" w:rsidRPr="00000000">
              <w:rPr>
                <w:sz w:val="16"/>
                <w:szCs w:val="16"/>
                <w:rtl w:val="0"/>
              </w:rPr>
              <w:t xml:space="preserve">◻</w:t>
            </w:r>
          </w:p>
        </w:tc>
        <w:tc>
          <w:tcPr>
            <w:shd w:fill="00b050" w:val="clear"/>
            <w:vAlign w:val="center"/>
          </w:tcPr>
          <w:p w:rsidR="00000000" w:rsidDel="00000000" w:rsidP="00000000" w:rsidRDefault="00000000" w:rsidRPr="00000000" w14:paraId="000000DF">
            <w:pPr>
              <w:spacing w:line="240" w:lineRule="auto"/>
              <w:jc w:val="center"/>
              <w:rPr>
                <w:color w:val="0f0f0f"/>
                <w:sz w:val="16"/>
                <w:szCs w:val="16"/>
              </w:rPr>
            </w:pPr>
            <w:r w:rsidDel="00000000" w:rsidR="00000000" w:rsidRPr="00000000">
              <w:rPr>
                <w:color w:val="0f0f0f"/>
                <w:sz w:val="16"/>
                <w:szCs w:val="16"/>
                <w:rtl w:val="0"/>
              </w:rPr>
              <w:t xml:space="preserve">◻</w:t>
            </w:r>
          </w:p>
        </w:tc>
        <w:tc>
          <w:tcPr>
            <w:shd w:fill="ffc000" w:val="clear"/>
            <w:vAlign w:val="center"/>
          </w:tcPr>
          <w:p w:rsidR="00000000" w:rsidDel="00000000" w:rsidP="00000000" w:rsidRDefault="00000000" w:rsidRPr="00000000" w14:paraId="000000E0">
            <w:pPr>
              <w:spacing w:line="240" w:lineRule="auto"/>
              <w:jc w:val="center"/>
              <w:rPr>
                <w:color w:val="0f0f0f"/>
                <w:sz w:val="16"/>
                <w:szCs w:val="16"/>
              </w:rPr>
            </w:pPr>
            <w:r w:rsidDel="00000000" w:rsidR="00000000" w:rsidRPr="00000000">
              <w:rPr>
                <w:color w:val="0f0f0f"/>
                <w:sz w:val="16"/>
                <w:szCs w:val="16"/>
                <w:rtl w:val="0"/>
              </w:rPr>
              <w:t xml:space="preserve">◻</w:t>
            </w:r>
          </w:p>
        </w:tc>
        <w:tc>
          <w:tcPr/>
          <w:p w:rsidR="00000000" w:rsidDel="00000000" w:rsidP="00000000" w:rsidRDefault="00000000" w:rsidRPr="00000000" w14:paraId="000000E1">
            <w:pPr>
              <w:widowControl w:val="0"/>
              <w:numPr>
                <w:ilvl w:val="0"/>
                <w:numId w:val="3"/>
              </w:numPr>
              <w:spacing w:after="220" w:line="240" w:lineRule="auto"/>
              <w:ind w:left="360"/>
              <w:rPr>
                <w:rFonts w:ascii="Times New Roman" w:cs="Times New Roman" w:eastAsia="Times New Roman" w:hAnsi="Times New Roman"/>
                <w:b w:val="1"/>
                <w:color w:val="ffffff"/>
                <w:sz w:val="16"/>
                <w:szCs w:val="16"/>
              </w:rPr>
            </w:pPr>
            <w:r w:rsidDel="00000000" w:rsidR="00000000" w:rsidRPr="00000000">
              <w:rPr>
                <w:color w:val="000000"/>
                <w:sz w:val="16"/>
                <w:szCs w:val="16"/>
                <w:rtl w:val="0"/>
              </w:rPr>
              <w:t xml:space="preserve">Claim for stored monetary value</w:t>
            </w:r>
            <w:r w:rsidDel="00000000" w:rsidR="00000000" w:rsidRPr="00000000">
              <w:rPr>
                <w:b w:val="0"/>
                <w:color w:val="000000"/>
                <w:sz w:val="16"/>
                <w:szCs w:val="16"/>
                <w:rtl w:val="0"/>
              </w:rPr>
              <w:t xml:space="preserve">: the key question is whether or not Token holders have a right or entitlement that is legally enforceable against the issuer to receive the fiat currency represented by the Tokens. If there is no such claim, tick “</w:t>
            </w:r>
            <w:r w:rsidDel="00000000" w:rsidR="00000000" w:rsidRPr="00000000">
              <w:rPr>
                <w:b w:val="0"/>
                <w:i w:val="1"/>
                <w:color w:val="000000"/>
                <w:sz w:val="16"/>
                <w:szCs w:val="16"/>
                <w:rtl w:val="0"/>
              </w:rPr>
              <w:t xml:space="preserve">No</w:t>
            </w:r>
            <w:r w:rsidDel="00000000" w:rsidR="00000000" w:rsidRPr="00000000">
              <w:rPr>
                <w:b w:val="0"/>
                <w:color w:val="000000"/>
                <w:sz w:val="16"/>
                <w:szCs w:val="16"/>
                <w:rtl w:val="0"/>
              </w:rPr>
              <w:t xml:space="preserve">”.</w:t>
            </w:r>
          </w:p>
          <w:p w:rsidR="00000000" w:rsidDel="00000000" w:rsidP="00000000" w:rsidRDefault="00000000" w:rsidRPr="00000000" w14:paraId="000000E2">
            <w:pPr>
              <w:widowControl w:val="0"/>
              <w:numPr>
                <w:ilvl w:val="0"/>
                <w:numId w:val="3"/>
              </w:numPr>
              <w:spacing w:after="220" w:line="240" w:lineRule="auto"/>
              <w:ind w:left="360"/>
              <w:rPr>
                <w:rFonts w:ascii="Times New Roman" w:cs="Times New Roman" w:eastAsia="Times New Roman" w:hAnsi="Times New Roman"/>
                <w:b w:val="1"/>
                <w:color w:val="ffffff"/>
                <w:sz w:val="16"/>
                <w:szCs w:val="16"/>
              </w:rPr>
            </w:pPr>
            <w:r w:rsidDel="00000000" w:rsidR="00000000" w:rsidRPr="00000000">
              <w:rPr>
                <w:color w:val="000000"/>
                <w:sz w:val="16"/>
                <w:szCs w:val="16"/>
                <w:rtl w:val="0"/>
              </w:rPr>
              <w:t xml:space="preserve">Fiat-backed stablecoins</w:t>
            </w:r>
            <w:r w:rsidDel="00000000" w:rsidR="00000000" w:rsidRPr="00000000">
              <w:rPr>
                <w:b w:val="0"/>
                <w:color w:val="000000"/>
                <w:sz w:val="16"/>
                <w:szCs w:val="16"/>
                <w:rtl w:val="0"/>
              </w:rPr>
              <w:t xml:space="preserve">:</w:t>
            </w:r>
            <w:r w:rsidDel="00000000" w:rsidR="00000000" w:rsidRPr="00000000">
              <w:rPr>
                <w:color w:val="000000"/>
                <w:sz w:val="16"/>
                <w:szCs w:val="16"/>
                <w:rtl w:val="0"/>
              </w:rPr>
              <w:t xml:space="preserve"> </w:t>
            </w:r>
            <w:r w:rsidDel="00000000" w:rsidR="00000000" w:rsidRPr="00000000">
              <w:rPr>
                <w:b w:val="0"/>
                <w:color w:val="000000"/>
                <w:sz w:val="16"/>
                <w:szCs w:val="16"/>
                <w:rtl w:val="0"/>
              </w:rPr>
              <w:t xml:space="preserve">this factor may often appear to be present in relation to fiat-backed stablecoins – however, it may be possible to rule out certain such Tokens constituting electronic money based on their precise structure (e.g., if there is no claim for stored monetary value – such as under a market maker model in which the price is stabilised by trading activity by a third party market maker conducting stabilisation operations – or if the Token is backed by something else in addition to fiat currency, such as commodities). If the structure of a fiat-backed stablecoin is complex or raises any doubt as to whether this factor is present, tick “</w:t>
            </w:r>
            <w:r w:rsidDel="00000000" w:rsidR="00000000" w:rsidRPr="00000000">
              <w:rPr>
                <w:b w:val="0"/>
                <w:i w:val="1"/>
                <w:color w:val="000000"/>
                <w:sz w:val="16"/>
                <w:szCs w:val="16"/>
                <w:rtl w:val="0"/>
              </w:rPr>
              <w:t xml:space="preserve">Indeterminate</w:t>
            </w:r>
            <w:r w:rsidDel="00000000" w:rsidR="00000000" w:rsidRPr="00000000">
              <w:rPr>
                <w:b w:val="0"/>
                <w:color w:val="000000"/>
                <w:sz w:val="16"/>
                <w:szCs w:val="16"/>
                <w:rtl w:val="0"/>
              </w:rPr>
              <w:t xml:space="preserve">” for such Tokens. </w:t>
            </w:r>
          </w:p>
          <w:p w:rsidR="00000000" w:rsidDel="00000000" w:rsidP="00000000" w:rsidRDefault="00000000" w:rsidRPr="00000000" w14:paraId="000000E3">
            <w:pPr>
              <w:widowControl w:val="0"/>
              <w:numPr>
                <w:ilvl w:val="0"/>
                <w:numId w:val="3"/>
              </w:numPr>
              <w:spacing w:after="220" w:line="240" w:lineRule="auto"/>
              <w:ind w:left="360"/>
              <w:rPr>
                <w:rFonts w:ascii="Times New Roman" w:cs="Times New Roman" w:eastAsia="Times New Roman" w:hAnsi="Times New Roman"/>
                <w:b w:val="1"/>
                <w:color w:val="ffffff"/>
                <w:sz w:val="16"/>
                <w:szCs w:val="16"/>
              </w:rPr>
            </w:pPr>
            <w:r w:rsidDel="00000000" w:rsidR="00000000" w:rsidRPr="00000000">
              <w:rPr>
                <w:color w:val="000000"/>
                <w:sz w:val="16"/>
                <w:szCs w:val="16"/>
                <w:rtl w:val="0"/>
              </w:rPr>
              <w:t xml:space="preserve">Algorithmic stablecoins</w:t>
            </w:r>
            <w:r w:rsidDel="00000000" w:rsidR="00000000" w:rsidRPr="00000000">
              <w:rPr>
                <w:b w:val="0"/>
                <w:color w:val="000000"/>
                <w:sz w:val="16"/>
                <w:szCs w:val="16"/>
                <w:rtl w:val="0"/>
              </w:rPr>
              <w:t xml:space="preserve">: stablecoins that aim to maintain stable values through algorithms that adjust the supply of the stablecoins in response to changes in supply/demand are likely to be structured in a manner that does not involve the storing of monetary value represented by a claim on an issuer or the token being issued on receipt of funds. Accordingly, algorithmic tokens are typically unlikely to amount to electronic money.</w:t>
            </w:r>
          </w:p>
        </w:tc>
      </w:tr>
      <w:tr>
        <w:trPr>
          <w:cantSplit w:val="0"/>
          <w:tblHeader w:val="0"/>
        </w:trPr>
        <w:tc>
          <w:tcPr>
            <w:gridSpan w:val="3"/>
            <w:shd w:fill="f2f2f2" w:val="clear"/>
            <w:vAlign w:val="center"/>
          </w:tcPr>
          <w:p w:rsidR="00000000" w:rsidDel="00000000" w:rsidP="00000000" w:rsidRDefault="00000000" w:rsidRPr="00000000" w14:paraId="000000E4">
            <w:pPr>
              <w:widowControl w:val="0"/>
              <w:spacing w:after="220" w:line="240" w:lineRule="auto"/>
              <w:rPr>
                <w:b w:val="0"/>
                <w:color w:val="000000"/>
                <w:sz w:val="16"/>
                <w:szCs w:val="16"/>
              </w:rPr>
            </w:pPr>
            <w:r w:rsidDel="00000000" w:rsidR="00000000" w:rsidRPr="00000000">
              <w:rPr>
                <w:b w:val="0"/>
                <w:color w:val="000000"/>
                <w:sz w:val="16"/>
                <w:szCs w:val="16"/>
                <w:rtl w:val="0"/>
              </w:rPr>
              <w:t xml:space="preserve">Digital payment token (SG only)</w:t>
            </w:r>
          </w:p>
        </w:tc>
        <w:tc>
          <w:tcPr>
            <w:shd w:fill="f2f2f2" w:val="clear"/>
            <w:vAlign w:val="center"/>
          </w:tcPr>
          <w:p w:rsidR="00000000" w:rsidDel="00000000" w:rsidP="00000000" w:rsidRDefault="00000000" w:rsidRPr="00000000" w14:paraId="000000E7">
            <w:pPr>
              <w:widowControl w:val="0"/>
              <w:spacing w:after="220" w:line="240" w:lineRule="auto"/>
              <w:jc w:val="both"/>
              <w:rPr>
                <w:b w:val="0"/>
                <w:color w:val="000000"/>
                <w:sz w:val="16"/>
                <w:szCs w:val="16"/>
              </w:rPr>
            </w:pPr>
            <w:r w:rsidDel="00000000" w:rsidR="00000000" w:rsidRPr="00000000">
              <w:rPr>
                <w:rtl w:val="0"/>
              </w:rPr>
            </w:r>
          </w:p>
          <w:p w:rsidR="00000000" w:rsidDel="00000000" w:rsidP="00000000" w:rsidRDefault="00000000" w:rsidRPr="00000000" w14:paraId="000000E8">
            <w:pPr>
              <w:widowControl w:val="0"/>
              <w:spacing w:after="220" w:line="240" w:lineRule="auto"/>
              <w:jc w:val="both"/>
              <w:rPr>
                <w:b w:val="0"/>
                <w:color w:val="000000"/>
                <w:sz w:val="16"/>
                <w:szCs w:val="16"/>
              </w:rPr>
            </w:pPr>
            <w:r w:rsidDel="00000000" w:rsidR="00000000" w:rsidRPr="00000000">
              <w:rPr>
                <w:b w:val="0"/>
                <w:color w:val="000000"/>
                <w:sz w:val="16"/>
                <w:szCs w:val="16"/>
                <w:rtl w:val="0"/>
              </w:rPr>
              <w:t xml:space="preserve">Is the Token a digital representation of value that: </w:t>
            </w:r>
          </w:p>
          <w:p w:rsidR="00000000" w:rsidDel="00000000" w:rsidP="00000000" w:rsidRDefault="00000000" w:rsidRPr="00000000" w14:paraId="000000E9">
            <w:pPr>
              <w:widowControl w:val="0"/>
              <w:spacing w:after="220" w:line="240" w:lineRule="auto"/>
              <w:jc w:val="both"/>
              <w:rPr>
                <w:b w:val="0"/>
                <w:color w:val="000000"/>
                <w:sz w:val="16"/>
                <w:szCs w:val="16"/>
              </w:rPr>
            </w:pPr>
            <w:r w:rsidDel="00000000" w:rsidR="00000000" w:rsidRPr="00000000">
              <w:rPr>
                <w:b w:val="0"/>
                <w:color w:val="000000"/>
                <w:sz w:val="16"/>
                <w:szCs w:val="16"/>
                <w:rtl w:val="0"/>
              </w:rPr>
              <w:t xml:space="preserve">(i) is expressed as a unit; </w:t>
            </w:r>
          </w:p>
          <w:p w:rsidR="00000000" w:rsidDel="00000000" w:rsidP="00000000" w:rsidRDefault="00000000" w:rsidRPr="00000000" w14:paraId="000000EA">
            <w:pPr>
              <w:widowControl w:val="0"/>
              <w:spacing w:after="220" w:line="240" w:lineRule="auto"/>
              <w:jc w:val="both"/>
              <w:rPr>
                <w:b w:val="0"/>
                <w:color w:val="000000"/>
                <w:sz w:val="16"/>
                <w:szCs w:val="16"/>
              </w:rPr>
            </w:pPr>
            <w:r w:rsidDel="00000000" w:rsidR="00000000" w:rsidRPr="00000000">
              <w:rPr>
                <w:b w:val="0"/>
                <w:color w:val="000000"/>
                <w:sz w:val="16"/>
                <w:szCs w:val="16"/>
                <w:rtl w:val="0"/>
              </w:rPr>
              <w:t xml:space="preserve">(ii) is not denominated in any currency, and is not pegged by its issuer to any currency;</w:t>
            </w:r>
          </w:p>
          <w:p w:rsidR="00000000" w:rsidDel="00000000" w:rsidP="00000000" w:rsidRDefault="00000000" w:rsidRPr="00000000" w14:paraId="000000EB">
            <w:pPr>
              <w:widowControl w:val="0"/>
              <w:spacing w:after="220" w:line="240" w:lineRule="auto"/>
              <w:jc w:val="both"/>
              <w:rPr>
                <w:b w:val="0"/>
                <w:color w:val="000000"/>
                <w:sz w:val="16"/>
                <w:szCs w:val="16"/>
              </w:rPr>
            </w:pPr>
            <w:r w:rsidDel="00000000" w:rsidR="00000000" w:rsidRPr="00000000">
              <w:rPr>
                <w:b w:val="0"/>
                <w:color w:val="000000"/>
                <w:sz w:val="16"/>
                <w:szCs w:val="16"/>
                <w:rtl w:val="0"/>
              </w:rPr>
              <w:t xml:space="preserve">(iii) is, or is intended to be, a medium of exchange accepted by the public, or a section of the public, as payment for goods or services or for the discharge of a debt; AND</w:t>
            </w:r>
          </w:p>
          <w:p w:rsidR="00000000" w:rsidDel="00000000" w:rsidP="00000000" w:rsidRDefault="00000000" w:rsidRPr="00000000" w14:paraId="000000EC">
            <w:pPr>
              <w:widowControl w:val="0"/>
              <w:spacing w:line="240" w:lineRule="auto"/>
              <w:rPr>
                <w:b w:val="0"/>
                <w:color w:val="000000"/>
                <w:sz w:val="16"/>
                <w:szCs w:val="16"/>
              </w:rPr>
            </w:pPr>
            <w:r w:rsidDel="00000000" w:rsidR="00000000" w:rsidRPr="00000000">
              <w:rPr>
                <w:b w:val="0"/>
                <w:color w:val="000000"/>
                <w:sz w:val="16"/>
                <w:szCs w:val="16"/>
                <w:rtl w:val="0"/>
              </w:rPr>
              <w:t xml:space="preserve">(d) can be transferred, stored or traded electronically?</w:t>
            </w:r>
          </w:p>
        </w:tc>
        <w:tc>
          <w:tcPr>
            <w:shd w:fill="ffc000" w:val="clear"/>
            <w:vAlign w:val="center"/>
          </w:tcPr>
          <w:p w:rsidR="00000000" w:rsidDel="00000000" w:rsidP="00000000" w:rsidRDefault="00000000" w:rsidRPr="00000000" w14:paraId="000000ED">
            <w:pPr>
              <w:spacing w:line="240" w:lineRule="auto"/>
              <w:jc w:val="center"/>
              <w:rPr>
                <w:color w:val="000000"/>
                <w:sz w:val="16"/>
                <w:szCs w:val="16"/>
              </w:rPr>
            </w:pPr>
            <w:r w:rsidDel="00000000" w:rsidR="00000000" w:rsidRPr="00000000">
              <w:rPr>
                <w:color w:val="000000"/>
                <w:sz w:val="16"/>
                <w:szCs w:val="16"/>
                <w:rtl w:val="0"/>
              </w:rPr>
              <w:t xml:space="preserve">◻</w:t>
            </w:r>
          </w:p>
        </w:tc>
        <w:tc>
          <w:tcPr>
            <w:shd w:fill="70ad47" w:val="clear"/>
            <w:vAlign w:val="center"/>
          </w:tcPr>
          <w:p w:rsidR="00000000" w:rsidDel="00000000" w:rsidP="00000000" w:rsidRDefault="00000000" w:rsidRPr="00000000" w14:paraId="000000EE">
            <w:pPr>
              <w:spacing w:line="240" w:lineRule="auto"/>
              <w:jc w:val="center"/>
              <w:rPr>
                <w:color w:val="000000"/>
                <w:sz w:val="16"/>
                <w:szCs w:val="16"/>
              </w:rPr>
            </w:pPr>
            <w:r w:rsidDel="00000000" w:rsidR="00000000" w:rsidRPr="00000000">
              <w:rPr>
                <w:color w:val="000000"/>
                <w:sz w:val="16"/>
                <w:szCs w:val="16"/>
                <w:rtl w:val="0"/>
              </w:rPr>
              <w:t xml:space="preserve">◻</w:t>
            </w:r>
          </w:p>
        </w:tc>
        <w:tc>
          <w:tcPr>
            <w:shd w:fill="ffc000" w:val="clear"/>
            <w:vAlign w:val="center"/>
          </w:tcPr>
          <w:p w:rsidR="00000000" w:rsidDel="00000000" w:rsidP="00000000" w:rsidRDefault="00000000" w:rsidRPr="00000000" w14:paraId="000000EF">
            <w:pPr>
              <w:spacing w:line="240" w:lineRule="auto"/>
              <w:jc w:val="center"/>
              <w:rPr>
                <w:color w:val="000000"/>
                <w:sz w:val="16"/>
                <w:szCs w:val="16"/>
              </w:rPr>
            </w:pPr>
            <w:r w:rsidDel="00000000" w:rsidR="00000000" w:rsidRPr="00000000">
              <w:rPr>
                <w:color w:val="000000"/>
                <w:sz w:val="16"/>
                <w:szCs w:val="16"/>
                <w:rtl w:val="0"/>
              </w:rPr>
              <w:t xml:space="preserve">◻</w:t>
            </w:r>
          </w:p>
        </w:tc>
        <w:tc>
          <w:tcPr>
            <w:shd w:fill="f2f2f2" w:val="clear"/>
          </w:tcPr>
          <w:p w:rsidR="00000000" w:rsidDel="00000000" w:rsidP="00000000" w:rsidRDefault="00000000" w:rsidRPr="00000000" w14:paraId="000000F0">
            <w:pPr>
              <w:widowControl w:val="0"/>
              <w:numPr>
                <w:ilvl w:val="0"/>
                <w:numId w:val="3"/>
              </w:numPr>
              <w:spacing w:after="220" w:line="240" w:lineRule="auto"/>
              <w:ind w:left="360"/>
              <w:rPr>
                <w:rFonts w:ascii="Times New Roman" w:cs="Times New Roman" w:eastAsia="Times New Roman" w:hAnsi="Times New Roman"/>
                <w:b w:val="1"/>
                <w:color w:val="ffffff"/>
                <w:sz w:val="16"/>
                <w:szCs w:val="16"/>
              </w:rPr>
            </w:pPr>
            <w:r w:rsidDel="00000000" w:rsidR="00000000" w:rsidRPr="00000000">
              <w:rPr>
                <w:color w:val="000000"/>
                <w:sz w:val="16"/>
                <w:szCs w:val="16"/>
                <w:rtl w:val="0"/>
              </w:rPr>
              <w:t xml:space="preserve">Tokens pegged by issuer to a currency</w:t>
            </w:r>
            <w:r w:rsidDel="00000000" w:rsidR="00000000" w:rsidRPr="00000000">
              <w:rPr>
                <w:b w:val="0"/>
                <w:color w:val="000000"/>
                <w:sz w:val="16"/>
                <w:szCs w:val="16"/>
                <w:rtl w:val="0"/>
              </w:rPr>
              <w:t xml:space="preserve">: A Token that is pegged by its issuer to any currency is not a digital payment token.  Tick “</w:t>
            </w:r>
            <w:r w:rsidDel="00000000" w:rsidR="00000000" w:rsidRPr="00000000">
              <w:rPr>
                <w:b w:val="0"/>
                <w:i w:val="1"/>
                <w:color w:val="000000"/>
                <w:sz w:val="16"/>
                <w:szCs w:val="16"/>
                <w:rtl w:val="0"/>
              </w:rPr>
              <w:t xml:space="preserve">No</w:t>
            </w:r>
            <w:r w:rsidDel="00000000" w:rsidR="00000000" w:rsidRPr="00000000">
              <w:rPr>
                <w:b w:val="0"/>
                <w:color w:val="000000"/>
                <w:sz w:val="16"/>
                <w:szCs w:val="16"/>
                <w:rtl w:val="0"/>
              </w:rPr>
              <w:t xml:space="preserve">” for such Tokens.</w:t>
            </w:r>
            <w:r w:rsidDel="00000000" w:rsidR="00000000" w:rsidRPr="00000000">
              <w:rPr>
                <w:rtl w:val="0"/>
              </w:rPr>
            </w:r>
          </w:p>
          <w:p w:rsidR="00000000" w:rsidDel="00000000" w:rsidP="00000000" w:rsidRDefault="00000000" w:rsidRPr="00000000" w14:paraId="000000F1">
            <w:pPr>
              <w:widowControl w:val="0"/>
              <w:numPr>
                <w:ilvl w:val="0"/>
                <w:numId w:val="3"/>
              </w:numPr>
              <w:spacing w:after="220" w:line="240" w:lineRule="auto"/>
              <w:ind w:left="360"/>
              <w:rPr>
                <w:rFonts w:ascii="Times New Roman" w:cs="Times New Roman" w:eastAsia="Times New Roman" w:hAnsi="Times New Roman"/>
                <w:b w:val="1"/>
                <w:color w:val="ffffff"/>
                <w:sz w:val="16"/>
                <w:szCs w:val="16"/>
              </w:rPr>
            </w:pPr>
            <w:r w:rsidDel="00000000" w:rsidR="00000000" w:rsidRPr="00000000">
              <w:rPr>
                <w:color w:val="000000"/>
                <w:sz w:val="16"/>
                <w:szCs w:val="16"/>
                <w:rtl w:val="0"/>
              </w:rPr>
              <w:t xml:space="preserve">Exclusions for limited purpose digital payment tokens:</w:t>
            </w:r>
            <w:r w:rsidDel="00000000" w:rsidR="00000000" w:rsidRPr="00000000">
              <w:rPr>
                <w:b w:val="0"/>
                <w:color w:val="000000"/>
                <w:sz w:val="16"/>
                <w:szCs w:val="16"/>
                <w:rtl w:val="0"/>
              </w:rPr>
              <w:t xml:space="preserve"> Tick “</w:t>
            </w:r>
            <w:r w:rsidDel="00000000" w:rsidR="00000000" w:rsidRPr="00000000">
              <w:rPr>
                <w:b w:val="0"/>
                <w:i w:val="1"/>
                <w:color w:val="000000"/>
                <w:sz w:val="16"/>
                <w:szCs w:val="16"/>
                <w:rtl w:val="0"/>
              </w:rPr>
              <w:t xml:space="preserve">No</w:t>
            </w:r>
            <w:r w:rsidDel="00000000" w:rsidR="00000000" w:rsidRPr="00000000">
              <w:rPr>
                <w:b w:val="0"/>
                <w:color w:val="000000"/>
                <w:sz w:val="16"/>
                <w:szCs w:val="16"/>
                <w:rtl w:val="0"/>
              </w:rPr>
              <w:t xml:space="preserve">” for the following types of Tokens –</w:t>
              <w:br w:type="textWrapping"/>
              <w:br w:type="textWrapping"/>
              <w:t xml:space="preserve">1. Tokens which represent non-monetary customer loyalty or reward points which:</w:t>
            </w:r>
            <w:r w:rsidDel="00000000" w:rsidR="00000000" w:rsidRPr="00000000">
              <w:rPr>
                <w:color w:val="000000"/>
                <w:sz w:val="16"/>
                <w:szCs w:val="16"/>
                <w:rtl w:val="0"/>
              </w:rPr>
              <w:t xml:space="preserve"> </w:t>
            </w:r>
            <w:r w:rsidDel="00000000" w:rsidR="00000000" w:rsidRPr="00000000">
              <w:rPr>
                <w:b w:val="0"/>
                <w:color w:val="000000"/>
                <w:sz w:val="16"/>
                <w:szCs w:val="16"/>
                <w:rtl w:val="0"/>
              </w:rPr>
              <w:t xml:space="preserve">(i) cannot be returned to its issuer, transferred or sold in exchange for money; and (ii) can only be used to pay for goods or services provided by the issuer, or merchants specified by the issuer;</w:t>
            </w:r>
          </w:p>
          <w:p w:rsidR="00000000" w:rsidDel="00000000" w:rsidP="00000000" w:rsidRDefault="00000000" w:rsidRPr="00000000" w14:paraId="000000F2">
            <w:pPr>
              <w:widowControl w:val="0"/>
              <w:spacing w:after="220" w:line="240" w:lineRule="auto"/>
              <w:ind w:left="360" w:firstLine="0"/>
              <w:rPr>
                <w:b w:val="0"/>
                <w:color w:val="000000"/>
                <w:sz w:val="16"/>
                <w:szCs w:val="16"/>
              </w:rPr>
            </w:pPr>
            <w:r w:rsidDel="00000000" w:rsidR="00000000" w:rsidRPr="00000000">
              <w:rPr>
                <w:b w:val="0"/>
                <w:color w:val="000000"/>
                <w:sz w:val="16"/>
                <w:szCs w:val="16"/>
                <w:rtl w:val="0"/>
              </w:rPr>
              <w:t xml:space="preserve">2. Tokens which represent in-game assets which :</w:t>
            </w:r>
            <w:r w:rsidDel="00000000" w:rsidR="00000000" w:rsidRPr="00000000">
              <w:rPr>
                <w:color w:val="000000"/>
                <w:sz w:val="16"/>
                <w:szCs w:val="16"/>
                <w:rtl w:val="0"/>
              </w:rPr>
              <w:t xml:space="preserve"> </w:t>
            </w:r>
            <w:r w:rsidDel="00000000" w:rsidR="00000000" w:rsidRPr="00000000">
              <w:rPr>
                <w:b w:val="0"/>
                <w:color w:val="000000"/>
                <w:sz w:val="16"/>
                <w:szCs w:val="16"/>
                <w:rtl w:val="0"/>
              </w:rPr>
              <w:t xml:space="preserve">(i) cannot be returned to its issuer, transferred or sold in exchange for money; and (ii) can only be used to pay for virtual objects/services within an online game.  </w:t>
            </w:r>
          </w:p>
          <w:p w:rsidR="00000000" w:rsidDel="00000000" w:rsidP="00000000" w:rsidRDefault="00000000" w:rsidRPr="00000000" w14:paraId="000000F3">
            <w:pPr>
              <w:widowControl w:val="0"/>
              <w:numPr>
                <w:ilvl w:val="0"/>
                <w:numId w:val="3"/>
              </w:numPr>
              <w:spacing w:after="220" w:line="240" w:lineRule="auto"/>
              <w:ind w:left="360"/>
              <w:rPr>
                <w:rFonts w:ascii="Times New Roman" w:cs="Times New Roman" w:eastAsia="Times New Roman" w:hAnsi="Times New Roman"/>
                <w:b w:val="1"/>
                <w:color w:val="ffffff"/>
                <w:sz w:val="16"/>
                <w:szCs w:val="16"/>
              </w:rPr>
            </w:pPr>
            <w:r w:rsidDel="00000000" w:rsidR="00000000" w:rsidRPr="00000000">
              <w:rPr>
                <w:color w:val="000000"/>
                <w:sz w:val="16"/>
                <w:szCs w:val="16"/>
                <w:rtl w:val="0"/>
              </w:rPr>
              <w:t xml:space="preserve">MAS examples of digital payment tokens:  </w:t>
            </w:r>
            <w:r w:rsidDel="00000000" w:rsidR="00000000" w:rsidRPr="00000000">
              <w:rPr>
                <w:b w:val="0"/>
                <w:color w:val="000000"/>
                <w:sz w:val="16"/>
                <w:szCs w:val="16"/>
                <w:rtl w:val="0"/>
              </w:rPr>
              <w:t xml:space="preserve">USD Coin, Tether</w:t>
            </w:r>
            <w:r w:rsidDel="00000000" w:rsidR="00000000" w:rsidRPr="00000000">
              <w:rPr>
                <w:rtl w:val="0"/>
              </w:rPr>
            </w:r>
          </w:p>
        </w:tc>
      </w:tr>
      <w:tr>
        <w:trPr>
          <w:cantSplit w:val="0"/>
          <w:tblHeader w:val="0"/>
        </w:trPr>
        <w:tc>
          <w:tcPr>
            <w:gridSpan w:val="3"/>
            <w:shd w:fill="f2f2f2" w:val="clear"/>
            <w:vAlign w:val="center"/>
          </w:tcPr>
          <w:p w:rsidR="00000000" w:rsidDel="00000000" w:rsidP="00000000" w:rsidRDefault="00000000" w:rsidRPr="00000000" w14:paraId="000000F4">
            <w:pPr>
              <w:widowControl w:val="0"/>
              <w:spacing w:after="220" w:line="240" w:lineRule="auto"/>
              <w:rPr>
                <w:b w:val="0"/>
                <w:color w:val="000000"/>
                <w:sz w:val="16"/>
                <w:szCs w:val="16"/>
                <w:highlight w:val="yellow"/>
              </w:rPr>
            </w:pPr>
            <w:r w:rsidDel="00000000" w:rsidR="00000000" w:rsidRPr="00000000">
              <w:rPr>
                <w:b w:val="0"/>
                <w:color w:val="000000"/>
                <w:sz w:val="16"/>
                <w:szCs w:val="16"/>
                <w:rtl w:val="0"/>
              </w:rPr>
              <w:t xml:space="preserve">Deposits</w:t>
            </w:r>
            <w:r w:rsidDel="00000000" w:rsidR="00000000" w:rsidRPr="00000000">
              <w:rPr>
                <w:rtl w:val="0"/>
              </w:rPr>
            </w:r>
          </w:p>
        </w:tc>
        <w:tc>
          <w:tcPr>
            <w:shd w:fill="f2f2f2" w:val="clear"/>
            <w:vAlign w:val="center"/>
          </w:tcPr>
          <w:p w:rsidR="00000000" w:rsidDel="00000000" w:rsidP="00000000" w:rsidRDefault="00000000" w:rsidRPr="00000000" w14:paraId="000000F7">
            <w:pPr>
              <w:widowControl w:val="0"/>
              <w:spacing w:line="240" w:lineRule="auto"/>
              <w:rPr>
                <w:b w:val="0"/>
                <w:color w:val="000000"/>
                <w:sz w:val="16"/>
                <w:szCs w:val="16"/>
              </w:rPr>
            </w:pPr>
            <w:r w:rsidDel="00000000" w:rsidR="00000000" w:rsidRPr="00000000">
              <w:rPr>
                <w:b w:val="0"/>
                <w:color w:val="000000"/>
                <w:sz w:val="16"/>
                <w:szCs w:val="16"/>
                <w:rtl w:val="0"/>
              </w:rPr>
              <w:t xml:space="preserve">Does the Token involve or represent sums of money (i.e., fiat currency or other legal tender) which are paid on terms under which they must be repaid?</w:t>
            </w:r>
          </w:p>
        </w:tc>
        <w:tc>
          <w:tcPr>
            <w:shd w:fill="ffc000" w:val="clear"/>
            <w:vAlign w:val="center"/>
          </w:tcPr>
          <w:p w:rsidR="00000000" w:rsidDel="00000000" w:rsidP="00000000" w:rsidRDefault="00000000" w:rsidRPr="00000000" w14:paraId="000000F8">
            <w:pPr>
              <w:spacing w:line="240" w:lineRule="auto"/>
              <w:jc w:val="center"/>
              <w:rPr>
                <w:color w:val="000000"/>
                <w:sz w:val="16"/>
                <w:szCs w:val="16"/>
              </w:rPr>
            </w:pPr>
            <w:r w:rsidDel="00000000" w:rsidR="00000000" w:rsidRPr="00000000">
              <w:rPr>
                <w:color w:val="000000"/>
                <w:sz w:val="16"/>
                <w:szCs w:val="16"/>
                <w:rtl w:val="0"/>
              </w:rPr>
              <w:t xml:space="preserve">◻</w:t>
            </w:r>
          </w:p>
        </w:tc>
        <w:tc>
          <w:tcPr>
            <w:shd w:fill="70ad47" w:val="clear"/>
            <w:vAlign w:val="center"/>
          </w:tcPr>
          <w:p w:rsidR="00000000" w:rsidDel="00000000" w:rsidP="00000000" w:rsidRDefault="00000000" w:rsidRPr="00000000" w14:paraId="000000F9">
            <w:pPr>
              <w:spacing w:line="240" w:lineRule="auto"/>
              <w:jc w:val="center"/>
              <w:rPr>
                <w:color w:val="000000"/>
                <w:sz w:val="16"/>
                <w:szCs w:val="16"/>
              </w:rPr>
            </w:pPr>
            <w:r w:rsidDel="00000000" w:rsidR="00000000" w:rsidRPr="00000000">
              <w:rPr>
                <w:color w:val="000000"/>
                <w:sz w:val="16"/>
                <w:szCs w:val="16"/>
                <w:rtl w:val="0"/>
              </w:rPr>
              <w:t xml:space="preserve">◻</w:t>
            </w:r>
          </w:p>
        </w:tc>
        <w:tc>
          <w:tcPr>
            <w:shd w:fill="ffc000" w:val="clear"/>
            <w:vAlign w:val="center"/>
          </w:tcPr>
          <w:p w:rsidR="00000000" w:rsidDel="00000000" w:rsidP="00000000" w:rsidRDefault="00000000" w:rsidRPr="00000000" w14:paraId="000000FA">
            <w:pPr>
              <w:spacing w:line="240" w:lineRule="auto"/>
              <w:jc w:val="center"/>
              <w:rPr>
                <w:color w:val="000000"/>
                <w:sz w:val="16"/>
                <w:szCs w:val="16"/>
              </w:rPr>
            </w:pPr>
            <w:r w:rsidDel="00000000" w:rsidR="00000000" w:rsidRPr="00000000">
              <w:rPr>
                <w:color w:val="000000"/>
                <w:sz w:val="16"/>
                <w:szCs w:val="16"/>
                <w:rtl w:val="0"/>
              </w:rPr>
              <w:t xml:space="preserve">◻</w:t>
            </w:r>
          </w:p>
        </w:tc>
        <w:tc>
          <w:tcPr>
            <w:shd w:fill="f2f2f2" w:val="clear"/>
          </w:tcPr>
          <w:p w:rsidR="00000000" w:rsidDel="00000000" w:rsidP="00000000" w:rsidRDefault="00000000" w:rsidRPr="00000000" w14:paraId="000000FB">
            <w:pPr>
              <w:widowControl w:val="0"/>
              <w:numPr>
                <w:ilvl w:val="0"/>
                <w:numId w:val="3"/>
              </w:numPr>
              <w:spacing w:after="220" w:line="240" w:lineRule="auto"/>
              <w:ind w:left="360"/>
              <w:rPr>
                <w:rFonts w:ascii="Times New Roman" w:cs="Times New Roman" w:eastAsia="Times New Roman" w:hAnsi="Times New Roman"/>
                <w:b w:val="1"/>
                <w:color w:val="ffffff"/>
                <w:sz w:val="16"/>
                <w:szCs w:val="16"/>
              </w:rPr>
            </w:pPr>
            <w:r w:rsidDel="00000000" w:rsidR="00000000" w:rsidRPr="00000000">
              <w:rPr>
                <w:color w:val="000000"/>
                <w:sz w:val="16"/>
                <w:szCs w:val="16"/>
                <w:rtl w:val="0"/>
              </w:rPr>
              <w:t xml:space="preserve">Repayment</w:t>
            </w:r>
            <w:r w:rsidDel="00000000" w:rsidR="00000000" w:rsidRPr="00000000">
              <w:rPr>
                <w:b w:val="0"/>
                <w:color w:val="000000"/>
                <w:sz w:val="16"/>
                <w:szCs w:val="16"/>
                <w:rtl w:val="0"/>
              </w:rPr>
              <w:t xml:space="preserve">: deposits involve sums of money accepted on terms under which they will be repaid – with or without interest and on demand or at a time/in circumstances agreed between the parties. Accordingly tick “</w:t>
            </w:r>
            <w:r w:rsidDel="00000000" w:rsidR="00000000" w:rsidRPr="00000000">
              <w:rPr>
                <w:b w:val="0"/>
                <w:i w:val="1"/>
                <w:color w:val="000000"/>
                <w:sz w:val="16"/>
                <w:szCs w:val="16"/>
                <w:rtl w:val="0"/>
              </w:rPr>
              <w:t xml:space="preserve">Yes</w:t>
            </w:r>
            <w:r w:rsidDel="00000000" w:rsidR="00000000" w:rsidRPr="00000000">
              <w:rPr>
                <w:b w:val="0"/>
                <w:color w:val="000000"/>
                <w:sz w:val="16"/>
                <w:szCs w:val="16"/>
                <w:rtl w:val="0"/>
              </w:rPr>
              <w:t xml:space="preserve">” for such Tokens.</w:t>
            </w:r>
          </w:p>
          <w:p w:rsidR="00000000" w:rsidDel="00000000" w:rsidP="00000000" w:rsidRDefault="00000000" w:rsidRPr="00000000" w14:paraId="000000FC">
            <w:pPr>
              <w:widowControl w:val="0"/>
              <w:numPr>
                <w:ilvl w:val="0"/>
                <w:numId w:val="3"/>
              </w:numPr>
              <w:spacing w:after="220" w:line="240" w:lineRule="auto"/>
              <w:ind w:left="360"/>
              <w:rPr>
                <w:rFonts w:ascii="Times New Roman" w:cs="Times New Roman" w:eastAsia="Times New Roman" w:hAnsi="Times New Roman"/>
                <w:b w:val="1"/>
                <w:color w:val="ffffff"/>
                <w:sz w:val="16"/>
                <w:szCs w:val="16"/>
              </w:rPr>
            </w:pPr>
            <w:r w:rsidDel="00000000" w:rsidR="00000000" w:rsidRPr="00000000">
              <w:rPr>
                <w:color w:val="000000"/>
                <w:sz w:val="16"/>
                <w:szCs w:val="16"/>
                <w:rtl w:val="0"/>
              </w:rPr>
              <w:t xml:space="preserve">Accepting deposits</w:t>
            </w:r>
            <w:r w:rsidDel="00000000" w:rsidR="00000000" w:rsidRPr="00000000">
              <w:rPr>
                <w:b w:val="0"/>
                <w:color w:val="000000"/>
                <w:sz w:val="16"/>
                <w:szCs w:val="16"/>
                <w:rtl w:val="0"/>
              </w:rPr>
              <w:t xml:space="preserve">: the regulated activity typically associated with deposits is that of “accepting” deposits – and it is not clear that Binance would be accepting deposits merely by providing the customers the ability to trade a Token which represented a deposit. However, given such a Token would be transferable, it is likely that to the extent it represents a deposit, the Token could represent a debt instrument/debenture. Accordingly, where there is a question as to whether a Token is a deposit:</w:t>
            </w:r>
          </w:p>
          <w:p w:rsidR="00000000" w:rsidDel="00000000" w:rsidP="00000000" w:rsidRDefault="00000000" w:rsidRPr="00000000" w14:paraId="000000FD">
            <w:pPr>
              <w:widowControl w:val="0"/>
              <w:numPr>
                <w:ilvl w:val="1"/>
                <w:numId w:val="3"/>
              </w:numPr>
              <w:spacing w:after="220" w:line="240" w:lineRule="auto"/>
              <w:ind w:left="1080" w:hanging="360"/>
              <w:rPr>
                <w:rFonts w:ascii="Times New Roman" w:cs="Times New Roman" w:eastAsia="Times New Roman" w:hAnsi="Times New Roman"/>
                <w:b w:val="1"/>
                <w:color w:val="ffffff"/>
                <w:sz w:val="16"/>
                <w:szCs w:val="16"/>
              </w:rPr>
            </w:pPr>
            <w:r w:rsidDel="00000000" w:rsidR="00000000" w:rsidRPr="00000000">
              <w:rPr>
                <w:b w:val="0"/>
                <w:color w:val="000000"/>
                <w:sz w:val="16"/>
                <w:szCs w:val="16"/>
                <w:rtl w:val="0"/>
              </w:rPr>
              <w:t xml:space="preserve">consider if the Token could also constitute a debt instrument/debenture; and</w:t>
            </w:r>
          </w:p>
          <w:p w:rsidR="00000000" w:rsidDel="00000000" w:rsidP="00000000" w:rsidRDefault="00000000" w:rsidRPr="00000000" w14:paraId="000000FE">
            <w:pPr>
              <w:widowControl w:val="0"/>
              <w:numPr>
                <w:ilvl w:val="1"/>
                <w:numId w:val="3"/>
              </w:numPr>
              <w:spacing w:after="220" w:line="240" w:lineRule="auto"/>
              <w:ind w:left="1080" w:hanging="360"/>
              <w:rPr>
                <w:rFonts w:ascii="Times New Roman" w:cs="Times New Roman" w:eastAsia="Times New Roman" w:hAnsi="Times New Roman"/>
                <w:b w:val="1"/>
                <w:color w:val="ffffff"/>
                <w:sz w:val="16"/>
                <w:szCs w:val="16"/>
              </w:rPr>
            </w:pPr>
            <w:r w:rsidDel="00000000" w:rsidR="00000000" w:rsidRPr="00000000">
              <w:rPr>
                <w:b w:val="0"/>
                <w:color w:val="000000"/>
                <w:sz w:val="16"/>
                <w:szCs w:val="16"/>
                <w:rtl w:val="0"/>
              </w:rPr>
              <w:t xml:space="preserve">consider undertaking further analysis if Binance has concluded that the Token is not a debt instrument/debenture, but is a deposit (as reflected by the Amber rating for answering “</w:t>
            </w:r>
            <w:r w:rsidDel="00000000" w:rsidR="00000000" w:rsidRPr="00000000">
              <w:rPr>
                <w:b w:val="0"/>
                <w:i w:val="1"/>
                <w:color w:val="000000"/>
                <w:sz w:val="16"/>
                <w:szCs w:val="16"/>
                <w:rtl w:val="0"/>
              </w:rPr>
              <w:t xml:space="preserve">Yes</w:t>
            </w:r>
            <w:r w:rsidDel="00000000" w:rsidR="00000000" w:rsidRPr="00000000">
              <w:rPr>
                <w:b w:val="0"/>
                <w:color w:val="000000"/>
                <w:sz w:val="16"/>
                <w:szCs w:val="16"/>
                <w:rtl w:val="0"/>
              </w:rPr>
              <w:t xml:space="preserve">” to this question).</w:t>
            </w:r>
          </w:p>
        </w:tc>
      </w:tr>
      <w:tr>
        <w:trPr>
          <w:cantSplit w:val="0"/>
          <w:tblHeader w:val="0"/>
        </w:trPr>
        <w:tc>
          <w:tcPr>
            <w:gridSpan w:val="3"/>
            <w:vMerge w:val="restart"/>
            <w:shd w:fill="f2f2f2" w:val="clear"/>
            <w:vAlign w:val="center"/>
          </w:tcPr>
          <w:p w:rsidR="00000000" w:rsidDel="00000000" w:rsidP="00000000" w:rsidRDefault="00000000" w:rsidRPr="00000000" w14:paraId="000000FF">
            <w:pPr>
              <w:widowControl w:val="0"/>
              <w:spacing w:after="220" w:line="240" w:lineRule="auto"/>
              <w:rPr>
                <w:b w:val="0"/>
                <w:color w:val="000000"/>
                <w:sz w:val="16"/>
                <w:szCs w:val="16"/>
              </w:rPr>
            </w:pPr>
            <w:r w:rsidDel="00000000" w:rsidR="00000000" w:rsidRPr="00000000">
              <w:rPr>
                <w:b w:val="0"/>
                <w:color w:val="000000"/>
                <w:sz w:val="16"/>
                <w:szCs w:val="16"/>
                <w:rtl w:val="0"/>
              </w:rPr>
              <w:t xml:space="preserve">Structured deposit</w:t>
            </w:r>
          </w:p>
        </w:tc>
        <w:tc>
          <w:tcPr>
            <w:shd w:fill="f2f2f2" w:val="clear"/>
            <w:vAlign w:val="center"/>
          </w:tcPr>
          <w:p w:rsidR="00000000" w:rsidDel="00000000" w:rsidP="00000000" w:rsidRDefault="00000000" w:rsidRPr="00000000" w14:paraId="00000102">
            <w:pPr>
              <w:widowControl w:val="0"/>
              <w:spacing w:line="240" w:lineRule="auto"/>
              <w:rPr>
                <w:b w:val="0"/>
                <w:color w:val="000000"/>
                <w:sz w:val="16"/>
                <w:szCs w:val="16"/>
              </w:rPr>
            </w:pPr>
            <w:r w:rsidDel="00000000" w:rsidR="00000000" w:rsidRPr="00000000">
              <w:rPr>
                <w:b w:val="0"/>
                <w:color w:val="000000"/>
                <w:sz w:val="16"/>
                <w:szCs w:val="16"/>
                <w:rtl w:val="0"/>
              </w:rPr>
              <w:t xml:space="preserve">Is the Token either of the following:</w:t>
            </w:r>
          </w:p>
          <w:p w:rsidR="00000000" w:rsidDel="00000000" w:rsidP="00000000" w:rsidRDefault="00000000" w:rsidRPr="00000000" w14:paraId="00000103">
            <w:pPr>
              <w:widowControl w:val="0"/>
              <w:spacing w:line="240" w:lineRule="auto"/>
              <w:rPr>
                <w:b w:val="0"/>
                <w:color w:val="000000"/>
                <w:sz w:val="16"/>
                <w:szCs w:val="16"/>
              </w:rPr>
            </w:pPr>
            <w:r w:rsidDel="00000000" w:rsidR="00000000" w:rsidRPr="00000000">
              <w:rPr>
                <w:rtl w:val="0"/>
              </w:rPr>
            </w:r>
          </w:p>
          <w:p w:rsidR="00000000" w:rsidDel="00000000" w:rsidP="00000000" w:rsidRDefault="00000000" w:rsidRPr="00000000" w14:paraId="00000104">
            <w:pPr>
              <w:widowControl w:val="0"/>
              <w:spacing w:line="240" w:lineRule="auto"/>
              <w:rPr>
                <w:b w:val="0"/>
                <w:color w:val="000000"/>
                <w:sz w:val="16"/>
                <w:szCs w:val="16"/>
              </w:rPr>
            </w:pPr>
            <w:r w:rsidDel="00000000" w:rsidR="00000000" w:rsidRPr="00000000">
              <w:rPr>
                <w:b w:val="0"/>
                <w:color w:val="000000"/>
                <w:sz w:val="16"/>
                <w:szCs w:val="16"/>
                <w:rtl w:val="0"/>
              </w:rPr>
              <w:t xml:space="preserve">A.</w:t>
            </w:r>
          </w:p>
          <w:p w:rsidR="00000000" w:rsidDel="00000000" w:rsidP="00000000" w:rsidRDefault="00000000" w:rsidRPr="00000000" w14:paraId="00000105">
            <w:pPr>
              <w:widowControl w:val="0"/>
              <w:spacing w:line="240" w:lineRule="auto"/>
              <w:rPr>
                <w:b w:val="0"/>
                <w:color w:val="000000"/>
                <w:sz w:val="16"/>
                <w:szCs w:val="16"/>
              </w:rPr>
            </w:pPr>
            <w:r w:rsidDel="00000000" w:rsidR="00000000" w:rsidRPr="00000000">
              <w:rPr>
                <w:rtl w:val="0"/>
              </w:rPr>
            </w:r>
          </w:p>
          <w:p w:rsidR="00000000" w:rsidDel="00000000" w:rsidP="00000000" w:rsidRDefault="00000000" w:rsidRPr="00000000" w14:paraId="00000106">
            <w:pPr>
              <w:widowControl w:val="0"/>
              <w:spacing w:line="240" w:lineRule="auto"/>
              <w:rPr>
                <w:b w:val="0"/>
                <w:color w:val="000000"/>
                <w:sz w:val="16"/>
                <w:szCs w:val="16"/>
              </w:rPr>
            </w:pPr>
            <w:r w:rsidDel="00000000" w:rsidR="00000000" w:rsidRPr="00000000">
              <w:rPr>
                <w:b w:val="0"/>
                <w:color w:val="000000"/>
                <w:sz w:val="16"/>
                <w:szCs w:val="16"/>
                <w:rtl w:val="0"/>
              </w:rPr>
              <w:t xml:space="preserve">A deposit which is fully repayable at maturity on terms under which interest or a premium</w:t>
            </w:r>
          </w:p>
          <w:p w:rsidR="00000000" w:rsidDel="00000000" w:rsidP="00000000" w:rsidRDefault="00000000" w:rsidRPr="00000000" w14:paraId="00000107">
            <w:pPr>
              <w:widowControl w:val="0"/>
              <w:spacing w:line="240" w:lineRule="auto"/>
              <w:rPr>
                <w:b w:val="0"/>
                <w:color w:val="000000"/>
                <w:sz w:val="16"/>
                <w:szCs w:val="16"/>
              </w:rPr>
            </w:pPr>
            <w:r w:rsidDel="00000000" w:rsidR="00000000" w:rsidRPr="00000000">
              <w:rPr>
                <w:b w:val="0"/>
                <w:color w:val="000000"/>
                <w:sz w:val="16"/>
                <w:szCs w:val="16"/>
                <w:rtl w:val="0"/>
              </w:rPr>
              <w:t xml:space="preserve">will be paid or is at risk, according to a formula involving factors such as:</w:t>
            </w:r>
          </w:p>
          <w:p w:rsidR="00000000" w:rsidDel="00000000" w:rsidP="00000000" w:rsidRDefault="00000000" w:rsidRPr="00000000" w14:paraId="00000108">
            <w:pPr>
              <w:widowControl w:val="0"/>
              <w:spacing w:line="240" w:lineRule="auto"/>
              <w:rPr>
                <w:b w:val="0"/>
                <w:color w:val="000000"/>
                <w:sz w:val="16"/>
                <w:szCs w:val="16"/>
              </w:rPr>
            </w:pPr>
            <w:r w:rsidDel="00000000" w:rsidR="00000000" w:rsidRPr="00000000">
              <w:rPr>
                <w:rtl w:val="0"/>
              </w:rPr>
            </w:r>
          </w:p>
          <w:p w:rsidR="00000000" w:rsidDel="00000000" w:rsidP="00000000" w:rsidRDefault="00000000" w:rsidRPr="00000000" w14:paraId="00000109">
            <w:pPr>
              <w:widowControl w:val="0"/>
              <w:spacing w:line="240" w:lineRule="auto"/>
              <w:rPr>
                <w:b w:val="0"/>
                <w:color w:val="000000"/>
                <w:sz w:val="16"/>
                <w:szCs w:val="16"/>
              </w:rPr>
            </w:pPr>
            <w:r w:rsidDel="00000000" w:rsidR="00000000" w:rsidRPr="00000000">
              <w:rPr>
                <w:b w:val="0"/>
                <w:color w:val="000000"/>
                <w:sz w:val="16"/>
                <w:szCs w:val="16"/>
                <w:rtl w:val="0"/>
              </w:rPr>
              <w:t xml:space="preserve">(a) an index or combination of indices, excluding variable rate deposits whose return is directly linked to an interest rate index such as SONIA;</w:t>
            </w:r>
          </w:p>
          <w:p w:rsidR="00000000" w:rsidDel="00000000" w:rsidP="00000000" w:rsidRDefault="00000000" w:rsidRPr="00000000" w14:paraId="0000010A">
            <w:pPr>
              <w:widowControl w:val="0"/>
              <w:spacing w:line="240" w:lineRule="auto"/>
              <w:rPr>
                <w:b w:val="0"/>
                <w:color w:val="000000"/>
                <w:sz w:val="16"/>
                <w:szCs w:val="16"/>
              </w:rPr>
            </w:pPr>
            <w:r w:rsidDel="00000000" w:rsidR="00000000" w:rsidRPr="00000000">
              <w:rPr>
                <w:rtl w:val="0"/>
              </w:rPr>
            </w:r>
          </w:p>
          <w:p w:rsidR="00000000" w:rsidDel="00000000" w:rsidP="00000000" w:rsidRDefault="00000000" w:rsidRPr="00000000" w14:paraId="0000010B">
            <w:pPr>
              <w:widowControl w:val="0"/>
              <w:spacing w:line="240" w:lineRule="auto"/>
              <w:rPr>
                <w:b w:val="0"/>
                <w:color w:val="000000"/>
                <w:sz w:val="16"/>
                <w:szCs w:val="16"/>
              </w:rPr>
            </w:pPr>
            <w:r w:rsidDel="00000000" w:rsidR="00000000" w:rsidRPr="00000000">
              <w:rPr>
                <w:b w:val="0"/>
                <w:color w:val="000000"/>
                <w:sz w:val="16"/>
                <w:szCs w:val="16"/>
                <w:rtl w:val="0"/>
              </w:rPr>
              <w:t xml:space="preserve">(b) a financial instrument or combination of financial instruments;</w:t>
            </w:r>
          </w:p>
          <w:p w:rsidR="00000000" w:rsidDel="00000000" w:rsidP="00000000" w:rsidRDefault="00000000" w:rsidRPr="00000000" w14:paraId="0000010C">
            <w:pPr>
              <w:widowControl w:val="0"/>
              <w:spacing w:line="240" w:lineRule="auto"/>
              <w:rPr>
                <w:b w:val="0"/>
                <w:color w:val="000000"/>
                <w:sz w:val="16"/>
                <w:szCs w:val="16"/>
              </w:rPr>
            </w:pPr>
            <w:r w:rsidDel="00000000" w:rsidR="00000000" w:rsidRPr="00000000">
              <w:rPr>
                <w:rtl w:val="0"/>
              </w:rPr>
            </w:r>
          </w:p>
          <w:p w:rsidR="00000000" w:rsidDel="00000000" w:rsidP="00000000" w:rsidRDefault="00000000" w:rsidRPr="00000000" w14:paraId="0000010D">
            <w:pPr>
              <w:widowControl w:val="0"/>
              <w:spacing w:line="240" w:lineRule="auto"/>
              <w:rPr>
                <w:b w:val="0"/>
                <w:color w:val="000000"/>
                <w:sz w:val="16"/>
                <w:szCs w:val="16"/>
              </w:rPr>
            </w:pPr>
            <w:r w:rsidDel="00000000" w:rsidR="00000000" w:rsidRPr="00000000">
              <w:rPr>
                <w:b w:val="0"/>
                <w:color w:val="000000"/>
                <w:sz w:val="16"/>
                <w:szCs w:val="16"/>
                <w:rtl w:val="0"/>
              </w:rPr>
              <w:t xml:space="preserve">(c) a commodity or combination of commodities or other physical or non-physical non-fungible assets; or</w:t>
            </w:r>
          </w:p>
          <w:p w:rsidR="00000000" w:rsidDel="00000000" w:rsidP="00000000" w:rsidRDefault="00000000" w:rsidRPr="00000000" w14:paraId="0000010E">
            <w:pPr>
              <w:widowControl w:val="0"/>
              <w:spacing w:line="240" w:lineRule="auto"/>
              <w:rPr>
                <w:b w:val="0"/>
                <w:color w:val="000000"/>
                <w:sz w:val="16"/>
                <w:szCs w:val="16"/>
              </w:rPr>
            </w:pPr>
            <w:r w:rsidDel="00000000" w:rsidR="00000000" w:rsidRPr="00000000">
              <w:rPr>
                <w:rtl w:val="0"/>
              </w:rPr>
            </w:r>
          </w:p>
          <w:p w:rsidR="00000000" w:rsidDel="00000000" w:rsidP="00000000" w:rsidRDefault="00000000" w:rsidRPr="00000000" w14:paraId="0000010F">
            <w:pPr>
              <w:widowControl w:val="0"/>
              <w:spacing w:line="240" w:lineRule="auto"/>
              <w:rPr>
                <w:b w:val="0"/>
                <w:color w:val="000000"/>
                <w:sz w:val="16"/>
                <w:szCs w:val="16"/>
              </w:rPr>
            </w:pPr>
            <w:r w:rsidDel="00000000" w:rsidR="00000000" w:rsidRPr="00000000">
              <w:rPr>
                <w:b w:val="0"/>
                <w:color w:val="000000"/>
                <w:sz w:val="16"/>
                <w:szCs w:val="16"/>
                <w:rtl w:val="0"/>
              </w:rPr>
              <w:t xml:space="preserve">(d) a foreign exchange rate or combination of foreign exchange rates.</w:t>
            </w:r>
          </w:p>
          <w:p w:rsidR="00000000" w:rsidDel="00000000" w:rsidP="00000000" w:rsidRDefault="00000000" w:rsidRPr="00000000" w14:paraId="00000110">
            <w:pPr>
              <w:widowControl w:val="0"/>
              <w:spacing w:line="240" w:lineRule="auto"/>
              <w:rPr>
                <w:b w:val="0"/>
                <w:color w:val="000000"/>
                <w:sz w:val="16"/>
                <w:szCs w:val="16"/>
              </w:rPr>
            </w:pPr>
            <w:r w:rsidDel="00000000" w:rsidR="00000000" w:rsidRPr="00000000">
              <w:rPr>
                <w:rtl w:val="0"/>
              </w:rPr>
            </w:r>
          </w:p>
          <w:p w:rsidR="00000000" w:rsidDel="00000000" w:rsidP="00000000" w:rsidRDefault="00000000" w:rsidRPr="00000000" w14:paraId="00000111">
            <w:pPr>
              <w:widowControl w:val="0"/>
              <w:spacing w:line="240" w:lineRule="auto"/>
              <w:rPr>
                <w:b w:val="0"/>
                <w:color w:val="000000"/>
                <w:sz w:val="16"/>
                <w:szCs w:val="16"/>
                <w:u w:val="single"/>
              </w:rPr>
            </w:pPr>
            <w:r w:rsidDel="00000000" w:rsidR="00000000" w:rsidRPr="00000000">
              <w:rPr>
                <w:b w:val="0"/>
                <w:color w:val="000000"/>
                <w:sz w:val="16"/>
                <w:szCs w:val="16"/>
                <w:u w:val="single"/>
                <w:rtl w:val="0"/>
              </w:rPr>
              <w:t xml:space="preserve">OR</w:t>
            </w:r>
          </w:p>
          <w:p w:rsidR="00000000" w:rsidDel="00000000" w:rsidP="00000000" w:rsidRDefault="00000000" w:rsidRPr="00000000" w14:paraId="00000112">
            <w:pPr>
              <w:widowControl w:val="0"/>
              <w:spacing w:line="240" w:lineRule="auto"/>
              <w:rPr>
                <w:b w:val="0"/>
                <w:color w:val="000000"/>
                <w:sz w:val="16"/>
                <w:szCs w:val="16"/>
              </w:rPr>
            </w:pPr>
            <w:r w:rsidDel="00000000" w:rsidR="00000000" w:rsidRPr="00000000">
              <w:rPr>
                <w:rtl w:val="0"/>
              </w:rPr>
            </w:r>
          </w:p>
          <w:p w:rsidR="00000000" w:rsidDel="00000000" w:rsidP="00000000" w:rsidRDefault="00000000" w:rsidRPr="00000000" w14:paraId="00000113">
            <w:pPr>
              <w:widowControl w:val="0"/>
              <w:spacing w:line="240" w:lineRule="auto"/>
              <w:rPr>
                <w:b w:val="0"/>
                <w:color w:val="000000"/>
                <w:sz w:val="16"/>
                <w:szCs w:val="16"/>
              </w:rPr>
            </w:pPr>
            <w:r w:rsidDel="00000000" w:rsidR="00000000" w:rsidRPr="00000000">
              <w:rPr>
                <w:b w:val="0"/>
                <w:color w:val="000000"/>
                <w:sz w:val="16"/>
                <w:szCs w:val="16"/>
                <w:rtl w:val="0"/>
              </w:rPr>
              <w:t xml:space="preserve">B.</w:t>
            </w:r>
          </w:p>
          <w:p w:rsidR="00000000" w:rsidDel="00000000" w:rsidP="00000000" w:rsidRDefault="00000000" w:rsidRPr="00000000" w14:paraId="00000114">
            <w:pPr>
              <w:widowControl w:val="0"/>
              <w:spacing w:line="240" w:lineRule="auto"/>
              <w:rPr>
                <w:b w:val="0"/>
                <w:color w:val="000000"/>
                <w:sz w:val="16"/>
                <w:szCs w:val="16"/>
              </w:rPr>
            </w:pPr>
            <w:r w:rsidDel="00000000" w:rsidR="00000000" w:rsidRPr="00000000">
              <w:rPr>
                <w:rtl w:val="0"/>
              </w:rPr>
            </w:r>
          </w:p>
          <w:p w:rsidR="00000000" w:rsidDel="00000000" w:rsidP="00000000" w:rsidRDefault="00000000" w:rsidRPr="00000000" w14:paraId="00000115">
            <w:pPr>
              <w:widowControl w:val="0"/>
              <w:spacing w:line="240" w:lineRule="auto"/>
              <w:rPr>
                <w:b w:val="0"/>
                <w:color w:val="000000"/>
                <w:sz w:val="16"/>
                <w:szCs w:val="16"/>
              </w:rPr>
            </w:pPr>
            <w:r w:rsidDel="00000000" w:rsidR="00000000" w:rsidRPr="00000000">
              <w:rPr>
                <w:b w:val="0"/>
                <w:color w:val="000000"/>
                <w:sz w:val="16"/>
                <w:szCs w:val="16"/>
                <w:rtl w:val="0"/>
              </w:rPr>
              <w:t xml:space="preserve">A deposit under which interest or a premium is payable, will be paid or is at risk, according to a formula which is based on either:</w:t>
            </w:r>
          </w:p>
          <w:p w:rsidR="00000000" w:rsidDel="00000000" w:rsidP="00000000" w:rsidRDefault="00000000" w:rsidRPr="00000000" w14:paraId="00000116">
            <w:pPr>
              <w:widowControl w:val="0"/>
              <w:spacing w:line="240" w:lineRule="auto"/>
              <w:rPr>
                <w:b w:val="0"/>
                <w:color w:val="000000"/>
                <w:sz w:val="16"/>
                <w:szCs w:val="16"/>
              </w:rPr>
            </w:pPr>
            <w:r w:rsidDel="00000000" w:rsidR="00000000" w:rsidRPr="00000000">
              <w:rPr>
                <w:rtl w:val="0"/>
              </w:rPr>
            </w:r>
          </w:p>
          <w:p w:rsidR="00000000" w:rsidDel="00000000" w:rsidP="00000000" w:rsidRDefault="00000000" w:rsidRPr="00000000" w14:paraId="00000117">
            <w:pPr>
              <w:widowControl w:val="0"/>
              <w:spacing w:line="240" w:lineRule="auto"/>
              <w:rPr>
                <w:b w:val="0"/>
                <w:color w:val="000000"/>
                <w:sz w:val="16"/>
                <w:szCs w:val="16"/>
              </w:rPr>
            </w:pPr>
            <w:r w:rsidDel="00000000" w:rsidR="00000000" w:rsidRPr="00000000">
              <w:rPr>
                <w:b w:val="0"/>
                <w:color w:val="000000"/>
                <w:sz w:val="16"/>
                <w:szCs w:val="16"/>
                <w:rtl w:val="0"/>
              </w:rPr>
              <w:t xml:space="preserve">(a) the performance of any: </w:t>
            </w:r>
          </w:p>
          <w:p w:rsidR="00000000" w:rsidDel="00000000" w:rsidP="00000000" w:rsidRDefault="00000000" w:rsidRPr="00000000" w14:paraId="00000118">
            <w:pPr>
              <w:widowControl w:val="0"/>
              <w:spacing w:line="240" w:lineRule="auto"/>
              <w:rPr>
                <w:b w:val="0"/>
                <w:color w:val="000000"/>
                <w:sz w:val="16"/>
                <w:szCs w:val="16"/>
              </w:rPr>
            </w:pPr>
            <w:r w:rsidDel="00000000" w:rsidR="00000000" w:rsidRPr="00000000">
              <w:rPr>
                <w:rtl w:val="0"/>
              </w:rPr>
            </w:r>
          </w:p>
          <w:p w:rsidR="00000000" w:rsidDel="00000000" w:rsidP="00000000" w:rsidRDefault="00000000" w:rsidRPr="00000000" w14:paraId="00000119">
            <w:pPr>
              <w:widowControl w:val="0"/>
              <w:spacing w:line="240" w:lineRule="auto"/>
              <w:ind w:left="346" w:hanging="90"/>
              <w:rPr>
                <w:b w:val="0"/>
                <w:color w:val="000000"/>
                <w:sz w:val="16"/>
                <w:szCs w:val="16"/>
              </w:rPr>
            </w:pPr>
            <w:r w:rsidDel="00000000" w:rsidR="00000000" w:rsidRPr="00000000">
              <w:rPr>
                <w:b w:val="0"/>
                <w:color w:val="000000"/>
                <w:sz w:val="16"/>
                <w:szCs w:val="16"/>
                <w:rtl w:val="0"/>
              </w:rPr>
              <w:t xml:space="preserve">(i) currency, currency index, interest rate, interest rate instrument, interest rate index, securities, securities index, a group or groups of such financial instruments; or</w:t>
            </w:r>
          </w:p>
          <w:p w:rsidR="00000000" w:rsidDel="00000000" w:rsidP="00000000" w:rsidRDefault="00000000" w:rsidRPr="00000000" w14:paraId="0000011A">
            <w:pPr>
              <w:widowControl w:val="0"/>
              <w:spacing w:line="240" w:lineRule="auto"/>
              <w:ind w:left="346" w:hanging="90"/>
              <w:rPr>
                <w:b w:val="0"/>
                <w:color w:val="000000"/>
                <w:sz w:val="16"/>
                <w:szCs w:val="16"/>
              </w:rPr>
            </w:pPr>
            <w:r w:rsidDel="00000000" w:rsidR="00000000" w:rsidRPr="00000000">
              <w:rPr>
                <w:b w:val="0"/>
                <w:color w:val="000000"/>
                <w:sz w:val="16"/>
                <w:szCs w:val="16"/>
                <w:rtl w:val="0"/>
              </w:rPr>
              <w:t xml:space="preserve"> </w:t>
            </w:r>
          </w:p>
          <w:p w:rsidR="00000000" w:rsidDel="00000000" w:rsidP="00000000" w:rsidRDefault="00000000" w:rsidRPr="00000000" w14:paraId="0000011B">
            <w:pPr>
              <w:widowControl w:val="0"/>
              <w:spacing w:line="240" w:lineRule="auto"/>
              <w:ind w:left="346" w:hanging="90"/>
              <w:rPr>
                <w:b w:val="0"/>
                <w:color w:val="000000"/>
                <w:sz w:val="16"/>
                <w:szCs w:val="16"/>
              </w:rPr>
            </w:pPr>
            <w:r w:rsidDel="00000000" w:rsidR="00000000" w:rsidRPr="00000000">
              <w:rPr>
                <w:b w:val="0"/>
                <w:color w:val="000000"/>
                <w:sz w:val="16"/>
                <w:szCs w:val="16"/>
                <w:rtl w:val="0"/>
              </w:rPr>
              <w:t xml:space="preserve">(ii) securities, specified securities‑based derivatives contracts or units in a collective investment scheme;</w:t>
            </w:r>
          </w:p>
          <w:p w:rsidR="00000000" w:rsidDel="00000000" w:rsidP="00000000" w:rsidRDefault="00000000" w:rsidRPr="00000000" w14:paraId="0000011C">
            <w:pPr>
              <w:widowControl w:val="0"/>
              <w:spacing w:line="240" w:lineRule="auto"/>
              <w:rPr>
                <w:b w:val="0"/>
                <w:color w:val="000000"/>
                <w:sz w:val="16"/>
                <w:szCs w:val="16"/>
              </w:rPr>
            </w:pPr>
            <w:r w:rsidDel="00000000" w:rsidR="00000000" w:rsidRPr="00000000">
              <w:rPr>
                <w:rtl w:val="0"/>
              </w:rPr>
            </w:r>
          </w:p>
          <w:p w:rsidR="00000000" w:rsidDel="00000000" w:rsidP="00000000" w:rsidRDefault="00000000" w:rsidRPr="00000000" w14:paraId="0000011D">
            <w:pPr>
              <w:widowControl w:val="0"/>
              <w:spacing w:line="240" w:lineRule="auto"/>
              <w:rPr>
                <w:b w:val="0"/>
                <w:color w:val="000000"/>
                <w:sz w:val="16"/>
                <w:szCs w:val="16"/>
              </w:rPr>
            </w:pPr>
            <w:r w:rsidDel="00000000" w:rsidR="00000000" w:rsidRPr="00000000">
              <w:rPr>
                <w:b w:val="0"/>
                <w:color w:val="000000"/>
                <w:sz w:val="16"/>
                <w:szCs w:val="16"/>
                <w:rtl w:val="0"/>
              </w:rPr>
              <w:t xml:space="preserve">or</w:t>
            </w:r>
          </w:p>
          <w:p w:rsidR="00000000" w:rsidDel="00000000" w:rsidP="00000000" w:rsidRDefault="00000000" w:rsidRPr="00000000" w14:paraId="0000011E">
            <w:pPr>
              <w:widowControl w:val="0"/>
              <w:spacing w:line="240" w:lineRule="auto"/>
              <w:rPr>
                <w:b w:val="0"/>
                <w:color w:val="000000"/>
                <w:sz w:val="16"/>
                <w:szCs w:val="16"/>
              </w:rPr>
            </w:pPr>
            <w:r w:rsidDel="00000000" w:rsidR="00000000" w:rsidRPr="00000000">
              <w:rPr>
                <w:rtl w:val="0"/>
              </w:rPr>
            </w:r>
          </w:p>
          <w:p w:rsidR="00000000" w:rsidDel="00000000" w:rsidP="00000000" w:rsidRDefault="00000000" w:rsidRPr="00000000" w14:paraId="0000011F">
            <w:pPr>
              <w:widowControl w:val="0"/>
              <w:spacing w:line="240" w:lineRule="auto"/>
              <w:rPr>
                <w:b w:val="0"/>
                <w:color w:val="000000"/>
                <w:sz w:val="16"/>
                <w:szCs w:val="16"/>
              </w:rPr>
            </w:pPr>
            <w:r w:rsidDel="00000000" w:rsidR="00000000" w:rsidRPr="00000000">
              <w:rPr>
                <w:b w:val="0"/>
                <w:color w:val="000000"/>
                <w:sz w:val="16"/>
                <w:szCs w:val="16"/>
                <w:rtl w:val="0"/>
              </w:rPr>
              <w:t xml:space="preserve">(b) the occurrence of any agreed event which triggers a payout or delivery of assets under a financial contract (which is designed to transfer credit risk on loans or other assets between two parties), where a bank or finance company is either a contracting party, would enjoy a benefit, or would incur a loss.</w:t>
            </w:r>
          </w:p>
          <w:p w:rsidR="00000000" w:rsidDel="00000000" w:rsidP="00000000" w:rsidRDefault="00000000" w:rsidRPr="00000000" w14:paraId="00000120">
            <w:pPr>
              <w:widowControl w:val="0"/>
              <w:spacing w:line="240" w:lineRule="auto"/>
              <w:rPr>
                <w:b w:val="0"/>
                <w:color w:val="000000"/>
                <w:sz w:val="16"/>
                <w:szCs w:val="16"/>
              </w:rPr>
            </w:pPr>
            <w:r w:rsidDel="00000000" w:rsidR="00000000" w:rsidRPr="00000000">
              <w:rPr>
                <w:rtl w:val="0"/>
              </w:rPr>
            </w:r>
          </w:p>
        </w:tc>
        <w:tc>
          <w:tcPr>
            <w:shd w:fill="c00000" w:val="clear"/>
            <w:vAlign w:val="center"/>
          </w:tcPr>
          <w:p w:rsidR="00000000" w:rsidDel="00000000" w:rsidP="00000000" w:rsidRDefault="00000000" w:rsidRPr="00000000" w14:paraId="00000121">
            <w:pPr>
              <w:spacing w:line="240" w:lineRule="auto"/>
              <w:jc w:val="center"/>
              <w:rPr>
                <w:sz w:val="16"/>
                <w:szCs w:val="16"/>
              </w:rPr>
            </w:pPr>
            <w:r w:rsidDel="00000000" w:rsidR="00000000" w:rsidRPr="00000000">
              <w:rPr>
                <w:sz w:val="16"/>
                <w:szCs w:val="16"/>
                <w:rtl w:val="0"/>
              </w:rPr>
              <w:t xml:space="preserve">◻</w:t>
            </w:r>
          </w:p>
        </w:tc>
        <w:tc>
          <w:tcPr>
            <w:shd w:fill="70ad47" w:val="clear"/>
            <w:vAlign w:val="center"/>
          </w:tcPr>
          <w:p w:rsidR="00000000" w:rsidDel="00000000" w:rsidP="00000000" w:rsidRDefault="00000000" w:rsidRPr="00000000" w14:paraId="00000122">
            <w:pPr>
              <w:spacing w:line="240" w:lineRule="auto"/>
              <w:jc w:val="center"/>
              <w:rPr>
                <w:color w:val="0f0f0f"/>
                <w:sz w:val="16"/>
                <w:szCs w:val="16"/>
              </w:rPr>
            </w:pPr>
            <w:r w:rsidDel="00000000" w:rsidR="00000000" w:rsidRPr="00000000">
              <w:rPr>
                <w:color w:val="0f0f0f"/>
                <w:sz w:val="16"/>
                <w:szCs w:val="16"/>
                <w:rtl w:val="0"/>
              </w:rPr>
              <w:t xml:space="preserve">◻</w:t>
            </w:r>
          </w:p>
        </w:tc>
        <w:tc>
          <w:tcPr>
            <w:shd w:fill="ffc000" w:val="clear"/>
            <w:vAlign w:val="center"/>
          </w:tcPr>
          <w:p w:rsidR="00000000" w:rsidDel="00000000" w:rsidP="00000000" w:rsidRDefault="00000000" w:rsidRPr="00000000" w14:paraId="00000123">
            <w:pPr>
              <w:spacing w:line="240" w:lineRule="auto"/>
              <w:jc w:val="center"/>
              <w:rPr>
                <w:color w:val="0f0f0f"/>
                <w:sz w:val="16"/>
                <w:szCs w:val="16"/>
              </w:rPr>
            </w:pPr>
            <w:r w:rsidDel="00000000" w:rsidR="00000000" w:rsidRPr="00000000">
              <w:rPr>
                <w:color w:val="0f0f0f"/>
                <w:sz w:val="16"/>
                <w:szCs w:val="16"/>
                <w:rtl w:val="0"/>
              </w:rPr>
              <w:t xml:space="preserve">◻</w:t>
            </w:r>
          </w:p>
        </w:tc>
        <w:tc>
          <w:tcPr>
            <w:shd w:fill="f2f2f2" w:val="clear"/>
          </w:tcPr>
          <w:p w:rsidR="00000000" w:rsidDel="00000000" w:rsidP="00000000" w:rsidRDefault="00000000" w:rsidRPr="00000000" w14:paraId="00000124">
            <w:pPr>
              <w:widowControl w:val="0"/>
              <w:numPr>
                <w:ilvl w:val="0"/>
                <w:numId w:val="2"/>
              </w:numPr>
              <w:spacing w:after="220" w:line="240" w:lineRule="auto"/>
              <w:ind w:left="360"/>
              <w:rPr>
                <w:rFonts w:ascii="Times New Roman" w:cs="Times New Roman" w:eastAsia="Times New Roman" w:hAnsi="Times New Roman"/>
                <w:b w:val="1"/>
                <w:color w:val="ffffff"/>
                <w:sz w:val="16"/>
                <w:szCs w:val="16"/>
              </w:rPr>
            </w:pPr>
            <w:r w:rsidDel="00000000" w:rsidR="00000000" w:rsidRPr="00000000">
              <w:rPr>
                <w:color w:val="000000"/>
                <w:sz w:val="16"/>
                <w:szCs w:val="16"/>
                <w:rtl w:val="0"/>
              </w:rPr>
              <w:t xml:space="preserve">DeFi protocol Tokens (including wrapped versions)</w:t>
            </w:r>
            <w:r w:rsidDel="00000000" w:rsidR="00000000" w:rsidRPr="00000000">
              <w:rPr>
                <w:b w:val="0"/>
                <w:color w:val="000000"/>
                <w:sz w:val="16"/>
                <w:szCs w:val="16"/>
                <w:rtl w:val="0"/>
              </w:rPr>
              <w:t xml:space="preserve">: rights in relation to a smart contract (or group of smart contracts) which is not a legal person and which are not otherwise legally enforceable against a counterparty are not relevant rights for these purposes – tick “</w:t>
            </w:r>
            <w:r w:rsidDel="00000000" w:rsidR="00000000" w:rsidRPr="00000000">
              <w:rPr>
                <w:b w:val="0"/>
                <w:i w:val="1"/>
                <w:color w:val="000000"/>
                <w:sz w:val="16"/>
                <w:szCs w:val="16"/>
                <w:rtl w:val="0"/>
              </w:rPr>
              <w:t xml:space="preserve">No</w:t>
            </w:r>
            <w:r w:rsidDel="00000000" w:rsidR="00000000" w:rsidRPr="00000000">
              <w:rPr>
                <w:b w:val="0"/>
                <w:color w:val="000000"/>
                <w:sz w:val="16"/>
                <w:szCs w:val="16"/>
                <w:rtl w:val="0"/>
              </w:rPr>
              <w:t xml:space="preserve">” for such rights.</w:t>
            </w:r>
            <w:r w:rsidDel="00000000" w:rsidR="00000000" w:rsidRPr="00000000">
              <w:rPr>
                <w:rtl w:val="0"/>
              </w:rPr>
            </w:r>
          </w:p>
        </w:tc>
      </w:tr>
      <w:tr>
        <w:trPr>
          <w:cantSplit w:val="0"/>
          <w:tblHeader w:val="0"/>
        </w:trPr>
        <w:tc>
          <w:tcPr>
            <w:gridSpan w:val="3"/>
            <w:vMerge w:val="continue"/>
            <w:shd w:fill="f2f2f2" w:val="clear"/>
            <w:vAlign w:val="center"/>
          </w:tcPr>
          <w:p w:rsidR="00000000" w:rsidDel="00000000" w:rsidP="00000000" w:rsidRDefault="00000000" w:rsidRPr="00000000" w14:paraId="00000125">
            <w:pPr>
              <w:widowControl w:val="0"/>
              <w:rPr>
                <w:color w:val="000000"/>
                <w:sz w:val="16"/>
                <w:szCs w:val="16"/>
              </w:rPr>
            </w:pPr>
            <w:r w:rsidDel="00000000" w:rsidR="00000000" w:rsidRPr="00000000">
              <w:rPr>
                <w:rtl w:val="0"/>
              </w:rPr>
            </w:r>
          </w:p>
        </w:tc>
        <w:tc>
          <w:tcPr>
            <w:shd w:fill="f2f2f2" w:val="clear"/>
            <w:vAlign w:val="center"/>
          </w:tcPr>
          <w:p w:rsidR="00000000" w:rsidDel="00000000" w:rsidP="00000000" w:rsidRDefault="00000000" w:rsidRPr="00000000" w14:paraId="00000128">
            <w:pPr>
              <w:widowControl w:val="0"/>
              <w:spacing w:line="240" w:lineRule="auto"/>
              <w:rPr>
                <w:b w:val="0"/>
                <w:color w:val="000000"/>
                <w:sz w:val="16"/>
                <w:szCs w:val="16"/>
              </w:rPr>
            </w:pPr>
            <w:r w:rsidDel="00000000" w:rsidR="00000000" w:rsidRPr="00000000">
              <w:rPr>
                <w:b w:val="0"/>
                <w:color w:val="000000"/>
                <w:sz w:val="16"/>
                <w:szCs w:val="16"/>
                <w:rtl w:val="0"/>
              </w:rPr>
              <w:t xml:space="preserve">Does the Token represent a dual currency investment where a deposit is accepted in one currency and which may be repayable in another currency?</w:t>
            </w:r>
          </w:p>
        </w:tc>
        <w:tc>
          <w:tcPr>
            <w:shd w:fill="c00000" w:val="clear"/>
            <w:vAlign w:val="center"/>
          </w:tcPr>
          <w:p w:rsidR="00000000" w:rsidDel="00000000" w:rsidP="00000000" w:rsidRDefault="00000000" w:rsidRPr="00000000" w14:paraId="00000129">
            <w:pPr>
              <w:spacing w:line="240" w:lineRule="auto"/>
              <w:jc w:val="center"/>
              <w:rPr>
                <w:sz w:val="16"/>
                <w:szCs w:val="16"/>
              </w:rPr>
            </w:pPr>
            <w:r w:rsidDel="00000000" w:rsidR="00000000" w:rsidRPr="00000000">
              <w:rPr>
                <w:sz w:val="16"/>
                <w:szCs w:val="16"/>
                <w:rtl w:val="0"/>
              </w:rPr>
              <w:t xml:space="preserve">◻</w:t>
            </w:r>
          </w:p>
        </w:tc>
        <w:tc>
          <w:tcPr>
            <w:shd w:fill="70ad47" w:val="clear"/>
            <w:vAlign w:val="center"/>
          </w:tcPr>
          <w:p w:rsidR="00000000" w:rsidDel="00000000" w:rsidP="00000000" w:rsidRDefault="00000000" w:rsidRPr="00000000" w14:paraId="0000012A">
            <w:pPr>
              <w:spacing w:line="240" w:lineRule="auto"/>
              <w:jc w:val="center"/>
              <w:rPr>
                <w:color w:val="000000"/>
                <w:sz w:val="16"/>
                <w:szCs w:val="16"/>
              </w:rPr>
            </w:pPr>
            <w:r w:rsidDel="00000000" w:rsidR="00000000" w:rsidRPr="00000000">
              <w:rPr>
                <w:color w:val="000000"/>
                <w:sz w:val="16"/>
                <w:szCs w:val="16"/>
                <w:rtl w:val="0"/>
              </w:rPr>
              <w:t xml:space="preserve">◻</w:t>
            </w:r>
          </w:p>
        </w:tc>
        <w:tc>
          <w:tcPr>
            <w:shd w:fill="ffc000" w:val="clear"/>
            <w:vAlign w:val="center"/>
          </w:tcPr>
          <w:p w:rsidR="00000000" w:rsidDel="00000000" w:rsidP="00000000" w:rsidRDefault="00000000" w:rsidRPr="00000000" w14:paraId="0000012B">
            <w:pPr>
              <w:spacing w:line="240" w:lineRule="auto"/>
              <w:jc w:val="center"/>
              <w:rPr>
                <w:color w:val="000000"/>
                <w:sz w:val="16"/>
                <w:szCs w:val="16"/>
              </w:rPr>
            </w:pPr>
            <w:r w:rsidDel="00000000" w:rsidR="00000000" w:rsidRPr="00000000">
              <w:rPr>
                <w:color w:val="000000"/>
                <w:sz w:val="16"/>
                <w:szCs w:val="16"/>
                <w:rtl w:val="0"/>
              </w:rPr>
              <w:t xml:space="preserve">◻</w:t>
            </w:r>
          </w:p>
        </w:tc>
        <w:tc>
          <w:tcPr>
            <w:shd w:fill="f2f2f2" w:val="clear"/>
          </w:tcPr>
          <w:p w:rsidR="00000000" w:rsidDel="00000000" w:rsidP="00000000" w:rsidRDefault="00000000" w:rsidRPr="00000000" w14:paraId="0000012C">
            <w:pPr>
              <w:widowControl w:val="0"/>
              <w:spacing w:after="220" w:line="240" w:lineRule="auto"/>
              <w:rPr>
                <w:color w:val="000000"/>
                <w:sz w:val="16"/>
                <w:szCs w:val="16"/>
              </w:rPr>
            </w:pPr>
            <w:r w:rsidDel="00000000" w:rsidR="00000000" w:rsidRPr="00000000">
              <w:rPr>
                <w:rtl w:val="0"/>
              </w:rPr>
            </w:r>
          </w:p>
        </w:tc>
      </w:tr>
      <w:tr>
        <w:trPr>
          <w:cantSplit w:val="0"/>
          <w:tblHeader w:val="0"/>
        </w:trPr>
        <w:tc>
          <w:tcPr>
            <w:gridSpan w:val="3"/>
            <w:vAlign w:val="center"/>
          </w:tcPr>
          <w:p w:rsidR="00000000" w:rsidDel="00000000" w:rsidP="00000000" w:rsidRDefault="00000000" w:rsidRPr="00000000" w14:paraId="0000012D">
            <w:pPr>
              <w:widowControl w:val="0"/>
              <w:spacing w:after="220" w:line="240" w:lineRule="auto"/>
              <w:rPr>
                <w:b w:val="0"/>
                <w:color w:val="000000"/>
                <w:sz w:val="16"/>
                <w:szCs w:val="16"/>
              </w:rPr>
            </w:pPr>
            <w:r w:rsidDel="00000000" w:rsidR="00000000" w:rsidRPr="00000000">
              <w:rPr>
                <w:b w:val="0"/>
                <w:color w:val="000000"/>
                <w:sz w:val="16"/>
                <w:szCs w:val="16"/>
                <w:rtl w:val="0"/>
              </w:rPr>
              <w:t xml:space="preserve">Contracts of Insurance</w:t>
            </w:r>
          </w:p>
        </w:tc>
        <w:tc>
          <w:tcPr>
            <w:vAlign w:val="center"/>
          </w:tcPr>
          <w:p w:rsidR="00000000" w:rsidDel="00000000" w:rsidP="00000000" w:rsidRDefault="00000000" w:rsidRPr="00000000" w14:paraId="00000130">
            <w:pPr>
              <w:widowControl w:val="0"/>
              <w:spacing w:after="220" w:line="240" w:lineRule="auto"/>
              <w:rPr>
                <w:b w:val="0"/>
                <w:color w:val="000000"/>
                <w:sz w:val="16"/>
                <w:szCs w:val="16"/>
              </w:rPr>
            </w:pPr>
            <w:r w:rsidDel="00000000" w:rsidR="00000000" w:rsidRPr="00000000">
              <w:rPr>
                <w:b w:val="0"/>
                <w:color w:val="000000"/>
                <w:sz w:val="16"/>
                <w:szCs w:val="16"/>
                <w:rtl w:val="0"/>
              </w:rPr>
              <w:t xml:space="preserve">Does the Token provide for the payment of a sum of money, or corresponding benefit, on the occurrence or non-occurrence of an event that has both: (i) some amount of uncertainty to it; and (ii) some adverse character in relation to the interests of the person entitled to receive the payment or corresponding benefit?</w:t>
            </w:r>
          </w:p>
        </w:tc>
        <w:tc>
          <w:tcPr>
            <w:shd w:fill="c00000" w:val="clear"/>
            <w:vAlign w:val="center"/>
          </w:tcPr>
          <w:p w:rsidR="00000000" w:rsidDel="00000000" w:rsidP="00000000" w:rsidRDefault="00000000" w:rsidRPr="00000000" w14:paraId="00000131">
            <w:pPr>
              <w:spacing w:line="240" w:lineRule="auto"/>
              <w:jc w:val="center"/>
              <w:rPr>
                <w:sz w:val="16"/>
                <w:szCs w:val="16"/>
              </w:rPr>
            </w:pPr>
            <w:r w:rsidDel="00000000" w:rsidR="00000000" w:rsidRPr="00000000">
              <w:rPr>
                <w:sz w:val="16"/>
                <w:szCs w:val="16"/>
                <w:rtl w:val="0"/>
              </w:rPr>
              <w:t xml:space="preserve">◻</w:t>
            </w:r>
          </w:p>
        </w:tc>
        <w:tc>
          <w:tcPr>
            <w:shd w:fill="70ad47" w:val="clear"/>
            <w:vAlign w:val="center"/>
          </w:tcPr>
          <w:p w:rsidR="00000000" w:rsidDel="00000000" w:rsidP="00000000" w:rsidRDefault="00000000" w:rsidRPr="00000000" w14:paraId="00000132">
            <w:pPr>
              <w:spacing w:line="240" w:lineRule="auto"/>
              <w:jc w:val="center"/>
              <w:rPr>
                <w:color w:val="000000"/>
                <w:sz w:val="16"/>
                <w:szCs w:val="16"/>
              </w:rPr>
            </w:pPr>
            <w:r w:rsidDel="00000000" w:rsidR="00000000" w:rsidRPr="00000000">
              <w:rPr>
                <w:color w:val="000000"/>
                <w:sz w:val="16"/>
                <w:szCs w:val="16"/>
                <w:rtl w:val="0"/>
              </w:rPr>
              <w:t xml:space="preserve">◻</w:t>
            </w:r>
          </w:p>
        </w:tc>
        <w:tc>
          <w:tcPr>
            <w:shd w:fill="ffc000" w:val="clear"/>
            <w:vAlign w:val="center"/>
          </w:tcPr>
          <w:p w:rsidR="00000000" w:rsidDel="00000000" w:rsidP="00000000" w:rsidRDefault="00000000" w:rsidRPr="00000000" w14:paraId="00000133">
            <w:pPr>
              <w:spacing w:line="240" w:lineRule="auto"/>
              <w:jc w:val="center"/>
              <w:rPr>
                <w:color w:val="000000"/>
                <w:sz w:val="16"/>
                <w:szCs w:val="16"/>
              </w:rPr>
            </w:pPr>
            <w:r w:rsidDel="00000000" w:rsidR="00000000" w:rsidRPr="00000000">
              <w:rPr>
                <w:color w:val="000000"/>
                <w:sz w:val="16"/>
                <w:szCs w:val="16"/>
                <w:rtl w:val="0"/>
              </w:rPr>
              <w:t xml:space="preserve">◻</w:t>
            </w:r>
          </w:p>
        </w:tc>
        <w:tc>
          <w:tcPr/>
          <w:p w:rsidR="00000000" w:rsidDel="00000000" w:rsidP="00000000" w:rsidRDefault="00000000" w:rsidRPr="00000000" w14:paraId="00000134">
            <w:pPr>
              <w:widowControl w:val="0"/>
              <w:numPr>
                <w:ilvl w:val="0"/>
                <w:numId w:val="5"/>
              </w:numPr>
              <w:spacing w:after="220" w:line="240" w:lineRule="auto"/>
              <w:ind w:left="360"/>
              <w:rPr>
                <w:rFonts w:ascii="Times New Roman" w:cs="Times New Roman" w:eastAsia="Times New Roman" w:hAnsi="Times New Roman"/>
                <w:b w:val="1"/>
                <w:color w:val="ffffff"/>
                <w:sz w:val="16"/>
                <w:szCs w:val="16"/>
              </w:rPr>
            </w:pPr>
            <w:r w:rsidDel="00000000" w:rsidR="00000000" w:rsidRPr="00000000">
              <w:rPr>
                <w:color w:val="000000"/>
                <w:sz w:val="16"/>
                <w:szCs w:val="16"/>
                <w:rtl w:val="0"/>
              </w:rPr>
              <w:t xml:space="preserve">Common law considerations</w:t>
            </w:r>
            <w:r w:rsidDel="00000000" w:rsidR="00000000" w:rsidRPr="00000000">
              <w:rPr>
                <w:b w:val="0"/>
                <w:color w:val="000000"/>
                <w:sz w:val="16"/>
                <w:szCs w:val="16"/>
                <w:rtl w:val="0"/>
              </w:rPr>
              <w:t xml:space="preserve">: the notion of “</w:t>
            </w:r>
            <w:r w:rsidDel="00000000" w:rsidR="00000000" w:rsidRPr="00000000">
              <w:rPr>
                <w:b w:val="0"/>
                <w:i w:val="1"/>
                <w:color w:val="000000"/>
                <w:sz w:val="16"/>
                <w:szCs w:val="16"/>
                <w:rtl w:val="0"/>
              </w:rPr>
              <w:t xml:space="preserve">contracts of insurance</w:t>
            </w:r>
            <w:r w:rsidDel="00000000" w:rsidR="00000000" w:rsidRPr="00000000">
              <w:rPr>
                <w:b w:val="0"/>
                <w:color w:val="000000"/>
                <w:sz w:val="16"/>
                <w:szCs w:val="16"/>
                <w:rtl w:val="0"/>
              </w:rPr>
              <w:t xml:space="preserve">” is highly technical and supplemented by extensive judicial interpretation, however a key factor is the presence of an event which has “</w:t>
            </w:r>
            <w:r w:rsidDel="00000000" w:rsidR="00000000" w:rsidRPr="00000000">
              <w:rPr>
                <w:b w:val="0"/>
                <w:i w:val="1"/>
                <w:color w:val="000000"/>
                <w:sz w:val="16"/>
                <w:szCs w:val="16"/>
                <w:rtl w:val="0"/>
              </w:rPr>
              <w:t xml:space="preserve">adverse character in relation to the interests of the person entitled to receive payment or benefit</w:t>
            </w:r>
            <w:r w:rsidDel="00000000" w:rsidR="00000000" w:rsidRPr="00000000">
              <w:rPr>
                <w:b w:val="0"/>
                <w:color w:val="000000"/>
                <w:sz w:val="16"/>
                <w:szCs w:val="16"/>
                <w:rtl w:val="0"/>
              </w:rPr>
              <w:t xml:space="preserve">” (as opposed to a payout based on an event the occurrence of which is independent of the person’s interests). Accordingly, tick “</w:t>
            </w:r>
            <w:r w:rsidDel="00000000" w:rsidR="00000000" w:rsidRPr="00000000">
              <w:rPr>
                <w:b w:val="0"/>
                <w:i w:val="1"/>
                <w:color w:val="000000"/>
                <w:sz w:val="16"/>
                <w:szCs w:val="16"/>
                <w:rtl w:val="0"/>
              </w:rPr>
              <w:t xml:space="preserve">No</w:t>
            </w:r>
            <w:r w:rsidDel="00000000" w:rsidR="00000000" w:rsidRPr="00000000">
              <w:rPr>
                <w:b w:val="0"/>
                <w:color w:val="000000"/>
                <w:sz w:val="16"/>
                <w:szCs w:val="16"/>
                <w:rtl w:val="0"/>
              </w:rPr>
              <w:t xml:space="preserve">” if this is not present, or “</w:t>
            </w:r>
            <w:r w:rsidDel="00000000" w:rsidR="00000000" w:rsidRPr="00000000">
              <w:rPr>
                <w:b w:val="0"/>
                <w:i w:val="1"/>
                <w:color w:val="000000"/>
                <w:sz w:val="16"/>
                <w:szCs w:val="16"/>
                <w:rtl w:val="0"/>
              </w:rPr>
              <w:t xml:space="preserve">Indeterminate</w:t>
            </w:r>
            <w:r w:rsidDel="00000000" w:rsidR="00000000" w:rsidRPr="00000000">
              <w:rPr>
                <w:b w:val="0"/>
                <w:color w:val="000000"/>
                <w:sz w:val="16"/>
                <w:szCs w:val="16"/>
                <w:rtl w:val="0"/>
              </w:rPr>
              <w:t xml:space="preserve">” if there is uncertainty about whether this is present.</w:t>
            </w:r>
          </w:p>
        </w:tc>
      </w:tr>
    </w:tbl>
    <w:p w:rsidR="00000000" w:rsidDel="00000000" w:rsidP="00000000" w:rsidRDefault="00000000" w:rsidRPr="00000000" w14:paraId="00000135">
      <w:pPr>
        <w:spacing w:after="22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sectPr>
      <w:pgSz w:h="15840" w:w="12240" w:orient="portrait"/>
      <w:pgMar w:bottom="1440" w:top="144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Times New Roman"/>
  <w:font w:name="Courier New"/>
  <w:font w:name="Wingding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decimal"/>
      <w:lvlText w:val="%1."/>
      <w:lvlJc w:val="left"/>
      <w:pPr>
        <w:ind w:left="709" w:hanging="709"/>
      </w:pPr>
      <w:rPr>
        <w:b w:val="1"/>
        <w:smallCaps w:val="0"/>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lowerRoman"/>
      <w:lvlText w:val="(%4)"/>
      <w:lvlJc w:val="left"/>
      <w:pPr>
        <w:ind w:left="2126" w:hanging="708"/>
      </w:pPr>
      <w:rPr/>
    </w:lvl>
    <w:lvl w:ilvl="4">
      <w:start w:val="1"/>
      <w:numFmt w:val="upperLetter"/>
      <w:lvlText w:val="(%5)"/>
      <w:lvlJc w:val="left"/>
      <w:pPr>
        <w:ind w:left="2835" w:hanging="709"/>
      </w:pPr>
      <w:rPr/>
    </w:lvl>
    <w:lvl w:ilvl="5">
      <w:start w:val="1"/>
      <w:numFmt w:val="upperRoman"/>
      <w:lvlText w:val="(%6)"/>
      <w:lvlJc w:val="left"/>
      <w:pPr>
        <w:ind w:left="3544" w:hanging="709"/>
      </w:pPr>
      <w:rPr/>
    </w:lvl>
    <w:lvl w:ilvl="6">
      <w:start w:val="1"/>
      <w:numFmt w:val="decimal"/>
      <w:lvlText w:val="(%7)"/>
      <w:lvlJc w:val="left"/>
      <w:pPr>
        <w:ind w:left="4253" w:hanging="709"/>
      </w:pPr>
      <w:rPr/>
    </w:lvl>
    <w:lvl w:ilvl="7">
      <w:start w:val="1"/>
      <w:numFmt w:val="lowerLetter"/>
      <w:lvlText w:val="%8)"/>
      <w:lvlJc w:val="left"/>
      <w:pPr>
        <w:ind w:left="4678" w:hanging="425"/>
      </w:pPr>
      <w:rPr/>
    </w:lvl>
    <w:lvl w:ilvl="8">
      <w:start w:val="1"/>
      <w:numFmt w:val="lowerRoman"/>
      <w:lvlText w:val="%9)"/>
      <w:lvlJc w:val="left"/>
      <w:pPr>
        <w:ind w:left="5387" w:hanging="708.9999999999991"/>
      </w:pPr>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rPr>
      <w:rFonts w:ascii="Times New Roman" w:cs="Times New Roman" w:eastAsia="Times New Roman" w:hAnsi="Times New Roman"/>
      <w:b w:val="1"/>
      <w:color w:val="ffffff"/>
      <w:sz w:val="20"/>
      <w:szCs w:val="20"/>
    </w:rPr>
    <w:tblPr>
      <w:tblStyleRowBandSize w:val="1"/>
      <w:tblStyleColBandSize w:val="1"/>
      <w:tblCellMar>
        <w:top w:w="0.0" w:type="dxa"/>
        <w:left w:w="115.0" w:type="dxa"/>
        <w:bottom w:w="0.0" w:type="dxa"/>
        <w:right w:w="115.0" w:type="dxa"/>
      </w:tblCellMar>
    </w:tblPr>
    <w:tcPr>
      <w:shd w:fill="auto" w:val="clear"/>
    </w:tcPr>
  </w:style>
  <w:style w:type="table" w:styleId="Table2">
    <w:basedOn w:val="TableNormal"/>
    <w:rPr>
      <w:rFonts w:ascii="Times New Roman" w:cs="Times New Roman" w:eastAsia="Times New Roman" w:hAnsi="Times New Roman"/>
      <w:b w:val="1"/>
      <w:color w:val="ffffff"/>
      <w:sz w:val="20"/>
      <w:szCs w:val="20"/>
    </w:rPr>
    <w:tblPr>
      <w:tblStyleRowBandSize w:val="1"/>
      <w:tblStyleColBandSize w:val="1"/>
      <w:tblCellMar>
        <w:top w:w="0.0" w:type="dxa"/>
        <w:left w:w="115.0" w:type="dxa"/>
        <w:bottom w:w="0.0" w:type="dxa"/>
        <w:right w:w="115.0" w:type="dxa"/>
      </w:tblCellMar>
    </w:tblPr>
    <w:tcPr>
      <w:shd w:fill="auto"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