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Lease Abstraction Schema</w:t>
      </w:r>
    </w:p>
    <w:p>
      <w:pPr>
        <w:spacing w:after="120"/>
      </w:pPr>
      <w:r>
        <w:rPr>
          <w:sz w:val="20"/>
          <w:szCs w:val="20"/>
        </w:rPr>
        <w:t xml:space="preserve">This schema is split into two related tables. Table 1 defines the lease-level fields — one value per lease. Table 2 defines the rent schedule, which is a repeating structure (one row per rent period in §2.2), so it is broken out into its own table and linked back to the lease via the rent_schedule field. The “Match Rule” column states what actually counts as a correct answer, which is what makes this usable as an eval schema.</w:t>
      </w:r>
    </w:p>
    <w:p>
      <w:pPr>
        <w:pStyle w:val="Heading2"/>
      </w:pPr>
      <w:r>
        <w:t xml:space="preserve">Table 1 — Lease (one record per lease)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4200"/>
        <w:gridCol w:w="3300"/>
      </w:tblGrid>
      <w:tr>
        <w:trPr>
          <w:tblHeader/>
        </w:trP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tenant_name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legal name of the tenant entity, including the entity suffix (LLC, Inc.). Found in Article 1, “Tenant.”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 name with suffix.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premises_address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 address of the leased Premises (suite + street + city + state + ZIP). Use the Premises, not the Building/Property, where they differ.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Premises address, with suite if any.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property_type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asset class of the property.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Industrial, Office, Retail, Medical Office, Life Sciences, Data Center, or Storage.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Rentable area of the Premises — not the whole building.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Premises RSF only.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size_unit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for the size value.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RSF, SF, or acres.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commencement_date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Lease Commencement Date from Article 1 — NOT the Rent Commencement Date or Effective Date where they differ.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MM/DD/YYYY. Commencement, not Rent Commencement.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term_months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Length of the initial Term in whole months.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term only.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lease_type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economic structure of the lease.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NNN, Modified Gross, Gross, or Full Service.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security_deposit_amount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Dollar amount of security held by Landlord (cash deposit OR letter-of-credit face amount).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Number, no $ or commas. LC face amount if no cash.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security_deposit_type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form of the security.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Cash, Letter of Credit, or None.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rent_schedule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full Base Rent schedule from §2.2. Broken out into its own table below — one row per rent period.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Table 2.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renewal_term_months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Length of each renewal option in months. Blank if there is no renewal option.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Whole months, or blank.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renewal_rent_basis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renewal rent is set. Blank if there is no renewal option.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Fair Market Rent, Fixed, Percentage Increase, or blank.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notice_min_months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Minimum months before expiration to give renewal notice (the “not later than” bound). Blank if no renewal.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“Not later than X months.”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notice_max_months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months before expiration to give renewal notice (the “not earlier than” bound). Blank if no renewal.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“Not earlier than X months.”</w:t>
            </w:r>
          </w:p>
        </w:tc>
      </w:tr>
    </w:tbl>
    <w:p>
      <w:pPr>
        <w:pStyle w:val="Heading2"/>
      </w:pPr>
      <w:r>
        <w:t xml:space="preserve">Table 2 — Rent Schedule (one record per rent period)</w:t>
      </w:r>
    </w:p>
    <w:p>
      <w:pPr>
        <w:spacing w:after="120"/>
      </w:pPr>
      <w:r>
        <w:rPr>
          <w:sz w:val="20"/>
          <w:szCs w:val="20"/>
        </w:rPr>
        <w:t xml:space="preserve">Each row is one period from the §2.2 Base Rent schedule. Repeat the two fields below once per period, including the abated ($0) period. These rows belong to the lease defined in Table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4200"/>
        <w:gridCol w:w="3300"/>
      </w:tblGrid>
      <w:tr>
        <w:trPr>
          <w:tblHeader/>
        </w:trP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date of the rent period (when this monthly amount begins). One row per period in the §2.2 schedule.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MM/DD/YYYY. Include the abated period.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payment_amount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Base Rent payable during that period.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Number, no $ or commas. Abated = 0.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2026-06-04T13:39:27.696Z</dcterms:created>
  <dcterms:modified xsi:type="dcterms:W3CDTF">2026-06-04T13:39:27.696Z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