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0" w:after="80"/>
      </w:pPr>
      <w:r>
        <w:rPr>
          <w:b/>
          <w:bCs/>
          <w:sz w:val="36"/>
          <w:szCs w:val="36"/>
        </w:rPr>
        <w:t xml:space="preserve">MEDICAL OFFICE LEASE</w:t>
      </w:r>
    </w:p>
    <w:p>
      <w:pPr>
        <w:jc w:val="center"/>
        <w:spacing w:before="0" w:after="80"/>
      </w:pPr>
      <w:r>
        <w:rPr>
          <w:b/>
          <w:bCs/>
          <w:sz w:val="24"/>
          <w:szCs w:val="24"/>
        </w:rPr>
        <w:t xml:space="preserve">Sentinel Peak Medical Plaza — Suite 540</w:t>
      </w:r>
    </w:p>
    <w:p>
      <w:pPr>
        <w:jc w:val="center"/>
        <w:spacing w:before="0" w:after="40"/>
      </w:pPr>
      <w:r>
        <w:rPr>
          <w:sz w:val="22"/>
          <w:szCs w:val="22"/>
        </w:rPr>
        <w:t xml:space="preserve">between BEEHIVE REALTY TRUST, LLC, as Landlord,</w:t>
      </w:r>
    </w:p>
    <w:p>
      <w:pPr>
        <w:jc w:val="center"/>
        <w:spacing w:before="0" w:after="240"/>
      </w:pPr>
      <w:r>
        <w:rPr>
          <w:sz w:val="22"/>
          <w:szCs w:val="22"/>
        </w:rPr>
        <w:t xml:space="preserve">and ASPEN HOLLOW OPHTHALMOLOGY, PLLC, as Tenant</w:t>
      </w:r>
    </w:p>
    <w:p>
      <w:pPr>
        <w:spacing w:before="0" w:after="120"/>
      </w:pPr>
      <w:r>
        <w:t xml:space="preserve">This Medical Office Lease (the "Lease") is entered into as of the Effective Date set forth in Article 1, by and between Landlord and Tenant. In consideration of the mutual covenants set forth herein, and intending to be legally bound, Landlord and Tenant agree as follows.</w:t>
      </w:r>
    </w:p>
    <w:p>
      <w:pPr>
        <w:spacing w:before="280" w:after="140"/>
        <w:keepNext/>
      </w:pPr>
      <w:r>
        <w:rPr>
          <w:b/>
          <w:bCs/>
          <w:sz w:val="28"/>
          <w:szCs w:val="28"/>
        </w:rPr>
        <w:t xml:space="preserve">ARTICLE 1.   KEY DEFINED TERMS</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000"/>
        <w:gridCol w:w="6500"/>
      </w:tblGrid>
      <w:tr>
        <w:tc>
          <w:tcPr>
            <w:tcW w:w="3000" w:type="dxa"/>
            <w:shd w:val="clear" w:color="auto" w:fill="E5E7EB"/>
          </w:tcPr>
          <w:p>
            <w:pPr>
              <w:spacing w:before="0" w:after="60"/>
            </w:pPr>
            <w:r>
              <w:rPr>
                <w:b/>
                <w:bCs/>
              </w:rPr>
              <w:t xml:space="preserve">Defined Term</w:t>
            </w:r>
          </w:p>
        </w:tc>
        <w:tc>
          <w:tcPr>
            <w:tcW w:w="6500" w:type="dxa"/>
            <w:shd w:val="clear" w:color="auto" w:fill="E5E7EB"/>
          </w:tcPr>
          <w:p>
            <w:pPr>
              <w:spacing w:before="0" w:after="60"/>
            </w:pPr>
            <w:r>
              <w:rPr>
                <w:b/>
                <w:bCs/>
              </w:rPr>
              <w:t xml:space="preserve">Entry</w:t>
            </w:r>
          </w:p>
        </w:tc>
      </w:tr>
      <w:tr>
        <w:tc>
          <w:tcPr>
            <w:tcW w:w="3000" w:type="dxa"/>
          </w:tcPr>
          <w:p>
            <w:pPr>
              <w:spacing w:before="0" w:after="60"/>
            </w:pPr>
            <w:r>
              <w:t xml:space="preserve">Effective Date</w:t>
            </w:r>
          </w:p>
        </w:tc>
        <w:tc>
          <w:tcPr>
            <w:tcW w:w="6500" w:type="dxa"/>
          </w:tcPr>
          <w:p>
            <w:pPr>
              <w:spacing w:before="0" w:after="60"/>
            </w:pPr>
            <w:r>
              <w:t xml:space="preserve">August 14, 2026.</w:t>
            </w:r>
          </w:p>
        </w:tc>
      </w:tr>
      <w:tr>
        <w:tc>
          <w:tcPr>
            <w:tcW w:w="3000" w:type="dxa"/>
          </w:tcPr>
          <w:p>
            <w:pPr>
              <w:spacing w:before="0" w:after="60"/>
            </w:pPr>
            <w:r>
              <w:t xml:space="preserve">Landlord</w:t>
            </w:r>
          </w:p>
        </w:tc>
        <w:tc>
          <w:tcPr>
            <w:tcW w:w="6500" w:type="dxa"/>
          </w:tcPr>
          <w:p>
            <w:pPr>
              <w:spacing w:before="0" w:after="60"/>
            </w:pPr>
            <w:r>
              <w:t xml:space="preserve">Beehive Realty Trust, LLC, a Utah limited liability company.</w:t>
            </w:r>
          </w:p>
        </w:tc>
      </w:tr>
      <w:tr>
        <w:tc>
          <w:tcPr>
            <w:tcW w:w="3000" w:type="dxa"/>
          </w:tcPr>
          <w:p>
            <w:pPr>
              <w:spacing w:before="0" w:after="60"/>
            </w:pPr>
            <w:r>
              <w:t xml:space="preserve">Tenant</w:t>
            </w:r>
          </w:p>
        </w:tc>
        <w:tc>
          <w:tcPr>
            <w:tcW w:w="6500" w:type="dxa"/>
          </w:tcPr>
          <w:p>
            <w:pPr>
              <w:spacing w:before="0" w:after="60"/>
            </w:pPr>
            <w:r>
              <w:t xml:space="preserve">Aspen Hollow Ophthalmology, PLLC, a Utah professional limited liability company.</w:t>
            </w:r>
          </w:p>
        </w:tc>
      </w:tr>
      <w:tr>
        <w:tc>
          <w:tcPr>
            <w:tcW w:w="3000" w:type="dxa"/>
          </w:tcPr>
          <w:p>
            <w:pPr>
              <w:spacing w:before="0" w:after="60"/>
            </w:pPr>
            <w:r>
              <w:t xml:space="preserve">Building</w:t>
            </w:r>
          </w:p>
        </w:tc>
        <w:tc>
          <w:tcPr>
            <w:tcW w:w="6500" w:type="dxa"/>
          </w:tcPr>
          <w:p>
            <w:pPr>
              <w:spacing w:before="0" w:after="60"/>
            </w:pPr>
            <w:r>
              <w:t xml:space="preserve">The six-story Class A medical office building known as Sentinel Peak Medical Plaza, located at 5945 South Vine Street, Murray, Utah 84107, consisting of approximately 92,000 rentable square feet, with structured parking, an on-site lab, and after-hours card-access control.</w:t>
            </w:r>
          </w:p>
        </w:tc>
      </w:tr>
      <w:tr>
        <w:tc>
          <w:tcPr>
            <w:tcW w:w="3000" w:type="dxa"/>
          </w:tcPr>
          <w:p>
            <w:pPr>
              <w:spacing w:before="0" w:after="60"/>
            </w:pPr>
            <w:r>
              <w:t xml:space="preserve">Premises</w:t>
            </w:r>
          </w:p>
        </w:tc>
        <w:tc>
          <w:tcPr>
            <w:tcW w:w="6500" w:type="dxa"/>
          </w:tcPr>
          <w:p>
            <w:pPr>
              <w:spacing w:before="0" w:after="60"/>
            </w:pPr>
            <w:r>
              <w:t xml:space="preserve">Suite 540, located on the fifth floor of the Building and depicted on Exhibit A, consisting of approximately 6,800 rentable square feet, including reception/waiting, five (5) exam rooms, a diagnostic/imaging room (lead-lined for limited fluoroscopy as required), a Class 4 laser room, an in-suite minor-procedure surgery suite (operating room, pre-op/recovery, sterilization, medical-gas room), business office, and break room.</w:t>
            </w:r>
          </w:p>
        </w:tc>
      </w:tr>
      <w:tr>
        <w:tc>
          <w:tcPr>
            <w:tcW w:w="3000" w:type="dxa"/>
          </w:tcPr>
          <w:p>
            <w:pPr>
              <w:spacing w:before="0" w:after="60"/>
            </w:pPr>
            <w:r>
              <w:t xml:space="preserve">Property</w:t>
            </w:r>
          </w:p>
        </w:tc>
        <w:tc>
          <w:tcPr>
            <w:tcW w:w="6500" w:type="dxa"/>
          </w:tcPr>
          <w:p>
            <w:pPr>
              <w:spacing w:before="0" w:after="60"/>
            </w:pPr>
            <w:r>
              <w:t xml:space="preserve">The Building, the land on which the Building is situated, and related parking, drives, sidewalks, landscaping, and common areas.</w:t>
            </w:r>
          </w:p>
        </w:tc>
      </w:tr>
      <w:tr>
        <w:tc>
          <w:tcPr>
            <w:tcW w:w="3000" w:type="dxa"/>
          </w:tcPr>
          <w:p>
            <w:pPr>
              <w:spacing w:before="0" w:after="60"/>
            </w:pPr>
            <w:r>
              <w:t xml:space="preserve">Commencement Date</w:t>
            </w:r>
          </w:p>
        </w:tc>
        <w:tc>
          <w:tcPr>
            <w:tcW w:w="6500" w:type="dxa"/>
          </w:tcPr>
          <w:p>
            <w:pPr>
              <w:spacing w:before="0" w:after="60"/>
            </w:pPr>
            <w:r>
              <w:t xml:space="preserve">September 1, 2026.</w:t>
            </w:r>
          </w:p>
        </w:tc>
      </w:tr>
      <w:tr>
        <w:tc>
          <w:tcPr>
            <w:tcW w:w="3000" w:type="dxa"/>
          </w:tcPr>
          <w:p>
            <w:pPr>
              <w:spacing w:before="0" w:after="60"/>
            </w:pPr>
            <w:r>
              <w:t xml:space="preserve">Term</w:t>
            </w:r>
          </w:p>
        </w:tc>
        <w:tc>
          <w:tcPr>
            <w:tcW w:w="6500" w:type="dxa"/>
          </w:tcPr>
          <w:p>
            <w:pPr>
              <w:spacing w:before="0" w:after="60"/>
            </w:pPr>
            <w:r>
              <w:t xml:space="preserve">One hundred twenty (120) full calendar months, expiring August 31, 2036 (the "Expiration Date"), unless sooner terminated or extended as provided herein.</w:t>
            </w:r>
          </w:p>
        </w:tc>
      </w:tr>
      <w:tr>
        <w:tc>
          <w:tcPr>
            <w:tcW w:w="3000" w:type="dxa"/>
          </w:tcPr>
          <w:p>
            <w:pPr>
              <w:spacing w:before="0" w:after="60"/>
            </w:pPr>
            <w:r>
              <w:t xml:space="preserve">Rent Structure</w:t>
            </w:r>
          </w:p>
        </w:tc>
        <w:tc>
          <w:tcPr>
            <w:tcW w:w="6500" w:type="dxa"/>
          </w:tcPr>
          <w:p>
            <w:pPr>
              <w:spacing w:before="0" w:after="60"/>
            </w:pPr>
            <w:r>
              <w:t xml:space="preserve">Modified gross with a 2027 calendar-year operating-expense base year ("Base Year"). Tenant pays Tenant Proportionate Share of Operating Expenses in excess of the Base Year amount, as set forth in Article 3.</w:t>
            </w:r>
          </w:p>
        </w:tc>
      </w:tr>
      <w:tr>
        <w:tc>
          <w:tcPr>
            <w:tcW w:w="3000" w:type="dxa"/>
          </w:tcPr>
          <w:p>
            <w:pPr>
              <w:spacing w:before="0" w:after="60"/>
            </w:pPr>
            <w:r>
              <w:t xml:space="preserve">Base Rent</w:t>
            </w:r>
          </w:p>
        </w:tc>
        <w:tc>
          <w:tcPr>
            <w:tcW w:w="6500" w:type="dxa"/>
          </w:tcPr>
          <w:p>
            <w:pPr>
              <w:spacing w:before="0" w:after="60"/>
            </w:pPr>
            <w:r>
              <w:t xml:space="preserve">As set forth in the schedule in Section 2.2.</w:t>
            </w:r>
          </w:p>
        </w:tc>
      </w:tr>
      <w:tr>
        <w:tc>
          <w:tcPr>
            <w:tcW w:w="3000" w:type="dxa"/>
          </w:tcPr>
          <w:p>
            <w:pPr>
              <w:spacing w:before="0" w:after="60"/>
            </w:pPr>
            <w:r>
              <w:t xml:space="preserve">Abatement Period</w:t>
            </w:r>
          </w:p>
        </w:tc>
        <w:tc>
          <w:tcPr>
            <w:tcW w:w="6500" w:type="dxa"/>
          </w:tcPr>
          <w:p>
            <w:pPr>
              <w:spacing w:before="0" w:after="60"/>
            </w:pPr>
            <w:r>
              <w:t xml:space="preserve">September 1, 2026 through November 30, 2026 (Base Rent only), to accommodate Tenant's build-out, equipment installation, and licensing.</w:t>
            </w:r>
          </w:p>
        </w:tc>
      </w:tr>
      <w:tr>
        <w:tc>
          <w:tcPr>
            <w:tcW w:w="3000" w:type="dxa"/>
          </w:tcPr>
          <w:p>
            <w:pPr>
              <w:spacing w:before="0" w:after="60"/>
            </w:pPr>
            <w:r>
              <w:t xml:space="preserve">Permitted Use</w:t>
            </w:r>
          </w:p>
        </w:tc>
        <w:tc>
          <w:tcPr>
            <w:tcW w:w="6500" w:type="dxa"/>
          </w:tcPr>
          <w:p>
            <w:pPr>
              <w:spacing w:before="0" w:after="60"/>
            </w:pPr>
            <w:r>
              <w:t xml:space="preserve">Operation of an ophthalmology, optometry, and ophthalmic surgical practice, including medical and surgical eye care, refractive and cataract procedures, diagnostic imaging, laser procedures, and ancillary optical dispensing limited to no more than ten percent (10%) of the rentable square footage of the Premises. No other use is permitted without Landlord's prior written consent.</w:t>
            </w:r>
          </w:p>
        </w:tc>
      </w:tr>
      <w:tr>
        <w:tc>
          <w:tcPr>
            <w:tcW w:w="3000" w:type="dxa"/>
          </w:tcPr>
          <w:p>
            <w:pPr>
              <w:spacing w:before="0" w:after="60"/>
            </w:pPr>
            <w:r>
              <w:t xml:space="preserve">Tenant Proportionate Share</w:t>
            </w:r>
          </w:p>
        </w:tc>
        <w:tc>
          <w:tcPr>
            <w:tcW w:w="6500" w:type="dxa"/>
          </w:tcPr>
          <w:p>
            <w:pPr>
              <w:spacing w:before="0" w:after="60"/>
            </w:pPr>
            <w:r>
              <w:t xml:space="preserve">7.39% (6,800 / 92,000).</w:t>
            </w:r>
          </w:p>
        </w:tc>
      </w:tr>
      <w:tr>
        <w:tc>
          <w:tcPr>
            <w:tcW w:w="3000" w:type="dxa"/>
          </w:tcPr>
          <w:p>
            <w:pPr>
              <w:spacing w:before="0" w:after="60"/>
            </w:pPr>
            <w:r>
              <w:t xml:space="preserve">Security Deposit</w:t>
            </w:r>
          </w:p>
        </w:tc>
        <w:tc>
          <w:tcPr>
            <w:tcW w:w="6500" w:type="dxa"/>
          </w:tcPr>
          <w:p>
            <w:pPr>
              <w:spacing w:before="0" w:after="60"/>
            </w:pPr>
            <w:r>
              <w:t xml:space="preserve">$36,266.66 (cash) (equal to two (2) months of Base Rent at the initial rate).</w:t>
            </w:r>
          </w:p>
        </w:tc>
      </w:tr>
      <w:tr>
        <w:tc>
          <w:tcPr>
            <w:tcW w:w="3000" w:type="dxa"/>
          </w:tcPr>
          <w:p>
            <w:pPr>
              <w:spacing w:before="0" w:after="60"/>
            </w:pPr>
            <w:r>
              <w:t xml:space="preserve">Guarantor</w:t>
            </w:r>
          </w:p>
        </w:tc>
        <w:tc>
          <w:tcPr>
            <w:tcW w:w="6500" w:type="dxa"/>
          </w:tcPr>
          <w:p>
            <w:pPr>
              <w:spacing w:before="0" w:after="60"/>
            </w:pPr>
            <w:r>
              <w:t xml:space="preserve">None.</w:t>
            </w:r>
          </w:p>
        </w:tc>
      </w:tr>
      <w:tr>
        <w:tc>
          <w:tcPr>
            <w:tcW w:w="3000" w:type="dxa"/>
          </w:tcPr>
          <w:p>
            <w:pPr>
              <w:spacing w:before="0" w:after="60"/>
            </w:pPr>
            <w:r>
              <w:t xml:space="preserve">Tenant Improvement Allowance</w:t>
            </w:r>
          </w:p>
        </w:tc>
        <w:tc>
          <w:tcPr>
            <w:tcW w:w="6500" w:type="dxa"/>
          </w:tcPr>
          <w:p>
            <w:pPr>
              <w:spacing w:before="0" w:after="60"/>
            </w:pPr>
            <w:r>
              <w:t xml:space="preserve">$80.00 per RSF ($544,000.00) for Tenant's medical build-out, payable in arrears under Exhibit G against lien-waiver-supported invoices.</w:t>
            </w:r>
          </w:p>
        </w:tc>
      </w:tr>
      <w:tr>
        <w:tc>
          <w:tcPr>
            <w:tcW w:w="3000" w:type="dxa"/>
          </w:tcPr>
          <w:p>
            <w:pPr>
              <w:spacing w:before="0" w:after="60"/>
            </w:pPr>
            <w:r>
              <w:t xml:space="preserve">Renewal Option</w:t>
            </w:r>
          </w:p>
        </w:tc>
        <w:tc>
          <w:tcPr>
            <w:tcW w:w="6500" w:type="dxa"/>
          </w:tcPr>
          <w:p>
            <w:pPr>
              <w:spacing w:before="0" w:after="60"/>
            </w:pPr>
            <w:r>
              <w:t xml:space="preserve">One (1) option to renew for five (5) years at Fair Market Rent, per Article 27.</w:t>
            </w:r>
          </w:p>
        </w:tc>
      </w:tr>
      <w:tr>
        <w:tc>
          <w:tcPr>
            <w:tcW w:w="3000" w:type="dxa"/>
          </w:tcPr>
          <w:p>
            <w:pPr>
              <w:spacing w:before="0" w:after="60"/>
            </w:pPr>
            <w:r>
              <w:t xml:space="preserve">Brokers</w:t>
            </w:r>
          </w:p>
        </w:tc>
        <w:tc>
          <w:tcPr>
            <w:tcW w:w="6500" w:type="dxa"/>
          </w:tcPr>
          <w:p>
            <w:pPr>
              <w:spacing w:before="0" w:after="60"/>
            </w:pPr>
            <w:r>
              <w:t xml:space="preserve">Tenant Broker: Catalyst Healthcare Real Estate, LLC. Landlord Broker: Beehive Realty Trust, LLC (in-house).</w:t>
            </w:r>
          </w:p>
        </w:tc>
      </w:tr>
      <w:tr>
        <w:tc>
          <w:tcPr>
            <w:tcW w:w="3000" w:type="dxa"/>
          </w:tcPr>
          <w:p>
            <w:pPr>
              <w:spacing w:before="0" w:after="60"/>
            </w:pPr>
            <w:r>
              <w:t xml:space="preserve">Tenant Notice Address</w:t>
            </w:r>
          </w:p>
        </w:tc>
        <w:tc>
          <w:tcPr>
            <w:tcW w:w="6500" w:type="dxa"/>
          </w:tcPr>
          <w:p>
            <w:pPr>
              <w:spacing w:before="0" w:after="60"/>
            </w:pPr>
            <w:r>
              <w:t xml:space="preserve">Aspen Hollow Ophthalmology, PLLC, Attn: Camille N. Petrovic, MD, Managing Physician, Suite 540, 5945 South Vine Street, Murray, UT 84107; courtesy email copy to cpetrovic@aspenhollowoph.example.</w:t>
            </w:r>
          </w:p>
        </w:tc>
      </w:tr>
      <w:tr>
        <w:tc>
          <w:tcPr>
            <w:tcW w:w="3000" w:type="dxa"/>
          </w:tcPr>
          <w:p>
            <w:pPr>
              <w:spacing w:before="0" w:after="60"/>
            </w:pPr>
            <w:r>
              <w:t xml:space="preserve">Landlord Notice Address</w:t>
            </w:r>
          </w:p>
        </w:tc>
        <w:tc>
          <w:tcPr>
            <w:tcW w:w="6500" w:type="dxa"/>
          </w:tcPr>
          <w:p>
            <w:pPr>
              <w:spacing w:before="0" w:after="60"/>
            </w:pPr>
            <w:r>
              <w:t xml:space="preserve">Beehive Realty Trust, LLC, Attn: Lease Administration, 175 East 400 South, Suite 900, Salt Lake City, UT 84111; courtesy email copy to leases@beehiverealtytrust.example.</w:t>
            </w:r>
          </w:p>
        </w:tc>
      </w:tr>
      <w:tr>
        <w:tc>
          <w:tcPr>
            <w:tcW w:w="3000" w:type="dxa"/>
          </w:tcPr>
          <w:p>
            <w:pPr>
              <w:spacing w:before="0" w:after="60"/>
            </w:pPr>
            <w:r>
              <w:t xml:space="preserve">Exhibits</w:t>
            </w:r>
          </w:p>
        </w:tc>
        <w:tc>
          <w:tcPr>
            <w:tcW w:w="6500" w:type="dxa"/>
          </w:tcPr>
          <w:p>
            <w:pPr>
              <w:spacing w:before="0" w:after="60"/>
            </w:pPr>
            <w:r>
              <w:t xml:space="preserve">Exhibit A (Depiction of Premises); Exhibit B (Surrender Requirements); Exhibit C (Rules and Regulations); Exhibit D (Tenant Contact Information); Exhibit E (Sign Specifications); Exhibit F (Confirmation of Commencement Date); Exhibit G (Work Letter &amp; Tenant Improvement Allowance); Exhibit I (Utah-Specific Provisions); Exhibit P (Medical Operations, HIPAA &amp; Biohazard); Exhibit Q (Exclusive Use — Ophthalmology). All other exhibits referenced in the Beehive standard form are intentionally omitted as inapplicable.</w:t>
            </w:r>
          </w:p>
        </w:tc>
      </w:tr>
    </w:tbl>
    <w:p>
      <w:pPr>
        <w:spacing w:before="0" w:after="80"/>
      </w:pPr>
    </w:p>
    <w:p>
      <w:pPr>
        <w:spacing w:before="280" w:after="140"/>
        <w:keepNext/>
      </w:pPr>
      <w:r>
        <w:rPr>
          <w:b/>
          <w:bCs/>
          <w:sz w:val="28"/>
          <w:szCs w:val="28"/>
        </w:rPr>
        <w:t xml:space="preserve">ARTICLE 2.   LEASE OF PREMISES; RENT</w:t>
      </w:r>
    </w:p>
    <w:p>
      <w:pPr>
        <w:spacing w:before="0" w:after="120"/>
      </w:pPr>
      <w:r>
        <w:rPr>
          <w:b/>
          <w:bCs/>
        </w:rPr>
        <w:t xml:space="preserve">2.1   Grant. </w:t>
      </w:r>
      <w:r>
        <w:t xml:space="preserve">Landlord leases the Premises to Tenant for the Term, subject to this Lease.</w:t>
      </w:r>
    </w:p>
    <w:p>
      <w:pPr>
        <w:spacing w:before="0" w:after="120"/>
      </w:pPr>
      <w:r>
        <w:rPr>
          <w:b/>
          <w:bCs/>
        </w:rPr>
        <w:t xml:space="preserve">2.2   Base Rent Schedule. </w:t>
      </w:r>
      <w:r>
        <w:t xml:space="preserve">Tenant shall pay Base Rent in monthly installments, in advance, on the first day of each calendar month, without demand, deduction, abatement, counterclaim, or setoff, except as expressly provided in this Lease.</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000"/>
        <w:gridCol w:w="1800"/>
        <w:gridCol w:w="2300"/>
        <w:gridCol w:w="2400"/>
      </w:tblGrid>
      <w:tr>
        <w:tc>
          <w:tcPr>
            <w:tcW w:w="3000" w:type="dxa"/>
            <w:shd w:val="clear" w:color="auto" w:fill="E5E7EB"/>
          </w:tcPr>
          <w:p>
            <w:pPr>
              <w:spacing w:before="0" w:after="60"/>
            </w:pPr>
            <w:r>
              <w:rPr>
                <w:b/>
                <w:bCs/>
              </w:rPr>
              <w:t xml:space="preserve">Period</w:t>
            </w:r>
          </w:p>
        </w:tc>
        <w:tc>
          <w:tcPr>
            <w:tcW w:w="1800" w:type="dxa"/>
            <w:shd w:val="clear" w:color="auto" w:fill="E5E7EB"/>
          </w:tcPr>
          <w:p>
            <w:pPr>
              <w:spacing w:before="0" w:after="60"/>
            </w:pPr>
            <w:r>
              <w:rPr>
                <w:b/>
                <w:bCs/>
              </w:rPr>
              <w:t xml:space="preserve">Rate per RSF</w:t>
            </w:r>
          </w:p>
        </w:tc>
        <w:tc>
          <w:tcPr>
            <w:tcW w:w="2300" w:type="dxa"/>
            <w:shd w:val="clear" w:color="auto" w:fill="E5E7EB"/>
          </w:tcPr>
          <w:p>
            <w:pPr>
              <w:spacing w:before="0" w:after="60"/>
            </w:pPr>
            <w:r>
              <w:rPr>
                <w:b/>
                <w:bCs/>
              </w:rPr>
              <w:t xml:space="preserve">Monthly Base Rent</w:t>
            </w:r>
          </w:p>
        </w:tc>
        <w:tc>
          <w:tcPr>
            <w:tcW w:w="2400" w:type="dxa"/>
            <w:shd w:val="clear" w:color="auto" w:fill="E5E7EB"/>
          </w:tcPr>
          <w:p>
            <w:pPr>
              <w:spacing w:before="0" w:after="60"/>
            </w:pPr>
            <w:r>
              <w:rPr>
                <w:b/>
                <w:bCs/>
              </w:rPr>
              <w:t xml:space="preserve">Annual Base Rent</w:t>
            </w:r>
          </w:p>
        </w:tc>
      </w:tr>
      <w:tr>
        <w:tc>
          <w:tcPr>
            <w:tcW w:w="3000" w:type="dxa"/>
          </w:tcPr>
          <w:p>
            <w:pPr>
              <w:spacing w:before="0" w:after="60"/>
            </w:pPr>
            <w:r>
              <w:t xml:space="preserve">Sep 1, 2026 – Nov 30, 2026</w:t>
            </w:r>
          </w:p>
        </w:tc>
        <w:tc>
          <w:tcPr>
            <w:tcW w:w="1800" w:type="dxa"/>
          </w:tcPr>
          <w:p>
            <w:pPr>
              <w:spacing w:before="0" w:after="60"/>
            </w:pPr>
            <w:r>
              <w:t xml:space="preserve">$32.00 (abated)</w:t>
            </w:r>
          </w:p>
        </w:tc>
        <w:tc>
          <w:tcPr>
            <w:tcW w:w="2300" w:type="dxa"/>
          </w:tcPr>
          <w:p>
            <w:pPr>
              <w:spacing w:before="0" w:after="60"/>
            </w:pPr>
            <w:r>
              <w:t xml:space="preserve">$0.00 (abated)</w:t>
            </w:r>
          </w:p>
        </w:tc>
        <w:tc>
          <w:tcPr>
            <w:tcW w:w="2400" w:type="dxa"/>
          </w:tcPr>
          <w:p>
            <w:pPr>
              <w:spacing w:before="0" w:after="60"/>
            </w:pPr>
            <w:r>
              <w:t xml:space="preserve">—</w:t>
            </w:r>
          </w:p>
        </w:tc>
      </w:tr>
      <w:tr>
        <w:tc>
          <w:tcPr>
            <w:tcW w:w="3000" w:type="dxa"/>
          </w:tcPr>
          <w:p>
            <w:pPr>
              <w:spacing w:before="0" w:after="60"/>
            </w:pPr>
            <w:r>
              <w:t xml:space="preserve">Dec 1, 2026 – Aug 31, 2027</w:t>
            </w:r>
          </w:p>
        </w:tc>
        <w:tc>
          <w:tcPr>
            <w:tcW w:w="1800" w:type="dxa"/>
          </w:tcPr>
          <w:p>
            <w:pPr>
              <w:spacing w:before="0" w:after="60"/>
            </w:pPr>
            <w:r>
              <w:t xml:space="preserve">$32.00</w:t>
            </w:r>
          </w:p>
        </w:tc>
        <w:tc>
          <w:tcPr>
            <w:tcW w:w="2300" w:type="dxa"/>
          </w:tcPr>
          <w:p>
            <w:pPr>
              <w:spacing w:before="0" w:after="60"/>
            </w:pPr>
            <w:r>
              <w:t xml:space="preserve">$18,133.33</w:t>
            </w:r>
          </w:p>
        </w:tc>
        <w:tc>
          <w:tcPr>
            <w:tcW w:w="2400" w:type="dxa"/>
          </w:tcPr>
          <w:p>
            <w:pPr>
              <w:spacing w:before="0" w:after="60"/>
            </w:pPr>
            <w:r>
              <w:t xml:space="preserve">$217,600.00</w:t>
            </w:r>
          </w:p>
        </w:tc>
      </w:tr>
      <w:tr>
        <w:tc>
          <w:tcPr>
            <w:tcW w:w="3000" w:type="dxa"/>
          </w:tcPr>
          <w:p>
            <w:pPr>
              <w:spacing w:before="0" w:after="60"/>
            </w:pPr>
            <w:r>
              <w:t xml:space="preserve">Sep 1, 2027 – Aug 31, 2028</w:t>
            </w:r>
          </w:p>
        </w:tc>
        <w:tc>
          <w:tcPr>
            <w:tcW w:w="1800" w:type="dxa"/>
          </w:tcPr>
          <w:p>
            <w:pPr>
              <w:spacing w:before="0" w:after="60"/>
            </w:pPr>
            <w:r>
              <w:t xml:space="preserve">$32.96</w:t>
            </w:r>
          </w:p>
        </w:tc>
        <w:tc>
          <w:tcPr>
            <w:tcW w:w="2300" w:type="dxa"/>
          </w:tcPr>
          <w:p>
            <w:pPr>
              <w:spacing w:before="0" w:after="60"/>
            </w:pPr>
            <w:r>
              <w:t xml:space="preserve">$18,677.33</w:t>
            </w:r>
          </w:p>
        </w:tc>
        <w:tc>
          <w:tcPr>
            <w:tcW w:w="2400" w:type="dxa"/>
          </w:tcPr>
          <w:p>
            <w:pPr>
              <w:spacing w:before="0" w:after="60"/>
            </w:pPr>
            <w:r>
              <w:t xml:space="preserve">$224,128.00</w:t>
            </w:r>
          </w:p>
        </w:tc>
      </w:tr>
      <w:tr>
        <w:tc>
          <w:tcPr>
            <w:tcW w:w="3000" w:type="dxa"/>
          </w:tcPr>
          <w:p>
            <w:pPr>
              <w:spacing w:before="0" w:after="60"/>
            </w:pPr>
            <w:r>
              <w:t xml:space="preserve">Sep 1, 2028 – Aug 31, 2029</w:t>
            </w:r>
          </w:p>
        </w:tc>
        <w:tc>
          <w:tcPr>
            <w:tcW w:w="1800" w:type="dxa"/>
          </w:tcPr>
          <w:p>
            <w:pPr>
              <w:spacing w:before="0" w:after="60"/>
            </w:pPr>
            <w:r>
              <w:t xml:space="preserve">$33.95</w:t>
            </w:r>
          </w:p>
        </w:tc>
        <w:tc>
          <w:tcPr>
            <w:tcW w:w="2300" w:type="dxa"/>
          </w:tcPr>
          <w:p>
            <w:pPr>
              <w:spacing w:before="0" w:after="60"/>
            </w:pPr>
            <w:r>
              <w:t xml:space="preserve">$19,238.33</w:t>
            </w:r>
          </w:p>
        </w:tc>
        <w:tc>
          <w:tcPr>
            <w:tcW w:w="2400" w:type="dxa"/>
          </w:tcPr>
          <w:p>
            <w:pPr>
              <w:spacing w:before="0" w:after="60"/>
            </w:pPr>
            <w:r>
              <w:t xml:space="preserve">$230,860.00</w:t>
            </w:r>
          </w:p>
        </w:tc>
      </w:tr>
      <w:tr>
        <w:tc>
          <w:tcPr>
            <w:tcW w:w="3000" w:type="dxa"/>
          </w:tcPr>
          <w:p>
            <w:pPr>
              <w:spacing w:before="0" w:after="60"/>
            </w:pPr>
            <w:r>
              <w:t xml:space="preserve">Sep 1, 2029 – Aug 31, 2030</w:t>
            </w:r>
          </w:p>
        </w:tc>
        <w:tc>
          <w:tcPr>
            <w:tcW w:w="1800" w:type="dxa"/>
          </w:tcPr>
          <w:p>
            <w:pPr>
              <w:spacing w:before="0" w:after="60"/>
            </w:pPr>
            <w:r>
              <w:t xml:space="preserve">$34.97</w:t>
            </w:r>
          </w:p>
        </w:tc>
        <w:tc>
          <w:tcPr>
            <w:tcW w:w="2300" w:type="dxa"/>
          </w:tcPr>
          <w:p>
            <w:pPr>
              <w:spacing w:before="0" w:after="60"/>
            </w:pPr>
            <w:r>
              <w:t xml:space="preserve">$19,816.33</w:t>
            </w:r>
          </w:p>
        </w:tc>
        <w:tc>
          <w:tcPr>
            <w:tcW w:w="2400" w:type="dxa"/>
          </w:tcPr>
          <w:p>
            <w:pPr>
              <w:spacing w:before="0" w:after="60"/>
            </w:pPr>
            <w:r>
              <w:t xml:space="preserve">$237,796.00</w:t>
            </w:r>
          </w:p>
        </w:tc>
      </w:tr>
      <w:tr>
        <w:tc>
          <w:tcPr>
            <w:tcW w:w="3000" w:type="dxa"/>
          </w:tcPr>
          <w:p>
            <w:pPr>
              <w:spacing w:before="0" w:after="60"/>
            </w:pPr>
            <w:r>
              <w:t xml:space="preserve">Sep 1, 2030 – Aug 31, 2031</w:t>
            </w:r>
          </w:p>
        </w:tc>
        <w:tc>
          <w:tcPr>
            <w:tcW w:w="1800" w:type="dxa"/>
          </w:tcPr>
          <w:p>
            <w:pPr>
              <w:spacing w:before="0" w:after="60"/>
            </w:pPr>
            <w:r>
              <w:t xml:space="preserve">$36.02</w:t>
            </w:r>
          </w:p>
        </w:tc>
        <w:tc>
          <w:tcPr>
            <w:tcW w:w="2300" w:type="dxa"/>
          </w:tcPr>
          <w:p>
            <w:pPr>
              <w:spacing w:before="0" w:after="60"/>
            </w:pPr>
            <w:r>
              <w:t xml:space="preserve">$20,411.33</w:t>
            </w:r>
          </w:p>
        </w:tc>
        <w:tc>
          <w:tcPr>
            <w:tcW w:w="2400" w:type="dxa"/>
          </w:tcPr>
          <w:p>
            <w:pPr>
              <w:spacing w:before="0" w:after="60"/>
            </w:pPr>
            <w:r>
              <w:t xml:space="preserve">$244,936.00</w:t>
            </w:r>
          </w:p>
        </w:tc>
      </w:tr>
      <w:tr>
        <w:tc>
          <w:tcPr>
            <w:tcW w:w="3000" w:type="dxa"/>
          </w:tcPr>
          <w:p>
            <w:pPr>
              <w:spacing w:before="0" w:after="60"/>
            </w:pPr>
            <w:r>
              <w:t xml:space="preserve">Sep 1, 2031 – Aug 31, 2032</w:t>
            </w:r>
          </w:p>
        </w:tc>
        <w:tc>
          <w:tcPr>
            <w:tcW w:w="1800" w:type="dxa"/>
          </w:tcPr>
          <w:p>
            <w:pPr>
              <w:spacing w:before="0" w:after="60"/>
            </w:pPr>
            <w:r>
              <w:t xml:space="preserve">$37.10</w:t>
            </w:r>
          </w:p>
        </w:tc>
        <w:tc>
          <w:tcPr>
            <w:tcW w:w="2300" w:type="dxa"/>
          </w:tcPr>
          <w:p>
            <w:pPr>
              <w:spacing w:before="0" w:after="60"/>
            </w:pPr>
            <w:r>
              <w:t xml:space="preserve">$21,023.33</w:t>
            </w:r>
          </w:p>
        </w:tc>
        <w:tc>
          <w:tcPr>
            <w:tcW w:w="2400" w:type="dxa"/>
          </w:tcPr>
          <w:p>
            <w:pPr>
              <w:spacing w:before="0" w:after="60"/>
            </w:pPr>
            <w:r>
              <w:t xml:space="preserve">$252,280.00</w:t>
            </w:r>
          </w:p>
        </w:tc>
      </w:tr>
      <w:tr>
        <w:tc>
          <w:tcPr>
            <w:tcW w:w="3000" w:type="dxa"/>
          </w:tcPr>
          <w:p>
            <w:pPr>
              <w:spacing w:before="0" w:after="60"/>
            </w:pPr>
            <w:r>
              <w:t xml:space="preserve">Sep 1, 2032 – Aug 31, 2033</w:t>
            </w:r>
          </w:p>
        </w:tc>
        <w:tc>
          <w:tcPr>
            <w:tcW w:w="1800" w:type="dxa"/>
          </w:tcPr>
          <w:p>
            <w:pPr>
              <w:spacing w:before="0" w:after="60"/>
            </w:pPr>
            <w:r>
              <w:t xml:space="preserve">$38.21</w:t>
            </w:r>
          </w:p>
        </w:tc>
        <w:tc>
          <w:tcPr>
            <w:tcW w:w="2300" w:type="dxa"/>
          </w:tcPr>
          <w:p>
            <w:pPr>
              <w:spacing w:before="0" w:after="60"/>
            </w:pPr>
            <w:r>
              <w:t xml:space="preserve">$21,652.33</w:t>
            </w:r>
          </w:p>
        </w:tc>
        <w:tc>
          <w:tcPr>
            <w:tcW w:w="2400" w:type="dxa"/>
          </w:tcPr>
          <w:p>
            <w:pPr>
              <w:spacing w:before="0" w:after="60"/>
            </w:pPr>
            <w:r>
              <w:t xml:space="preserve">$259,828.00</w:t>
            </w:r>
          </w:p>
        </w:tc>
      </w:tr>
      <w:tr>
        <w:tc>
          <w:tcPr>
            <w:tcW w:w="3000" w:type="dxa"/>
          </w:tcPr>
          <w:p>
            <w:pPr>
              <w:spacing w:before="0" w:after="60"/>
            </w:pPr>
            <w:r>
              <w:t xml:space="preserve">Sep 1, 2033 – Aug 31, 2034</w:t>
            </w:r>
          </w:p>
        </w:tc>
        <w:tc>
          <w:tcPr>
            <w:tcW w:w="1800" w:type="dxa"/>
          </w:tcPr>
          <w:p>
            <w:pPr>
              <w:spacing w:before="0" w:after="60"/>
            </w:pPr>
            <w:r>
              <w:t xml:space="preserve">$39.36</w:t>
            </w:r>
          </w:p>
        </w:tc>
        <w:tc>
          <w:tcPr>
            <w:tcW w:w="2300" w:type="dxa"/>
          </w:tcPr>
          <w:p>
            <w:pPr>
              <w:spacing w:before="0" w:after="60"/>
            </w:pPr>
            <w:r>
              <w:t xml:space="preserve">$22,304.00</w:t>
            </w:r>
          </w:p>
        </w:tc>
        <w:tc>
          <w:tcPr>
            <w:tcW w:w="2400" w:type="dxa"/>
          </w:tcPr>
          <w:p>
            <w:pPr>
              <w:spacing w:before="0" w:after="60"/>
            </w:pPr>
            <w:r>
              <w:t xml:space="preserve">$267,648.00</w:t>
            </w:r>
          </w:p>
        </w:tc>
      </w:tr>
      <w:tr>
        <w:tc>
          <w:tcPr>
            <w:tcW w:w="3000" w:type="dxa"/>
          </w:tcPr>
          <w:p>
            <w:pPr>
              <w:spacing w:before="0" w:after="60"/>
            </w:pPr>
            <w:r>
              <w:t xml:space="preserve">Sep 1, 2034 – Aug 31, 2035</w:t>
            </w:r>
          </w:p>
        </w:tc>
        <w:tc>
          <w:tcPr>
            <w:tcW w:w="1800" w:type="dxa"/>
          </w:tcPr>
          <w:p>
            <w:pPr>
              <w:spacing w:before="0" w:after="60"/>
            </w:pPr>
            <w:r>
              <w:t xml:space="preserve">$40.54</w:t>
            </w:r>
          </w:p>
        </w:tc>
        <w:tc>
          <w:tcPr>
            <w:tcW w:w="2300" w:type="dxa"/>
          </w:tcPr>
          <w:p>
            <w:pPr>
              <w:spacing w:before="0" w:after="60"/>
            </w:pPr>
            <w:r>
              <w:t xml:space="preserve">$22,972.00</w:t>
            </w:r>
          </w:p>
        </w:tc>
        <w:tc>
          <w:tcPr>
            <w:tcW w:w="2400" w:type="dxa"/>
          </w:tcPr>
          <w:p>
            <w:pPr>
              <w:spacing w:before="0" w:after="60"/>
            </w:pPr>
            <w:r>
              <w:t xml:space="preserve">$275,672.00</w:t>
            </w:r>
          </w:p>
        </w:tc>
      </w:tr>
      <w:tr>
        <w:tc>
          <w:tcPr>
            <w:tcW w:w="3000" w:type="dxa"/>
          </w:tcPr>
          <w:p>
            <w:pPr>
              <w:spacing w:before="0" w:after="60"/>
            </w:pPr>
            <w:r>
              <w:t xml:space="preserve">Sep 1, 2035 – Aug 31, 2036</w:t>
            </w:r>
          </w:p>
        </w:tc>
        <w:tc>
          <w:tcPr>
            <w:tcW w:w="1800" w:type="dxa"/>
          </w:tcPr>
          <w:p>
            <w:pPr>
              <w:spacing w:before="0" w:after="60"/>
            </w:pPr>
            <w:r>
              <w:t xml:space="preserve">$41.76</w:t>
            </w:r>
          </w:p>
        </w:tc>
        <w:tc>
          <w:tcPr>
            <w:tcW w:w="2300" w:type="dxa"/>
          </w:tcPr>
          <w:p>
            <w:pPr>
              <w:spacing w:before="0" w:after="60"/>
            </w:pPr>
            <w:r>
              <w:t xml:space="preserve">$23,664.00</w:t>
            </w:r>
          </w:p>
        </w:tc>
        <w:tc>
          <w:tcPr>
            <w:tcW w:w="2400" w:type="dxa"/>
          </w:tcPr>
          <w:p>
            <w:pPr>
              <w:spacing w:before="0" w:after="60"/>
            </w:pPr>
            <w:r>
              <w:t xml:space="preserve">$283,968.00</w:t>
            </w:r>
          </w:p>
        </w:tc>
      </w:tr>
    </w:tbl>
    <w:p>
      <w:pPr>
        <w:spacing w:before="0" w:after="80"/>
      </w:pPr>
    </w:p>
    <w:p>
      <w:pPr>
        <w:spacing w:before="0" w:after="120"/>
      </w:pPr>
      <w:r>
        <w:rPr>
          <w:b/>
          <w:bCs/>
        </w:rPr>
        <w:t xml:space="preserve">2.3   Modified Gross with Base-Year Stop. </w:t>
      </w:r>
      <w:r>
        <w:t xml:space="preserve">Base Rent is "modified gross": Landlord pays all Operating Expenses through the Base Year. Beginning January 1, 2028, Tenant shall pay Tenant Proportionate Share of the increase in Operating Expenses over the Base Year amount, as Additional Rent, in accordance with Article 3.</w:t>
      </w:r>
    </w:p>
    <w:p>
      <w:pPr>
        <w:spacing w:before="0" w:after="120"/>
      </w:pPr>
      <w:r>
        <w:rPr>
          <w:b/>
          <w:bCs/>
        </w:rPr>
        <w:t xml:space="preserve">2.4   Abatement. </w:t>
      </w:r>
      <w:r>
        <w:t xml:space="preserve">During the Abatement Period, Base Rent (only) shall be abated. Operating Expenses and any utilities directly billed to Tenant shall remain payable. If a monetary Default results in termination of this Lease or Tenant's right of possession, the unamortized portion of the abated Base Rent shall, to the extent permitted by law, become immediately due as additional damages.</w:t>
      </w:r>
    </w:p>
    <w:p>
      <w:pPr>
        <w:spacing w:before="0" w:after="120"/>
      </w:pPr>
      <w:r>
        <w:rPr>
          <w:b/>
          <w:bCs/>
        </w:rPr>
        <w:t xml:space="preserve">2.5   Required Payments at Execution. </w:t>
      </w:r>
      <w:r>
        <w:t xml:space="preserve">Within five (5) business days after the Effective Date, Tenant shall deliver (a) the first monthly installment of Base Rent due after the Abatement Period ($18,133.33); (b) the Security Deposit ($36,266.66); and (c) certificates of insurance compliant with Article 11.</w:t>
      </w:r>
    </w:p>
    <w:p>
      <w:pPr>
        <w:spacing w:before="0" w:after="120"/>
      </w:pPr>
      <w:r>
        <w:rPr>
          <w:b/>
          <w:bCs/>
        </w:rPr>
        <w:t xml:space="preserve">2.6   Payment Method; Late Charge; Interest. </w:t>
      </w:r>
      <w:r>
        <w:t xml:space="preserve">Rent is paid by ACH. Rent not paid within five (5) days bears a five percent (5%) late charge; Rent not paid within thirty (30) days bears interest at the lesser of ten percent (10%) per annum or the maximum lawful rate.</w:t>
      </w:r>
    </w:p>
    <w:p>
      <w:pPr>
        <w:spacing w:before="0" w:after="120"/>
      </w:pPr>
      <w:r>
        <w:rPr>
          <w:b/>
          <w:bCs/>
        </w:rPr>
        <w:t xml:space="preserve">2.7   Security Deposit. </w:t>
      </w:r>
      <w:r>
        <w:t xml:space="preserve">The Security Deposit secures Tenant's performance. Landlord may apply it to cure a Default or reimburse Landlord. Tenant shall replenish any amount applied within ten (10) days after demand. The unapplied balance shall be returned within sixty (60) days after the later of the Expiration Date or surrender of possession.</w:t>
      </w:r>
    </w:p>
    <w:p>
      <w:pPr>
        <w:spacing w:before="280" w:after="140"/>
        <w:keepNext/>
      </w:pPr>
      <w:r>
        <w:rPr>
          <w:b/>
          <w:bCs/>
          <w:sz w:val="28"/>
          <w:szCs w:val="28"/>
        </w:rPr>
        <w:t xml:space="preserve">ARTICLE 3.   OPERATING EXPENSES (BASE-YEAR STOP)</w:t>
      </w:r>
    </w:p>
    <w:p>
      <w:pPr>
        <w:spacing w:before="0" w:after="120"/>
      </w:pPr>
      <w:r>
        <w:rPr>
          <w:b/>
          <w:bCs/>
        </w:rPr>
        <w:t xml:space="preserve">3.1   Definition. </w:t>
      </w:r>
      <w:r>
        <w:t xml:space="preserve">"Operating Expenses" means all reasonable costs paid or incurred by Landlord during the applicable year in connection with the ownership, operation, management, repair, replacement, and maintenance of the Property, including common area maintenance, common-area utilities (lobby, corridors, restrooms, elevators, parking), property insurance, real property taxes, management fees, professional fees, landscaping, snow and ice removal, parking-structure maintenance, common-area janitorial, base-building HVAC maintenance and utilities, and permitted capital improvements.</w:t>
      </w:r>
    </w:p>
    <w:p>
      <w:pPr>
        <w:spacing w:before="0" w:after="120"/>
      </w:pPr>
      <w:r>
        <w:rPr>
          <w:b/>
          <w:bCs/>
        </w:rPr>
        <w:t xml:space="preserve">3.2   Base Year; Pass-Through. </w:t>
      </w:r>
      <w:r>
        <w:t xml:space="preserve">The Base Year is calendar year 2027. Beginning January 1, 2028, Tenant shall pay Tenant Proportionate Share of the amount by which Operating Expenses for each calendar year exceed Operating Expenses for the Base Year. Tenant shall pay this Additional Rent in monthly estimates based on Landlord's good-faith projection, with annual reconciliation under Section 3.6. If the Building is less than ninety-five percent (95%) occupied during any calendar year (including the Base Year), variable Operating Expenses shall be grossed-up as if the Building were ninety-five percent (95%) occupied; this gross-up applies uniformly to the Base Year and all subsequent years.</w:t>
      </w:r>
    </w:p>
    <w:p>
      <w:pPr>
        <w:spacing w:before="0" w:after="120"/>
      </w:pPr>
      <w:r>
        <w:rPr>
          <w:b/>
          <w:bCs/>
        </w:rPr>
        <w:t xml:space="preserve">3.3   Permitted Capital Items. </w:t>
      </w:r>
      <w:r>
        <w:t xml:space="preserve">Operating Expenses may include the amortized cost, with reasonable interest, of capital improvements that (a) are intended to reduce Operating Expenses, (b) are required to comply with Laws first enacted or first applicable to the Property after the Base Year, or (c) improve energy efficiency, in each case amortized over the useful life of the improvement.</w:t>
      </w:r>
    </w:p>
    <w:p>
      <w:pPr>
        <w:spacing w:before="0" w:after="120"/>
      </w:pPr>
      <w:r>
        <w:rPr>
          <w:b/>
          <w:bCs/>
        </w:rPr>
        <w:t xml:space="preserve">3.4   Exclusions. </w:t>
      </w:r>
      <w:r>
        <w:t xml:space="preserve">Operating Expenses exclude leasing commissions; marketing costs; tenant improvement allowances or build-out costs for other tenants; principal, interest, and financing costs on debt; depreciation; costs reimbursed by insurance proceeds or third parties; costs caused by Landlord's gross negligence or willful misconduct; costs to remediate hazardous materials present before the Effective Date and not caused by Tenant; capital items other than those expressly permitted by Section 3.3; and Landlord's general corporate overhead.</w:t>
      </w:r>
    </w:p>
    <w:p>
      <w:pPr>
        <w:spacing w:before="0" w:after="120"/>
      </w:pPr>
      <w:r>
        <w:rPr>
          <w:b/>
          <w:bCs/>
        </w:rPr>
        <w:t xml:space="preserve">3.5   Management Fee. </w:t>
      </w:r>
      <w:r>
        <w:t xml:space="preserve">Operating Expenses may include a management fee not to exceed four percent (4%) of gross rents collected from the Property.</w:t>
      </w:r>
    </w:p>
    <w:p>
      <w:pPr>
        <w:spacing w:before="0" w:after="120"/>
      </w:pPr>
      <w:r>
        <w:rPr>
          <w:b/>
          <w:bCs/>
        </w:rPr>
        <w:t xml:space="preserve">3.6   Reconciliation; Audit. </w:t>
      </w:r>
      <w:r>
        <w:t xml:space="preserve">Within one hundred fifty (150) days after each calendar year, Landlord shall deliver a statement of actual Operating Expenses showing the Base Year amount and the current-year amount. Underpayments are due within thirty (30) days; overpayments are credited or refunded. Tenant may audit within sixty (60) days after the statement, by a CPA on a non-contingency basis, completed within forty-five (45) days. If overcharge exceeds five percent (5%), Landlord shall reimburse Tenant's reasonable audit costs up to $5,000.</w:t>
      </w:r>
    </w:p>
    <w:p>
      <w:pPr>
        <w:spacing w:before="0" w:after="120"/>
      </w:pPr>
      <w:r>
        <w:rPr>
          <w:b/>
          <w:bCs/>
        </w:rPr>
        <w:t xml:space="preserve">3.7   Controllable Expense Cap. </w:t>
      </w:r>
      <w:r>
        <w:t xml:space="preserve">Controllable Operating Expenses for any calendar year after the Base Year shall not exceed the prior year's Controllable Operating Expenses by more than five percent (5%) on a cumulative, compounded basis. Controllable Operating Expenses exclude taxes, insurance, utilities, snow and ice removal, security, costs to comply with Laws, casualty/Force Majeure costs, and permitted capital items.</w:t>
      </w:r>
    </w:p>
    <w:p>
      <w:pPr>
        <w:spacing w:before="280" w:after="140"/>
        <w:keepNext/>
      </w:pPr>
      <w:r>
        <w:rPr>
          <w:b/>
          <w:bCs/>
          <w:sz w:val="28"/>
          <w:szCs w:val="28"/>
        </w:rPr>
        <w:t xml:space="preserve">ARTICLE 4.   UTILITIES, AFTER-HOURS HVAC, AND MEDICAL SERVICES</w:t>
      </w:r>
    </w:p>
    <w:p>
      <w:pPr>
        <w:spacing w:before="0" w:after="120"/>
      </w:pPr>
      <w:r>
        <w:rPr>
          <w:b/>
          <w:bCs/>
        </w:rPr>
        <w:t xml:space="preserve">4.1   Building-Standard Service. </w:t>
      </w:r>
      <w:r>
        <w:t xml:space="preserve">Landlord shall furnish, as part of base building services and included in Operating Expenses (subject to the base-year stop), (a) HVAC, lighting, and electrical to the Premises during Building Standard Hours (Monday–Friday 6:00 a.m. to 8:00 p.m., Saturday 7:00 a.m. to 2:00 p.m., excluding Building holidays); (b) water and sewer to common-area restrooms and to the in-suite plumbing connections at the Premises (Tenant's in-suite sterilization sinks, scrub sinks, and OR plumbing run from these connections); (c) trash removal from common-area receptacles; (d) elevator service; (e) common-area janitorial; and (f) base-building life-safety systems.</w:t>
      </w:r>
    </w:p>
    <w:p>
      <w:pPr>
        <w:spacing w:before="0" w:after="120"/>
      </w:pPr>
      <w:r>
        <w:rPr>
          <w:b/>
          <w:bCs/>
        </w:rPr>
        <w:t xml:space="preserve">4.2   In-Suite Janitorial; Trash. </w:t>
      </w:r>
      <w:r>
        <w:t xml:space="preserve">Tenant shall arrange and pay for janitorial service inside the Premises by a vendor experienced in medical office environments and qualified to handle exam, surgical, and sterilization areas. Tenant's general trash is included; Tenant's biohazard, sharps, chemotherapy, pharmaceutical, and other regulated medical waste shall be removed by a licensed medical-waste hauler at Tenant's expense, per Exhibit P.</w:t>
      </w:r>
    </w:p>
    <w:p>
      <w:pPr>
        <w:spacing w:before="0" w:after="120"/>
      </w:pPr>
      <w:r>
        <w:rPr>
          <w:b/>
          <w:bCs/>
        </w:rPr>
        <w:t xml:space="preserve">4.3   After-Hours HVAC. </w:t>
      </w:r>
      <w:r>
        <w:t xml:space="preserve">After-hours HVAC service to the Premises (outside Building Standard Hours) shall be available on request to the property management office at the then-current Building rate (currently $55 per hour per zone, with a two-hour minimum). Tenant's use of the OR suite requires positive-pressure HVAC and HEPA filtration confirmed by the BMS; Tenant shall use after-hours HVAC for any procedures performed outside Building Standard Hours.</w:t>
      </w:r>
    </w:p>
    <w:p>
      <w:pPr>
        <w:spacing w:before="0" w:after="120"/>
      </w:pPr>
      <w:r>
        <w:rPr>
          <w:b/>
          <w:bCs/>
        </w:rPr>
        <w:t xml:space="preserve">4.4   Tenant-Side Electrical and Plumbing. </w:t>
      </w:r>
      <w:r>
        <w:t xml:space="preserve">The Premises receive a 600-amp 120/208V three-phase electrical service to a tenant electrical room. Tenant is responsible for any upgrades required by Tenant's equipment (including imaging, lasers, and sterilizers) and shall coordinate with Landlord on any panel additions, transformer changes, or shared-feeder considerations. Plumbing within the Premises and connections to base-building risers are Tenant's responsibility under Article 15.</w:t>
      </w:r>
    </w:p>
    <w:p>
      <w:pPr>
        <w:spacing w:before="0" w:after="120"/>
      </w:pPr>
      <w:r>
        <w:rPr>
          <w:b/>
          <w:bCs/>
        </w:rPr>
        <w:t xml:space="preserve">4.5   Medical Gas. </w:t>
      </w:r>
      <w:r>
        <w:t xml:space="preserve">The Premises do not receive piped medical gas from the Building. Tenant's medical gas operations (oxygen, nitrous oxide, medical air, vacuum, as required by Tenant's practice) shall be cylinder-based, located in the medical-gas room shown on Exhibit A, and operated in compliance with NFPA 99 and Utah Department of Health requirements per Exhibit P. Tenant shall not install piped medical gas without Landlord's prior written consent.</w:t>
      </w:r>
    </w:p>
    <w:p>
      <w:pPr>
        <w:spacing w:before="0" w:after="120"/>
      </w:pPr>
      <w:r>
        <w:rPr>
          <w:b/>
          <w:bCs/>
        </w:rPr>
        <w:t xml:space="preserve">4.6   Interruption. </w:t>
      </w:r>
      <w:r>
        <w:t xml:space="preserve">No interruption of utility service caused by a utility provider, governmental action, or any other cause not within Landlord's reasonable control shall constitute eviction or relieve Tenant of payment. If interruption caused by Landlord's negligence continues more than three (3) consecutive business days and materially prevents Tenant from operating, Tenant's sole remedy is a proportionate Base Rent abatement for actual loss of use. For interruption affecting only after-hours HVAC, no abatement applies.</w:t>
      </w:r>
    </w:p>
    <w:p>
      <w:pPr>
        <w:spacing w:before="280" w:after="140"/>
        <w:keepNext/>
      </w:pPr>
      <w:r>
        <w:rPr>
          <w:b/>
          <w:bCs/>
          <w:sz w:val="28"/>
          <w:szCs w:val="28"/>
        </w:rPr>
        <w:t xml:space="preserve">ARTICLE 5.   USE; COMMON AREAS; EXCLUSIVES</w:t>
      </w:r>
    </w:p>
    <w:p>
      <w:pPr>
        <w:spacing w:before="0" w:after="120"/>
      </w:pPr>
      <w:r>
        <w:rPr>
          <w:b/>
          <w:bCs/>
        </w:rPr>
        <w:t xml:space="preserve">5.1   Permitted Use; Compliance. </w:t>
      </w:r>
      <w:r>
        <w:t xml:space="preserve">Tenant shall use the Premises only for the Permitted Use and shall comply with all Laws applicable to its operations, including the certificate of occupancy; Utah Department of Health and DOPL licensure; Drug Enforcement Administration registration (if applicable); CLIA waiver (if applicable); ASC, OBS, or in-office surgery licensing as required for Tenant's procedures; HIPAA and 42 CFR Part 2 (if applicable) governing patient privacy; OSHA Bloodborne Pathogen Standard (29 CFR 1910.1030); FDA registration for any laser or imaging device requiring registration; and applicable Murray City and Salt Lake County requirements.</w:t>
      </w:r>
    </w:p>
    <w:p>
      <w:pPr>
        <w:spacing w:before="0" w:after="120"/>
      </w:pPr>
      <w:r>
        <w:rPr>
          <w:b/>
          <w:bCs/>
        </w:rPr>
        <w:t xml:space="preserve">5.2   Operational Restrictions. </w:t>
      </w:r>
      <w:r>
        <w:t xml:space="preserve">Tenant shall not (a) violate Laws or the Building's certificate of occupancy; (b) operate any imaging or laser equipment that requires lead-lined enclosures or RF shielding outside the rooms designated for such use; (c) emit odors, vibration, or noise audible outside the Premises; (d) invalidate the Building's insurance; (e) admit non-ambulatory or sedated patients into the common-area corridors except by accompanied transfer to a vehicle with curbside coordination through the loading area; or (f) operate the OR suite without confirmed positive-pressure HVAC and HEPA filtration.</w:t>
      </w:r>
    </w:p>
    <w:p>
      <w:pPr>
        <w:spacing w:before="0" w:after="120"/>
      </w:pPr>
      <w:r>
        <w:rPr>
          <w:b/>
          <w:bCs/>
        </w:rPr>
        <w:t xml:space="preserve">5.3   Common Areas. </w:t>
      </w:r>
      <w:r>
        <w:t xml:space="preserve">Tenant may use the Building's common areas (lobby, elevators, corridors, restrooms, stairwells, structured parking) on a nonexclusive basis, subject to the Rules and Landlord's reserved rights. Tenant shall not stage equipment, signage, or patient overflow in the common areas.</w:t>
      </w:r>
    </w:p>
    <w:p>
      <w:pPr>
        <w:spacing w:before="0" w:after="120"/>
      </w:pPr>
      <w:r>
        <w:rPr>
          <w:b/>
          <w:bCs/>
        </w:rPr>
        <w:t xml:space="preserve">5.4   Patient Parking. </w:t>
      </w:r>
      <w:r>
        <w:t xml:space="preserve">Tenant shall be entitled to use the Building's nonexclusive structured parking. The Building maintains four (4) additional ADA spaces and three (3) "Patient Drop-Off" spaces on the ground level at the main entry, on a first-come basis available to all medical tenants. Tenant's staff shall park in the dedicated staff parking area as designated by Landlord (third level, north side).</w:t>
      </w:r>
    </w:p>
    <w:p>
      <w:pPr>
        <w:spacing w:before="0" w:after="120"/>
      </w:pPr>
      <w:r>
        <w:rPr>
          <w:b/>
          <w:bCs/>
        </w:rPr>
        <w:t xml:space="preserve">5.5   Signage. </w:t>
      </w:r>
      <w:r>
        <w:t xml:space="preserve">Tenant shall be entitled to (a) one (1) suite-entry sign in the Building's standard format, (b) two (2) lines on the Building lobby directory, and (c) one (1) tile on the Building monument sign at Vine Street, in each case per Exhibit E and at Tenant's cost. Exterior signage on the Building façade is not permitted.</w:t>
      </w:r>
    </w:p>
    <w:p>
      <w:pPr>
        <w:spacing w:before="0" w:after="120"/>
      </w:pPr>
      <w:r>
        <w:rPr>
          <w:b/>
          <w:bCs/>
        </w:rPr>
        <w:t xml:space="preserve">5.6   Security; After-Hours Access. </w:t>
      </w:r>
      <w:r>
        <w:t xml:space="preserve">The Building maintains card-access control after Building Standard Hours and lobby cameras. Tenant is responsible for security within the Premises, including any keypad locks, alarms, and access for after-hours scheduled procedures. Tenant's after-hours procedures shall not interfere with Building operations or other tenants.</w:t>
      </w:r>
    </w:p>
    <w:p>
      <w:pPr>
        <w:spacing w:before="0" w:after="120"/>
      </w:pPr>
      <w:r>
        <w:rPr>
          <w:b/>
          <w:bCs/>
        </w:rPr>
        <w:t xml:space="preserve">5.7   Exclusive Use. </w:t>
      </w:r>
      <w:r>
        <w:t xml:space="preserve">Landlord's grant of an exclusive use to Tenant for ophthalmology and ophthalmic surgery within the Building is governed by Exhibit Q.</w:t>
      </w:r>
    </w:p>
    <w:p>
      <w:pPr>
        <w:spacing w:before="0" w:after="120"/>
      </w:pPr>
      <w:r>
        <w:rPr>
          <w:b/>
          <w:bCs/>
        </w:rPr>
        <w:t xml:space="preserve">5.8   Coordination with Adjacent Health System. </w:t>
      </w:r>
      <w:r>
        <w:t xml:space="preserve">Tenant acknowledges the Building is in the vicinity of Intermountain Medical Center; nothing in this Lease requires Tenant to maintain hospital privileges, an affiliation, or a referral relationship.</w:t>
      </w:r>
    </w:p>
    <w:p>
      <w:pPr>
        <w:spacing w:before="280" w:after="140"/>
        <w:keepNext/>
      </w:pPr>
      <w:r>
        <w:rPr>
          <w:b/>
          <w:bCs/>
          <w:sz w:val="28"/>
          <w:szCs w:val="28"/>
        </w:rPr>
        <w:t xml:space="preserve">ARTICLE 6.   CONDITION AND DELIVERY</w:t>
      </w:r>
    </w:p>
    <w:p>
      <w:pPr>
        <w:spacing w:before="0" w:after="120"/>
      </w:pPr>
      <w:r>
        <w:rPr>
          <w:b/>
          <w:bCs/>
        </w:rPr>
        <w:t xml:space="preserve">6.1   As-Is with Landlord Work. </w:t>
      </w:r>
      <w:r>
        <w:t xml:space="preserve">Subject to Landlord Work in Exhibit G, Tenant accepts the Premises in their "AS IS, WHERE IS" condition. Landlord's delivery includes Building-standard demising walls, base-building HVAC, base electrical service, plumbing connections, life-safety stub-outs, and a current Certificate of Occupancy covering the Building shell and the Premises in "warm-shell" condition.</w:t>
      </w:r>
    </w:p>
    <w:p>
      <w:pPr>
        <w:spacing w:before="0" w:after="120"/>
      </w:pPr>
      <w:r>
        <w:rPr>
          <w:b/>
          <w:bCs/>
        </w:rPr>
        <w:t xml:space="preserve">6.2   Tenant's Work. </w:t>
      </w:r>
      <w:r>
        <w:t xml:space="preserve">Tenant shall, at its sole cost (subject to the TI Allowance), perform Tenant's medical build-out: exam rooms, diagnostic and laser rooms (including lead lining where required), the OR suite (HEPA filtration, positive pressure, isolation, scrub sinks), pre-op/recovery, sterilization, medical-gas room, plumbing fixtures, finishes, FF&amp;E, signage, and IT/security infrastructure, all subject to Article 13 and Exhibit G.</w:t>
      </w:r>
    </w:p>
    <w:p>
      <w:pPr>
        <w:spacing w:before="0" w:after="120"/>
      </w:pPr>
      <w:r>
        <w:rPr>
          <w:b/>
          <w:bCs/>
        </w:rPr>
        <w:t xml:space="preserve">6.3   Permits and Licensure. </w:t>
      </w:r>
      <w:r>
        <w:t xml:space="preserve">Tenant shall obtain all building, fire, mechanical, electrical, plumbing, and medical-licensure permits required for Tenant's Work and operations. Landlord shall reasonably cooperate without cost or liability.</w:t>
      </w:r>
    </w:p>
    <w:p>
      <w:pPr>
        <w:spacing w:before="0" w:after="120"/>
      </w:pPr>
      <w:r>
        <w:rPr>
          <w:b/>
          <w:bCs/>
        </w:rPr>
        <w:t xml:space="preserve">6.4   Early Access. </w:t>
      </w:r>
      <w:r>
        <w:t xml:space="preserve">Beginning August 17, 2026, Tenant may enter the Premises solely to begin Tenant's Work, provided Tenant has delivered insurance certificates and coordinates with Landlord. Early access does not advance the Commencement Date.</w:t>
      </w:r>
    </w:p>
    <w:p>
      <w:pPr>
        <w:spacing w:before="0" w:after="120"/>
      </w:pPr>
      <w:r>
        <w:rPr>
          <w:b/>
          <w:bCs/>
        </w:rPr>
        <w:t xml:space="preserve">6.5   Confirmation. </w:t>
      </w:r>
      <w:r>
        <w:t xml:space="preserve">Within ten (10) days after Landlord's delivery, the parties shall execute a Confirmation of Commencement Date in the form of Exhibit F.</w:t>
      </w:r>
    </w:p>
    <w:p>
      <w:pPr>
        <w:spacing w:before="280" w:after="140"/>
        <w:keepNext/>
      </w:pPr>
      <w:r>
        <w:rPr>
          <w:b/>
          <w:bCs/>
          <w:sz w:val="28"/>
          <w:szCs w:val="28"/>
        </w:rPr>
        <w:t xml:space="preserve">ARTICLE 7.   SUBORDINATION; SNDA; ESTOPPEL</w:t>
      </w:r>
    </w:p>
    <w:p>
      <w:pPr>
        <w:spacing w:before="0" w:after="120"/>
      </w:pPr>
      <w:r>
        <w:rPr>
          <w:b/>
          <w:bCs/>
        </w:rPr>
        <w:t xml:space="preserve">7.1   Subordination. </w:t>
      </w:r>
      <w:r>
        <w:t xml:space="preserve">Subject to receipt of a commercially reasonable subordination, non-disturbance, and attornment agreement from any future superior interest, this Lease is subordinate to all mortgages, deeds of trust, and ground leases now or hereafter affecting the Property.</w:t>
      </w:r>
    </w:p>
    <w:p>
      <w:pPr>
        <w:spacing w:before="0" w:after="120"/>
      </w:pPr>
      <w:r>
        <w:rPr>
          <w:b/>
          <w:bCs/>
        </w:rPr>
        <w:t xml:space="preserve">7.2   Estoppel. </w:t>
      </w:r>
      <w:r>
        <w:t xml:space="preserve">Tenant shall deliver estoppel certificates within ten (10) business days after request.</w:t>
      </w:r>
    </w:p>
    <w:p>
      <w:pPr>
        <w:spacing w:before="280" w:after="140"/>
        <w:keepNext/>
      </w:pPr>
      <w:r>
        <w:rPr>
          <w:b/>
          <w:bCs/>
          <w:sz w:val="28"/>
          <w:szCs w:val="28"/>
        </w:rPr>
        <w:t xml:space="preserve">ARTICLE 8.   ASSIGNMENT AND SUBLETTING</w:t>
      </w:r>
    </w:p>
    <w:p>
      <w:pPr>
        <w:spacing w:before="0" w:after="120"/>
      </w:pPr>
      <w:r>
        <w:rPr>
          <w:b/>
          <w:bCs/>
        </w:rPr>
        <w:t xml:space="preserve">8.1   Consent. </w:t>
      </w:r>
      <w:r>
        <w:t xml:space="preserve">Tenant shall not transfer this Lease, sublet any portion of the Premises, mortgage or pledge its leasehold interest, or permit any transfer by operation of law, merger, change of control, or sale of substantially all assets, without Landlord's prior written consent, not to be unreasonably withheld, except for Permitted Transfers under Section 8.4.</w:t>
      </w:r>
    </w:p>
    <w:p>
      <w:pPr>
        <w:spacing w:before="0" w:after="120"/>
      </w:pPr>
      <w:r>
        <w:rPr>
          <w:b/>
          <w:bCs/>
        </w:rPr>
        <w:t xml:space="preserve">8.2   Review Criteria. </w:t>
      </w:r>
      <w:r>
        <w:t xml:space="preserve">Landlord may consider the transferee's business reputation, clinical credentials, malpractice and disciplinary history, financial condition, intended use, exclusivity coordination, and any lender requirements. In all cases, transferees must comply with the Permitted Use, the exclusive in Exhibit Q, applicable licensure requirements, and HIPAA/Business Associate obligations under Exhibit P.</w:t>
      </w:r>
    </w:p>
    <w:p>
      <w:pPr>
        <w:spacing w:before="0" w:after="120"/>
      </w:pPr>
      <w:r>
        <w:rPr>
          <w:b/>
          <w:bCs/>
        </w:rPr>
        <w:t xml:space="preserve">8.3   Excess Consideration. </w:t>
      </w:r>
      <w:r>
        <w:t xml:space="preserve">After deducting reasonable and customary transfer costs (including unamortized Tenant Improvements), fifty percent (50%) of any excess transfer consideration is payable to Landlord.</w:t>
      </w:r>
    </w:p>
    <w:p>
      <w:pPr>
        <w:spacing w:before="0" w:after="120"/>
      </w:pPr>
      <w:r>
        <w:rPr>
          <w:b/>
          <w:bCs/>
        </w:rPr>
        <w:t xml:space="preserve">8.4   Permitted Transfers. </w:t>
      </w:r>
      <w:r>
        <w:t xml:space="preserve">Tenant may transfer this Lease (a) to an Affiliate; (b) to a surviving entity in a merger or sale of substantially all assets; (c) to a successor practice group of which one or more of Tenant's shareholders or physicians remains an owner; or (d) in connection with the conversion or recapitalization of the practice by a private investor, hospital, or management services organization (each a "Permitted Transferee"), without Landlord's consent, upon at least fifteen (15) days' prior written notice, provided (i) the use, professional standards, and exclusivity are maintained; (ii) the transferee or its parent has tangible net worth not less than $5,000,000; and (iii) the original Tenant (where it survives) remains liable.</w:t>
      </w:r>
    </w:p>
    <w:p>
      <w:pPr>
        <w:spacing w:before="0" w:after="120"/>
      </w:pPr>
      <w:r>
        <w:rPr>
          <w:b/>
          <w:bCs/>
        </w:rPr>
        <w:t xml:space="preserve">8.5   No Release. </w:t>
      </w:r>
      <w:r>
        <w:t xml:space="preserve">No transfer releases Tenant unless Landlord expressly agrees in writing.</w:t>
      </w:r>
    </w:p>
    <w:p>
      <w:pPr>
        <w:spacing w:before="280" w:after="140"/>
        <w:keepNext/>
      </w:pPr>
      <w:r>
        <w:rPr>
          <w:b/>
          <w:bCs/>
          <w:sz w:val="28"/>
          <w:szCs w:val="28"/>
        </w:rPr>
        <w:t xml:space="preserve">ARTICLE 9.   ENVIRONMENTAL; BIOHAZARD; HIPAA REFERENCE</w:t>
      </w:r>
    </w:p>
    <w:p>
      <w:pPr>
        <w:spacing w:before="0" w:after="120"/>
      </w:pPr>
      <w:r>
        <w:rPr>
          <w:b/>
          <w:bCs/>
        </w:rPr>
        <w:t xml:space="preserve">9.1   Restriction. </w:t>
      </w:r>
      <w:r>
        <w:t xml:space="preserve">Tenant shall not generate, store, use, or release Hazardous Materials at the Property except (a) de minimis office and cleaning supplies; (b) sanitation and sterilization chemicals customarily used in a medical office (including isopropyl alcohol, peracetic acid, glutaraldehyde or equivalent sterilants, sterilizer condensate, and hydrogen peroxide); (c) pharmaceuticals and prescription medications stored and dispensed in accordance with Laws; (d) compressed medical gases per Section 4.5 and Exhibit P; (e) limited radiographic and laser-generated emissions from devices used in the Premises in compliance with Laws and the FDA; and (f) biohazard and regulated medical waste managed in accordance with Exhibit P.</w:t>
      </w:r>
    </w:p>
    <w:p>
      <w:pPr>
        <w:spacing w:before="0" w:after="120"/>
      </w:pPr>
      <w:r>
        <w:rPr>
          <w:b/>
          <w:bCs/>
        </w:rPr>
        <w:t xml:space="preserve">9.2   Compliance; Notice. </w:t>
      </w:r>
      <w:r>
        <w:t xml:space="preserve">Tenant shall comply with all Environmental Laws and shall promptly notify Landlord of any spill, release, regulatory inspection citation, or notice of violation. Tenant shall promptly notify Landlord of any HIPAA breach affecting the Premises or its information systems, subject to the confidentiality requirements of HIPAA and Exhibit P.</w:t>
      </w:r>
    </w:p>
    <w:p>
      <w:pPr>
        <w:spacing w:before="0" w:after="120"/>
      </w:pPr>
      <w:r>
        <w:rPr>
          <w:b/>
          <w:bCs/>
        </w:rPr>
        <w:t xml:space="preserve">9.3   Remediation. </w:t>
      </w:r>
      <w:r>
        <w:t xml:space="preserve">Tenant shall, at its sole cost, investigate, clean up, remediate, and restore any release of Hazardous Materials caused, contributed to, or exacerbated by Tenant or any Tenant party.</w:t>
      </w:r>
    </w:p>
    <w:p>
      <w:pPr>
        <w:spacing w:before="0" w:after="120"/>
      </w:pPr>
      <w:r>
        <w:rPr>
          <w:b/>
          <w:bCs/>
        </w:rPr>
        <w:t xml:space="preserve">9.4   Medical Waste. </w:t>
      </w:r>
      <w:r>
        <w:t xml:space="preserve">Tenant's medical waste management is governed by Exhibit P, including pickup, manifests, storage, secondary containment, and recordkeeping.</w:t>
      </w:r>
    </w:p>
    <w:p>
      <w:pPr>
        <w:spacing w:before="280" w:after="140"/>
        <w:keepNext/>
      </w:pPr>
      <w:r>
        <w:rPr>
          <w:b/>
          <w:bCs/>
          <w:sz w:val="28"/>
          <w:szCs w:val="28"/>
        </w:rPr>
        <w:t xml:space="preserve">ARTICLE 10.   LANDLORD INSURANCE</w:t>
      </w:r>
    </w:p>
    <w:p>
      <w:pPr>
        <w:spacing w:before="0" w:after="120"/>
      </w:pPr>
      <w:r>
        <w:t xml:space="preserve">Landlord shall maintain commercial property insurance for the Building (special form, replacement cost), commercial general liability insurance, rental value insurance, and such other insurance as Landlord or its lender deems appropriate. Cost is included in Operating Expenses subject to the base-year stop under Article 3. Landlord's property insurance does not cover Tenant's medical equipment, FF&amp;E, leasehold improvements (after the Base Year), inventory, or trade fixtures.</w:t>
      </w:r>
    </w:p>
    <w:p>
      <w:pPr>
        <w:spacing w:before="280" w:after="140"/>
        <w:keepNext/>
      </w:pPr>
      <w:r>
        <w:rPr>
          <w:b/>
          <w:bCs/>
          <w:sz w:val="28"/>
          <w:szCs w:val="28"/>
        </w:rPr>
        <w:t xml:space="preserve">ARTICLE 11.   TENANT INSURANCE</w:t>
      </w:r>
    </w:p>
    <w:p>
      <w:pPr>
        <w:spacing w:before="0" w:after="120"/>
      </w:pPr>
      <w:r>
        <w:rPr>
          <w:b/>
          <w:bCs/>
        </w:rPr>
        <w:t xml:space="preserve">11.1   Required Policies. </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600"/>
        <w:gridCol w:w="5900"/>
      </w:tblGrid>
      <w:tr>
        <w:tc>
          <w:tcPr>
            <w:tcW w:w="3600" w:type="dxa"/>
            <w:shd w:val="clear" w:color="auto" w:fill="E5E7EB"/>
          </w:tcPr>
          <w:p>
            <w:pPr>
              <w:spacing w:before="0" w:after="60"/>
            </w:pPr>
            <w:r>
              <w:rPr>
                <w:b/>
                <w:bCs/>
              </w:rPr>
              <w:t xml:space="preserve">Policy</w:t>
            </w:r>
          </w:p>
        </w:tc>
        <w:tc>
          <w:tcPr>
            <w:tcW w:w="5900" w:type="dxa"/>
            <w:shd w:val="clear" w:color="auto" w:fill="E5E7EB"/>
          </w:tcPr>
          <w:p>
            <w:pPr>
              <w:spacing w:before="0" w:after="60"/>
            </w:pPr>
            <w:r>
              <w:rPr>
                <w:b/>
                <w:bCs/>
              </w:rPr>
              <w:t xml:space="preserve">Minimum Limit / Notes</w:t>
            </w:r>
          </w:p>
        </w:tc>
      </w:tr>
      <w:tr>
        <w:tc>
          <w:tcPr>
            <w:tcW w:w="3600" w:type="dxa"/>
          </w:tcPr>
          <w:p>
            <w:pPr>
              <w:spacing w:before="0" w:after="60"/>
            </w:pPr>
            <w:r>
              <w:t xml:space="preserve">Commercial General Liability</w:t>
            </w:r>
          </w:p>
        </w:tc>
        <w:tc>
          <w:tcPr>
            <w:tcW w:w="5900" w:type="dxa"/>
          </w:tcPr>
          <w:p>
            <w:pPr>
              <w:spacing w:before="0" w:after="60"/>
            </w:pPr>
            <w:r>
              <w:t xml:space="preserve">$2,000,000 per occurrence / $5,000,000 aggregate.</w:t>
            </w:r>
          </w:p>
        </w:tc>
      </w:tr>
      <w:tr>
        <w:tc>
          <w:tcPr>
            <w:tcW w:w="3600" w:type="dxa"/>
          </w:tcPr>
          <w:p>
            <w:pPr>
              <w:spacing w:before="0" w:after="60"/>
            </w:pPr>
            <w:r>
              <w:t xml:space="preserve">Medical Professional Liability</w:t>
            </w:r>
          </w:p>
        </w:tc>
        <w:tc>
          <w:tcPr>
            <w:tcW w:w="5900" w:type="dxa"/>
          </w:tcPr>
          <w:p>
            <w:pPr>
              <w:spacing w:before="0" w:after="60"/>
            </w:pPr>
            <w:r>
              <w:t xml:space="preserve">$1,000,000 per occurrence / $3,000,000 aggregate, claims-made acceptable with tail coverage maintained for not less than three (3) years after surrender.</w:t>
            </w:r>
          </w:p>
        </w:tc>
      </w:tr>
      <w:tr>
        <w:tc>
          <w:tcPr>
            <w:tcW w:w="3600" w:type="dxa"/>
          </w:tcPr>
          <w:p>
            <w:pPr>
              <w:spacing w:before="0" w:after="60"/>
            </w:pPr>
            <w:r>
              <w:t xml:space="preserve">Commercial Property (Special Form)</w:t>
            </w:r>
          </w:p>
        </w:tc>
        <w:tc>
          <w:tcPr>
            <w:tcW w:w="5900" w:type="dxa"/>
          </w:tcPr>
          <w:p>
            <w:pPr>
              <w:spacing w:before="0" w:after="60"/>
            </w:pPr>
            <w:r>
              <w:t xml:space="preserve">Full replacement cost of Tenant's medical equipment, FF&amp;E, leasehold improvements, and inventory.</w:t>
            </w:r>
          </w:p>
        </w:tc>
      </w:tr>
      <w:tr>
        <w:tc>
          <w:tcPr>
            <w:tcW w:w="3600" w:type="dxa"/>
          </w:tcPr>
          <w:p>
            <w:pPr>
              <w:spacing w:before="0" w:after="60"/>
            </w:pPr>
            <w:r>
              <w:t xml:space="preserve">Business Interruption / Extra Expense</w:t>
            </w:r>
          </w:p>
        </w:tc>
        <w:tc>
          <w:tcPr>
            <w:tcW w:w="5900" w:type="dxa"/>
          </w:tcPr>
          <w:p>
            <w:pPr>
              <w:spacing w:before="0" w:after="60"/>
            </w:pPr>
            <w:r>
              <w:t xml:space="preserve">Twelve (12) months of fixed and variable expenses.</w:t>
            </w:r>
          </w:p>
        </w:tc>
      </w:tr>
      <w:tr>
        <w:tc>
          <w:tcPr>
            <w:tcW w:w="3600" w:type="dxa"/>
          </w:tcPr>
          <w:p>
            <w:pPr>
              <w:spacing w:before="0" w:after="60"/>
            </w:pPr>
            <w:r>
              <w:t xml:space="preserve">Workers' Compensation / Employer's Liability</w:t>
            </w:r>
          </w:p>
        </w:tc>
        <w:tc>
          <w:tcPr>
            <w:tcW w:w="5900" w:type="dxa"/>
          </w:tcPr>
          <w:p>
            <w:pPr>
              <w:spacing w:before="0" w:after="60"/>
            </w:pPr>
            <w:r>
              <w:t xml:space="preserve">Statutory; employer's liability $1,000,000.</w:t>
            </w:r>
          </w:p>
        </w:tc>
      </w:tr>
      <w:tr>
        <w:tc>
          <w:tcPr>
            <w:tcW w:w="3600" w:type="dxa"/>
          </w:tcPr>
          <w:p>
            <w:pPr>
              <w:spacing w:before="0" w:after="60"/>
            </w:pPr>
            <w:r>
              <w:t xml:space="preserve">Cyber Liability / HIPAA Privacy</w:t>
            </w:r>
          </w:p>
        </w:tc>
        <w:tc>
          <w:tcPr>
            <w:tcW w:w="5900" w:type="dxa"/>
          </w:tcPr>
          <w:p>
            <w:pPr>
              <w:spacing w:before="0" w:after="60"/>
            </w:pPr>
            <w:r>
              <w:t xml:space="preserve">At least $2,000,000 per occurrence covering data breach, regulatory fines, notification costs, and credit-monitoring services, with coverage for HIPAA / state privacy law violations.</w:t>
            </w:r>
          </w:p>
        </w:tc>
      </w:tr>
      <w:tr>
        <w:tc>
          <w:tcPr>
            <w:tcW w:w="3600" w:type="dxa"/>
          </w:tcPr>
          <w:p>
            <w:pPr>
              <w:spacing w:before="0" w:after="60"/>
            </w:pPr>
            <w:r>
              <w:t xml:space="preserve">Umbrella / Excess Liability</w:t>
            </w:r>
          </w:p>
        </w:tc>
        <w:tc>
          <w:tcPr>
            <w:tcW w:w="5900" w:type="dxa"/>
          </w:tcPr>
          <w:p>
            <w:pPr>
              <w:spacing w:before="0" w:after="60"/>
            </w:pPr>
            <w:r>
              <w:t xml:space="preserve">$5,000,000 each occurrence / aggregate over CGL, Auto, and Employer's Liability.</w:t>
            </w:r>
          </w:p>
        </w:tc>
      </w:tr>
    </w:tbl>
    <w:p>
      <w:pPr>
        <w:spacing w:before="0" w:after="80"/>
      </w:pPr>
    </w:p>
    <w:p>
      <w:pPr>
        <w:spacing w:before="0" w:after="120"/>
      </w:pPr>
      <w:r>
        <w:rPr>
          <w:b/>
          <w:bCs/>
        </w:rPr>
        <w:t xml:space="preserve">11.2   Additional Insureds. </w:t>
      </w:r>
      <w:r>
        <w:t xml:space="preserve">Landlord and its lender are named as additional insureds on the CGL, Auto, and Umbrella policies on a primary and noncontributory basis.</w:t>
      </w:r>
    </w:p>
    <w:p>
      <w:pPr>
        <w:spacing w:before="0" w:after="120"/>
      </w:pPr>
      <w:r>
        <w:rPr>
          <w:b/>
          <w:bCs/>
        </w:rPr>
        <w:t xml:space="preserve">11.3   Certificates. </w:t>
      </w:r>
      <w:r>
        <w:t xml:space="preserve">Tenant shall deliver certificates of insurance and required endorsements before the Commencement Date and at least thirty (30) days before each policy expiration.</w:t>
      </w:r>
    </w:p>
    <w:p>
      <w:pPr>
        <w:spacing w:before="280" w:after="140"/>
        <w:keepNext/>
      </w:pPr>
      <w:r>
        <w:rPr>
          <w:b/>
          <w:bCs/>
          <w:sz w:val="28"/>
          <w:szCs w:val="28"/>
        </w:rPr>
        <w:t xml:space="preserve">ARTICLE 12.   WAIVER OF SUBROGATION</w:t>
      </w:r>
    </w:p>
    <w:p>
      <w:pPr>
        <w:spacing w:before="0" w:after="120"/>
      </w:pPr>
      <w:r>
        <w:t xml:space="preserve">Landlord and Tenant waive claims against each other for losses to the extent covered, or required to be covered, by the property insurance policies maintained or required under this Lease.</w:t>
      </w:r>
    </w:p>
    <w:p>
      <w:pPr>
        <w:spacing w:before="280" w:after="140"/>
        <w:keepNext/>
      </w:pPr>
      <w:r>
        <w:rPr>
          <w:b/>
          <w:bCs/>
          <w:sz w:val="28"/>
          <w:szCs w:val="28"/>
        </w:rPr>
        <w:t xml:space="preserve">ARTICLE 13.   ALTERATIONS</w:t>
      </w:r>
    </w:p>
    <w:p>
      <w:pPr>
        <w:spacing w:before="0" w:after="120"/>
      </w:pPr>
      <w:r>
        <w:rPr>
          <w:b/>
          <w:bCs/>
        </w:rPr>
        <w:t xml:space="preserve">13.1   Consent. </w:t>
      </w:r>
      <w:r>
        <w:t xml:space="preserve">Tenant shall not make alterations without Landlord's prior written consent, not to be unreasonably withheld for interior non-structural alterations.</w:t>
      </w:r>
    </w:p>
    <w:p>
      <w:pPr>
        <w:spacing w:before="0" w:after="120"/>
      </w:pPr>
      <w:r>
        <w:rPr>
          <w:b/>
          <w:bCs/>
        </w:rPr>
        <w:t xml:space="preserve">13.2   Escalated Alterations. </w:t>
      </w:r>
      <w:r>
        <w:t xml:space="preserve">Heightened review applies to: roof penetrations; structural changes; lead lining; RF shielding; alterations to the OR suite (HVAC, isolation, pressurization); medical gas systems (including any conversion to piped medical gas); changes to fire/life-safety systems; significant electrical upgrades; and alterations affecting the Building's plumbing risers, HVAC trunks, or sprinkler grids.</w:t>
      </w:r>
    </w:p>
    <w:p>
      <w:pPr>
        <w:spacing w:before="0" w:after="120"/>
      </w:pPr>
      <w:r>
        <w:rPr>
          <w:b/>
          <w:bCs/>
        </w:rPr>
        <w:t xml:space="preserve">13.3   Minor Alterations. </w:t>
      </w:r>
      <w:r>
        <w:t xml:space="preserve">Tenant may perform non-structural interior cosmetic alterations costing less than $25,000 per project and $100,000 in the aggregate per Lease Year without Landlord's consent, with at least ten (10) business days' prior notice.</w:t>
      </w:r>
    </w:p>
    <w:p>
      <w:pPr>
        <w:spacing w:before="0" w:after="120"/>
      </w:pPr>
      <w:r>
        <w:rPr>
          <w:b/>
          <w:bCs/>
        </w:rPr>
        <w:t xml:space="preserve">13.4   Removal at Surrender. </w:t>
      </w:r>
      <w:r>
        <w:t xml:space="preserve">At consent time, Landlord designates removal. Medical equipment, lasers, imaging devices, sterilizers, OR fixtures, ASC-grade plumbing fixtures, cabling, biohazard infrastructure, lead lining (only where Landlord directs), and Tenant property are Tenant property and shall be removed at surrender, except components Landlord elects to retain at no cost.</w:t>
      </w:r>
    </w:p>
    <w:p>
      <w:pPr>
        <w:spacing w:before="280" w:after="140"/>
        <w:keepNext/>
      </w:pPr>
      <w:r>
        <w:rPr>
          <w:b/>
          <w:bCs/>
          <w:sz w:val="28"/>
          <w:szCs w:val="28"/>
        </w:rPr>
        <w:t xml:space="preserve">ARTICLE 14.   PROPERTY; TRADE FIXTURES</w:t>
      </w:r>
    </w:p>
    <w:p>
      <w:pPr>
        <w:spacing w:before="0" w:after="120"/>
      </w:pPr>
      <w:r>
        <w:t xml:space="preserve">All fixtures, improvements, equipment, and appurtenances attached to or built into the Premises become Landlord's property at surrender except Tenant's personal property, medical equipment, trade fixtures, and alterations Landlord requires Tenant to remove. Tenant shall remove Tenant's personal property on or before the Expiration Date and repair damage caused by such installation or removal. Items requiring decommissioning under Exhibit P or Exhibit B (e.g., lasers, sterilizers, X-ray devices) shall be properly decommissioned before removal.</w:t>
      </w:r>
    </w:p>
    <w:p>
      <w:pPr>
        <w:spacing w:before="280" w:after="140"/>
        <w:keepNext/>
      </w:pPr>
      <w:r>
        <w:rPr>
          <w:b/>
          <w:bCs/>
          <w:sz w:val="28"/>
          <w:szCs w:val="28"/>
        </w:rPr>
        <w:t xml:space="preserve">ARTICLE 15.   REPAIRS AND MAINTENANCE</w:t>
      </w:r>
    </w:p>
    <w:p>
      <w:pPr>
        <w:spacing w:before="0" w:after="120"/>
      </w:pPr>
      <w:r>
        <w:rPr>
          <w:b/>
          <w:bCs/>
        </w:rPr>
        <w:t xml:space="preserve">15.1   Tenant Obligations. </w:t>
      </w:r>
      <w:r>
        <w:t xml:space="preserve">Tenant shall maintain the interior of the Premises in good condition and repair, including: interior walls, doors, ceilings, lighting, plumbing fixtures within the Premises, all medical equipment, lasers, imaging devices, sterilizers, the OR suite HVAC enhancements (HEPA filters, isolation dampers, return-air systems supplemental to base building), exam room finishes, lead lining, and signage. Tenant shall maintain commercially reasonable preventative maintenance contracts on all medical and specialty systems.</w:t>
      </w:r>
    </w:p>
    <w:p>
      <w:pPr>
        <w:spacing w:before="0" w:after="120"/>
      </w:pPr>
      <w:r>
        <w:rPr>
          <w:b/>
          <w:bCs/>
        </w:rPr>
        <w:t xml:space="preserve">15.2   Landlord Obligations. </w:t>
      </w:r>
      <w:r>
        <w:t xml:space="preserve">Landlord shall maintain the structural elements, foundation, exterior load-bearing walls, roof structure and covering, common areas, common-area utilities, elevators, parking structure, landscaping, base-building HVAC, base-building electrical, base-building plumbing risers, base-building life-safety, and the Building's exterior signage, with costs included in Operating Expenses to the extent permitted by Article 3.</w:t>
      </w:r>
    </w:p>
    <w:p>
      <w:pPr>
        <w:spacing w:before="0" w:after="120"/>
      </w:pPr>
      <w:r>
        <w:rPr>
          <w:b/>
          <w:bCs/>
        </w:rPr>
        <w:t xml:space="preserve">15.3   Tenant-Caused Damage. </w:t>
      </w:r>
      <w:r>
        <w:t xml:space="preserve">Tenant shall be responsible for the cost of repairs arising from negligence, misuse, omission, or willful misconduct of Tenant or any Tenant party, except as barred by Article 12.</w:t>
      </w:r>
    </w:p>
    <w:p>
      <w:pPr>
        <w:spacing w:before="0" w:after="120"/>
      </w:pPr>
      <w:r>
        <w:rPr>
          <w:b/>
          <w:bCs/>
        </w:rPr>
        <w:t xml:space="preserve">15.4   Inspections. </w:t>
      </w:r>
      <w:r>
        <w:t xml:space="preserve">Landlord may inspect the Premises on twenty-four (24) hours' notice (except in emergencies and except as restricted by HIPAA), subject to Tenant's reasonable accompaniment and patient-privacy requirements.</w:t>
      </w:r>
    </w:p>
    <w:p>
      <w:pPr>
        <w:spacing w:before="280" w:after="140"/>
        <w:keepNext/>
      </w:pPr>
      <w:r>
        <w:rPr>
          <w:b/>
          <w:bCs/>
          <w:sz w:val="28"/>
          <w:szCs w:val="28"/>
        </w:rPr>
        <w:t xml:space="preserve">ARTICLE 16.   ACCESS</w:t>
      </w:r>
    </w:p>
    <w:p>
      <w:pPr>
        <w:spacing w:before="0" w:after="120"/>
      </w:pPr>
      <w:r>
        <w:t xml:space="preserve">Landlord and its representatives may access the Premises at reasonable times, on at least twenty-four (24) hours' prior notice (except in emergencies), to inspect, perform Landlord's repairs, show the Premises to lenders, purchasers, or (during the last twelve (12) months of the Term) prospective tenants, and exercise other rights under this Lease. Access shall comply with Tenant's reasonable patient-privacy and HIPAA requirements; Landlord and its agents may be required to sign a Business Associate confidentiality acknowledgment in a form reasonably acceptable to Tenant for any access to clinical areas.</w:t>
      </w:r>
    </w:p>
    <w:p>
      <w:pPr>
        <w:spacing w:before="280" w:after="140"/>
        <w:keepNext/>
      </w:pPr>
      <w:r>
        <w:rPr>
          <w:b/>
          <w:bCs/>
          <w:sz w:val="28"/>
          <w:szCs w:val="28"/>
        </w:rPr>
        <w:t xml:space="preserve">ARTICLE 17.   INDEMNIFICATION; LIMITATION OF LIABILITY</w:t>
      </w:r>
    </w:p>
    <w:p>
      <w:pPr>
        <w:spacing w:before="0" w:after="120"/>
      </w:pPr>
      <w:r>
        <w:rPr>
          <w:b/>
          <w:bCs/>
        </w:rPr>
        <w:t xml:space="preserve">17.1   Tenant Indemnity. </w:t>
      </w:r>
      <w:r>
        <w:t xml:space="preserve">Tenant shall indemnify, defend, and hold harmless Landlord and its affiliates, members, managers, officers, employees, agents, and lenders from losses arising out of (a) Tenant's Default; (b) the negligence or willful misconduct of Tenant or any Tenant party; (c) Tenant's use, occupancy, or operations at the Premises (excluding any malpractice claims brought against Tenant's clinicians, which are covered by Tenant's Medical Professional Liability and as to which Landlord shall not be a tendered defendant solely by virtue of being landlord); (d) any Hazardous Materials, medical waste, or biohazard caused by Tenant; (e) any violation of Laws (including HIPAA) by Tenant or any Tenant party; and (f) any breach of patient confidentiality occurring at or through the Premises.</w:t>
      </w:r>
    </w:p>
    <w:p>
      <w:pPr>
        <w:spacing w:before="0" w:after="120"/>
      </w:pPr>
      <w:r>
        <w:rPr>
          <w:b/>
          <w:bCs/>
        </w:rPr>
        <w:t xml:space="preserve">17.2   Landlord Indemnity. </w:t>
      </w:r>
      <w:r>
        <w:t xml:space="preserve">Landlord shall indemnify Tenant from losses directly caused by Landlord's gross negligence or willful misconduct, subject to Section 17.3.</w:t>
      </w:r>
    </w:p>
    <w:p>
      <w:pPr>
        <w:spacing w:before="0" w:after="120"/>
      </w:pPr>
      <w:r>
        <w:rPr>
          <w:b/>
          <w:bCs/>
        </w:rPr>
        <w:t xml:space="preserve">17.3   Limitation. </w:t>
      </w:r>
      <w:r>
        <w:t xml:space="preserve">Tenant shall look solely to Landlord's interest in the Property. No member, manager, officer, employee, or agent of Landlord has personal liability. Except for Tenant's holdover and environmental/HIPAA obligations, neither party is liable for consequential, punitive, or special damages.</w:t>
      </w:r>
    </w:p>
    <w:p>
      <w:pPr>
        <w:spacing w:before="280" w:after="140"/>
        <w:keepNext/>
      </w:pPr>
      <w:r>
        <w:rPr>
          <w:b/>
          <w:bCs/>
          <w:sz w:val="28"/>
          <w:szCs w:val="28"/>
        </w:rPr>
        <w:t xml:space="preserve">ARTICLE 18.   FORCE MAJEURE</w:t>
      </w:r>
    </w:p>
    <w:p>
      <w:pPr>
        <w:spacing w:before="0" w:after="120"/>
      </w:pPr>
      <w:r>
        <w:t xml:space="preserve">Except for payment of Rent, maintenance of insurance, surrender obligations, HIPAA-required notification timelines, and exercise of option and notice deadlines, performance is extended for delays caused by events beyond reasonable control (labor disputes, casualty, war, terrorism, governmental action, utility failures, shortages, public-health emergencies, permit delays despite diligent pursuit).</w:t>
      </w:r>
    </w:p>
    <w:p>
      <w:pPr>
        <w:spacing w:before="280" w:after="140"/>
        <w:keepNext/>
      </w:pPr>
      <w:r>
        <w:rPr>
          <w:b/>
          <w:bCs/>
          <w:sz w:val="28"/>
          <w:szCs w:val="28"/>
        </w:rPr>
        <w:t xml:space="preserve">ARTICLE 19.   CASUALTY</w:t>
      </w:r>
    </w:p>
    <w:p>
      <w:pPr>
        <w:spacing w:before="0" w:after="120"/>
      </w:pPr>
      <w:r>
        <w:t xml:space="preserve">If restoration cannot reasonably be completed within two hundred ten (210) days (recognizing the lead time required to restore an OR suite, sterilization area, and imaging rooms), either party may terminate on thirty (30) days' notice. Otherwise, Landlord shall restore the Building shell and Tenant shall restore the interior and Tenant property, with Base Rent abating proportionately during untenantability. If casualty occurs during the last twenty-four (24) months of the Term, either party may terminate.</w:t>
      </w:r>
    </w:p>
    <w:p>
      <w:pPr>
        <w:spacing w:before="280" w:after="140"/>
        <w:keepNext/>
      </w:pPr>
      <w:r>
        <w:rPr>
          <w:b/>
          <w:bCs/>
          <w:sz w:val="28"/>
          <w:szCs w:val="28"/>
        </w:rPr>
        <w:t xml:space="preserve">ARTICLE 20.   CONDEMNATION</w:t>
      </w:r>
    </w:p>
    <w:p>
      <w:pPr>
        <w:spacing w:before="0" w:after="120"/>
      </w:pPr>
      <w:r>
        <w:t xml:space="preserve">If all or a material portion of the Premises is taken by eminent domain or deed in lieu of condemnation, this Lease terminates as to the taken portion with equitable rent adjustment. Landlord receives the award for real property; Tenant may pursue a separate award for moving costs, trade fixtures, medical equipment, and business damages to the extent permitted by law and not reducing Landlord's award.</w:t>
      </w:r>
    </w:p>
    <w:p>
      <w:pPr>
        <w:spacing w:before="280" w:after="140"/>
        <w:keepNext/>
      </w:pPr>
      <w:r>
        <w:rPr>
          <w:b/>
          <w:bCs/>
          <w:sz w:val="28"/>
          <w:szCs w:val="28"/>
        </w:rPr>
        <w:t xml:space="preserve">ARTICLE 21.   SURRENDER AND HOLDOVER</w:t>
      </w:r>
    </w:p>
    <w:p>
      <w:pPr>
        <w:spacing w:before="0" w:after="120"/>
      </w:pPr>
      <w:r>
        <w:rPr>
          <w:b/>
          <w:bCs/>
        </w:rPr>
        <w:t xml:space="preserve">21.1   Surrender. </w:t>
      </w:r>
      <w:r>
        <w:t xml:space="preserve">On or before the Expiration Date, Tenant shall surrender per Exhibit B, having decommissioned medical equipment, lasers, imaging, and sterilizers per Exhibit P, removed FF&amp;E and required alterations, repaired damage, secured and removed PHI/EHR data (per HIPAA), surrendered keys, fobs, and BMS credentials, and terminated Tenant-arranged utility accounts as directed.</w:t>
      </w:r>
    </w:p>
    <w:p>
      <w:pPr>
        <w:spacing w:before="0" w:after="120"/>
      </w:pPr>
      <w:r>
        <w:rPr>
          <w:b/>
          <w:bCs/>
        </w:rPr>
        <w:t xml:space="preserve">21.2   Holdover. </w:t>
      </w:r>
      <w:r>
        <w:t xml:space="preserve">Holdover rent equals one hundred fifty percent (150%) of the immediately preceding Rent for the first thirty (30) days and two hundred percent (200%) thereafter, plus all damages and costs (including liability to a succeeding tenant).</w:t>
      </w:r>
    </w:p>
    <w:p>
      <w:pPr>
        <w:spacing w:before="280" w:after="140"/>
        <w:keepNext/>
      </w:pPr>
      <w:r>
        <w:rPr>
          <w:b/>
          <w:bCs/>
          <w:sz w:val="28"/>
          <w:szCs w:val="28"/>
        </w:rPr>
        <w:t xml:space="preserve">ARTICLE 22.   EVENTS OF DEFAULT</w:t>
      </w:r>
    </w:p>
    <w:p>
      <w:pPr>
        <w:spacing w:before="0" w:after="120"/>
      </w:pPr>
      <w:r>
        <w:t xml:space="preserve">Events of Default include: (a) Rent unpaid five (5) days after written notice past due; (b) failure to maintain insurance, the Security Deposit, or required medical licensure; (c) loss of Tenant's state professional licensure or DEA registration for more than ninety (90) days if material to Tenant's operations; (d) abandonment for more than fifteen (15) consecutive days; (e) unauthorized transfer; (f) liens not released within thirty (30) days; (g) failure to deliver required documents; (h) insolvency or bankruptcy not dismissed within sixty (60) days; (i) material misrepresentation; (j) a material, willful HIPAA violation; (k) Tenant's violation of OSHA Bloodborne Pathogen Standard resulting in a regulatory citation that is not cured within the regulatory deadline; and (l) failure to perform any other covenant within thirty (30) days after notice (subject to extension for diligent cure).</w:t>
      </w:r>
    </w:p>
    <w:p>
      <w:pPr>
        <w:spacing w:before="280" w:after="140"/>
        <w:keepNext/>
      </w:pPr>
      <w:r>
        <w:rPr>
          <w:b/>
          <w:bCs/>
          <w:sz w:val="28"/>
          <w:szCs w:val="28"/>
        </w:rPr>
        <w:t xml:space="preserve">ARTICLE 23.   REMEDIES</w:t>
      </w:r>
    </w:p>
    <w:p>
      <w:pPr>
        <w:spacing w:before="0" w:after="120"/>
      </w:pPr>
      <w:r>
        <w:rPr>
          <w:b/>
          <w:bCs/>
        </w:rPr>
        <w:t xml:space="preserve">23.1   Remedies. </w:t>
      </w:r>
      <w:r>
        <w:t xml:space="preserve">Upon an Event of Default, Landlord may exercise all rights and remedies at law or in equity, including termination, reletting, deficiency damages, application of the Security Deposit, cure at Tenant's expense, and injunctive relief, subject to commercially reasonable mitigation as required by Utah law.</w:t>
      </w:r>
    </w:p>
    <w:p>
      <w:pPr>
        <w:spacing w:before="0" w:after="120"/>
      </w:pPr>
      <w:r>
        <w:rPr>
          <w:b/>
          <w:bCs/>
        </w:rPr>
        <w:t xml:space="preserve">23.2   Cumulative; No Waiver. </w:t>
      </w:r>
      <w:r>
        <w:t xml:space="preserve">Remedies are cumulative.</w:t>
      </w:r>
    </w:p>
    <w:p>
      <w:pPr>
        <w:spacing w:before="0" w:after="120"/>
      </w:pPr>
      <w:r>
        <w:rPr>
          <w:b/>
          <w:bCs/>
        </w:rPr>
        <w:t xml:space="preserve">23.3   Attorneys' Fees. </w:t>
      </w:r>
      <w:r>
        <w:t xml:space="preserve">Prevailing party recovers reasonable attorneys' fees and costs.</w:t>
      </w:r>
    </w:p>
    <w:p>
      <w:pPr>
        <w:spacing w:before="280" w:after="140"/>
        <w:keepNext/>
      </w:pPr>
      <w:r>
        <w:rPr>
          <w:b/>
          <w:bCs/>
          <w:sz w:val="28"/>
          <w:szCs w:val="28"/>
        </w:rPr>
        <w:t xml:space="preserve">ARTICLE 24.   BROKERS</w:t>
      </w:r>
    </w:p>
    <w:p>
      <w:pPr>
        <w:spacing w:before="0" w:after="120"/>
      </w:pPr>
      <w:r>
        <w:t xml:space="preserve">Landlord and Tenant represent they have dealt with no brokers in this transaction except the Brokers named in Article 1. Landlord shall pay Tenant Broker per a separate commission agreement.</w:t>
      </w:r>
    </w:p>
    <w:p>
      <w:pPr>
        <w:spacing w:before="280" w:after="140"/>
        <w:keepNext/>
      </w:pPr>
      <w:r>
        <w:rPr>
          <w:b/>
          <w:bCs/>
          <w:sz w:val="28"/>
          <w:szCs w:val="28"/>
        </w:rPr>
        <w:t xml:space="preserve">ARTICLE 25.   MISCELLANEOUS</w:t>
      </w:r>
    </w:p>
    <w:p>
      <w:pPr>
        <w:spacing w:before="0" w:after="120"/>
      </w:pPr>
      <w:r>
        <w:rPr>
          <w:b/>
          <w:bCs/>
        </w:rPr>
        <w:t xml:space="preserve">25.1   Governing Law; Venue. </w:t>
      </w:r>
      <w:r>
        <w:t xml:space="preserve">Utah law governs. Venue is exclusively in the state and federal courts in Salt Lake County, Utah.</w:t>
      </w:r>
    </w:p>
    <w:p>
      <w:pPr>
        <w:spacing w:before="0" w:after="120"/>
      </w:pPr>
      <w:r>
        <w:rPr>
          <w:b/>
          <w:bCs/>
        </w:rPr>
        <w:t xml:space="preserve">25.2   Notices. </w:t>
      </w:r>
      <w:r>
        <w:t xml:space="preserve">In writing, by personal delivery, certified mail (return receipt requested), or overnight courier, to the Article 1 addresses.</w:t>
      </w:r>
    </w:p>
    <w:p>
      <w:pPr>
        <w:spacing w:before="0" w:after="120"/>
      </w:pPr>
      <w:r>
        <w:rPr>
          <w:b/>
          <w:bCs/>
        </w:rPr>
        <w:t xml:space="preserve">25.3   Entire Agreement; Amendment. </w:t>
      </w:r>
      <w:r>
        <w:t xml:space="preserve">This Lease (including Exhibits) is the entire agreement; amendments require a writing.</w:t>
      </w:r>
    </w:p>
    <w:p>
      <w:pPr>
        <w:spacing w:before="0" w:after="120"/>
      </w:pPr>
      <w:r>
        <w:rPr>
          <w:b/>
          <w:bCs/>
        </w:rPr>
        <w:t xml:space="preserve">25.4   Authority. </w:t>
      </w:r>
      <w:r>
        <w:t xml:space="preserve">Each signatory is authorized to bind its party.</w:t>
      </w:r>
    </w:p>
    <w:p>
      <w:pPr>
        <w:spacing w:before="0" w:after="120"/>
      </w:pPr>
      <w:r>
        <w:rPr>
          <w:b/>
          <w:bCs/>
        </w:rPr>
        <w:t xml:space="preserve">25.5   Counterparts; Electronic Signatures. </w:t>
      </w:r>
      <w:r>
        <w:t xml:space="preserve">Permitted.</w:t>
      </w:r>
    </w:p>
    <w:p>
      <w:pPr>
        <w:spacing w:before="0" w:after="120"/>
      </w:pPr>
      <w:r>
        <w:rPr>
          <w:b/>
          <w:bCs/>
        </w:rPr>
        <w:t xml:space="preserve">25.6   Severability. </w:t>
      </w:r>
      <w:r>
        <w:t xml:space="preserve">Unenforceable provisions are severable.</w:t>
      </w:r>
    </w:p>
    <w:p>
      <w:pPr>
        <w:spacing w:before="0" w:after="120"/>
      </w:pPr>
      <w:r>
        <w:rPr>
          <w:b/>
          <w:bCs/>
        </w:rPr>
        <w:t xml:space="preserve">25.7   Waiver of Jury Trial. </w:t>
      </w:r>
      <w:r>
        <w:t xml:space="preserve">Mutual waiver to the maximum extent permitted by law.</w:t>
      </w:r>
    </w:p>
    <w:p>
      <w:pPr>
        <w:spacing w:before="0" w:after="120"/>
      </w:pPr>
      <w:r>
        <w:rPr>
          <w:b/>
          <w:bCs/>
        </w:rPr>
        <w:t xml:space="preserve">25.8   Time of the Essence. </w:t>
      </w:r>
      <w:r>
        <w:t xml:space="preserve">Time is of the essence.</w:t>
      </w:r>
    </w:p>
    <w:p>
      <w:pPr>
        <w:spacing w:before="0" w:after="120"/>
      </w:pPr>
      <w:r>
        <w:rPr>
          <w:b/>
          <w:bCs/>
        </w:rPr>
        <w:t xml:space="preserve">25.9   OFAC. </w:t>
      </w:r>
      <w:r>
        <w:t xml:space="preserve">Each party is not on any U.S. government prohibited-party list.</w:t>
      </w:r>
    </w:p>
    <w:p>
      <w:pPr>
        <w:spacing w:before="0" w:after="120"/>
      </w:pPr>
      <w:r>
        <w:rPr>
          <w:b/>
          <w:bCs/>
        </w:rPr>
        <w:t xml:space="preserve">25.10   Anti-Referral / Anti-Kickback. </w:t>
      </w:r>
      <w:r>
        <w:t xml:space="preserve">The parties intend that this Lease comply with Section 1877 of the Social Security Act (the "Stark Law") and the federal Anti-Kickback Statute. Rent represents the fair market value of the space without regard to the volume or value of any referrals between Landlord, Tenant, or any of their affiliates, and the parties have not negotiated or modified Rent based on any such considerations.</w:t>
      </w:r>
    </w:p>
    <w:p>
      <w:pPr>
        <w:spacing w:before="0" w:after="120"/>
      </w:pPr>
      <w:r>
        <w:rPr>
          <w:b/>
          <w:bCs/>
        </w:rPr>
        <w:t xml:space="preserve">25.11   Survival. </w:t>
      </w:r>
      <w:r>
        <w:t xml:space="preserve">Indemnity, environmental, HIPAA, medical-waste, surrender, holdover, attorneys' fees, and reconciliation obligations survive expiration or termination.</w:t>
      </w:r>
    </w:p>
    <w:p>
      <w:pPr>
        <w:spacing w:before="0" w:after="120"/>
      </w:pPr>
      <w:r>
        <w:rPr>
          <w:b/>
          <w:bCs/>
        </w:rPr>
        <w:t xml:space="preserve">25.12   Financial Statements. </w:t>
      </w:r>
      <w:r>
        <w:t xml:space="preserve">Tenant delivers reviewed or audited annual financial statements within one hundred twenty (120) days after fiscal year end, subject to confidentiality.</w:t>
      </w:r>
    </w:p>
    <w:p>
      <w:pPr>
        <w:spacing w:before="0" w:after="120"/>
      </w:pPr>
      <w:r>
        <w:rPr>
          <w:b/>
          <w:bCs/>
        </w:rPr>
        <w:t xml:space="preserve">25.13   Recording. </w:t>
      </w:r>
      <w:r>
        <w:t xml:space="preserve">Neither party shall record this Lease, but a mutually approved short-form memorandum may be recorded.</w:t>
      </w:r>
    </w:p>
    <w:p>
      <w:pPr>
        <w:spacing w:before="280" w:after="140"/>
        <w:keepNext/>
      </w:pPr>
      <w:r>
        <w:rPr>
          <w:b/>
          <w:bCs/>
          <w:sz w:val="28"/>
          <w:szCs w:val="28"/>
        </w:rPr>
        <w:t xml:space="preserve">ARTICLE 26.   SIGNATURES</w:t>
      </w:r>
    </w:p>
    <w:p>
      <w:pPr>
        <w:spacing w:before="0" w:after="120"/>
      </w:pPr>
      <w:r>
        <w:rPr>
          <w:b/>
          <w:bCs/>
        </w:rPr>
        <w:t xml:space="preserve">IN WITNESS WHEREOF, </w:t>
      </w:r>
      <w:r>
        <w:t xml:space="preserve">Landlord and Tenant have executed this Lease as of the Effective Date.</w:t>
      </w:r>
    </w:p>
    <w:p>
      <w:pPr>
        <w:spacing w:before="0" w:after="120"/>
      </w:pPr>
      <w:r>
        <w:t xml:space="preserve"> </w:t>
      </w:r>
    </w:p>
    <w:p>
      <w:pPr>
        <w:spacing w:before="0" w:after="120"/>
      </w:pPr>
      <w:r>
        <w:rPr>
          <w:b/>
          <w:bCs/>
        </w:rPr>
        <w:t xml:space="preserve">LANDLORD:</w:t>
      </w:r>
    </w:p>
    <w:p>
      <w:pPr>
        <w:spacing w:before="0" w:after="120"/>
      </w:pPr>
      <w:r>
        <w:rPr>
          <w:b/>
          <w:bCs/>
        </w:rPr>
        <w:t xml:space="preserve">BEEHIVE REALTY TRUST, LLC,</w:t>
      </w:r>
      <w:r>
        <w:t xml:space="preserve"> a Utah limited liability company</w:t>
      </w:r>
    </w:p>
    <w:p>
      <w:pPr>
        <w:spacing w:before="0" w:after="120"/>
      </w:pPr>
      <w:r>
        <w:t xml:space="preserve"> </w:t>
      </w:r>
    </w:p>
    <w:p>
      <w:pPr>
        <w:spacing w:before="0" w:after="120"/>
      </w:pPr>
      <w:r>
        <w:t xml:space="preserve">By: ___________________________________</w:t>
      </w:r>
    </w:p>
    <w:p>
      <w:pPr>
        <w:spacing w:before="0" w:after="120"/>
      </w:pPr>
      <w:r>
        <w:t xml:space="preserve">Name:  Cordelia P. Whitcombe</w:t>
      </w:r>
    </w:p>
    <w:p>
      <w:pPr>
        <w:spacing w:before="0" w:after="120"/>
      </w:pPr>
      <w:r>
        <w:t xml:space="preserve">Title: Managing Director, Leasing</w:t>
      </w:r>
    </w:p>
    <w:p>
      <w:pPr>
        <w:spacing w:before="0" w:after="120"/>
      </w:pPr>
      <w:r>
        <w:t xml:space="preserve"> </w:t>
      </w:r>
    </w:p>
    <w:p>
      <w:pPr>
        <w:spacing w:before="0" w:after="120"/>
      </w:pPr>
      <w:r>
        <w:rPr>
          <w:b/>
          <w:bCs/>
        </w:rPr>
        <w:t xml:space="preserve">TENANT:</w:t>
      </w:r>
    </w:p>
    <w:p>
      <w:pPr>
        <w:spacing w:before="0" w:after="120"/>
      </w:pPr>
      <w:r>
        <w:rPr>
          <w:b/>
          <w:bCs/>
        </w:rPr>
        <w:t xml:space="preserve">ASPEN HOLLOW OPHTHALMOLOGY, PLLC,</w:t>
      </w:r>
      <w:r>
        <w:t xml:space="preserve"> a Utah professional limited liability company</w:t>
      </w:r>
    </w:p>
    <w:p>
      <w:pPr>
        <w:spacing w:before="0" w:after="120"/>
      </w:pPr>
      <w:r>
        <w:t xml:space="preserve"> </w:t>
      </w:r>
    </w:p>
    <w:p>
      <w:pPr>
        <w:spacing w:before="0" w:after="120"/>
      </w:pPr>
      <w:r>
        <w:t xml:space="preserve">By: ___________________________________</w:t>
      </w:r>
    </w:p>
    <w:p>
      <w:pPr>
        <w:spacing w:before="0" w:after="120"/>
      </w:pPr>
      <w:r>
        <w:t xml:space="preserve">Name:  Camille N. Petrovic, MD</w:t>
      </w:r>
    </w:p>
    <w:p>
      <w:pPr>
        <w:spacing w:before="0" w:after="120"/>
      </w:pPr>
      <w:r>
        <w:t xml:space="preserve">Title: Managing Physician</w:t>
      </w:r>
    </w:p>
    <w:p>
      <w:pPr>
        <w:spacing w:before="280" w:after="140"/>
        <w:keepNext/>
      </w:pPr>
      <w:r>
        <w:rPr>
          <w:b/>
          <w:bCs/>
          <w:sz w:val="28"/>
          <w:szCs w:val="28"/>
        </w:rPr>
        <w:t xml:space="preserve">ARTICLE 27.   RENEWAL OPTION</w:t>
      </w:r>
    </w:p>
    <w:p>
      <w:pPr>
        <w:spacing w:before="0" w:after="120"/>
      </w:pPr>
      <w:r>
        <w:rPr>
          <w:b/>
          <w:bCs/>
        </w:rPr>
        <w:t xml:space="preserve">27.1   Grant. </w:t>
      </w:r>
      <w:r>
        <w:t xml:space="preserve">Provided no uncured Event of Default exists and the original Tenant (or a Permitted Transferee) is in occupancy of not less than seventy-five percent (75%) of the Premises, Tenant has one (1) option to renew the Term for an additional five (5) years at Fair Market Rent.</w:t>
      </w:r>
    </w:p>
    <w:p>
      <w:pPr>
        <w:spacing w:before="0" w:after="120"/>
      </w:pPr>
      <w:r>
        <w:rPr>
          <w:b/>
          <w:bCs/>
        </w:rPr>
        <w:t xml:space="preserve">27.2   Notice. </w:t>
      </w:r>
      <w:r>
        <w:t xml:space="preserve">Tenant shall exercise by written notice delivered not earlier than fifteen (15) months and not later than twelve (12) months before the Expiration Date. Time is of the essence.</w:t>
      </w:r>
    </w:p>
    <w:p>
      <w:pPr>
        <w:spacing w:before="0" w:after="120"/>
      </w:pPr>
      <w:r>
        <w:rPr>
          <w:b/>
          <w:bCs/>
        </w:rPr>
        <w:t xml:space="preserve">27.3   FMR. </w:t>
      </w:r>
      <w:r>
        <w:t xml:space="preserve">Fair Market Rent shall reflect comparable medical office space in the Murray/South Valley Wasatch Front submarket, taking into account building condition, length of term, escalations, tenant credit, concessions actually offered in the market for renewals (not new leases), and the base-year stop structure (with a refreshed Base Year coinciding with the first year of the Renewal Term). The parties shall negotiate in good faith for thirty (30) days; failing agreement, each shall select a qualified MAI appraiser, the two shall jointly select a third, and Fair Market Rent shall be determined by majority vote within sixty (60) days.</w:t>
      </w:r>
    </w:p>
    <w:p>
      <w:r>
        <w:br w:type="page"/>
      </w:r>
    </w:p>
    <w:p>
      <w:pPr>
        <w:jc w:val="center"/>
        <w:spacing w:before="0" w:after="40"/>
      </w:pPr>
      <w:r>
        <w:rPr>
          <w:b/>
          <w:bCs/>
          <w:sz w:val="32"/>
          <w:szCs w:val="32"/>
        </w:rPr>
        <w:t xml:space="preserve">EXHIBIT A</w:t>
      </w:r>
    </w:p>
    <w:p>
      <w:pPr>
        <w:jc w:val="center"/>
        <w:spacing w:before="0" w:after="160"/>
      </w:pPr>
      <w:r>
        <w:rPr>
          <w:b/>
          <w:bCs/>
          <w:sz w:val="26"/>
          <w:szCs w:val="26"/>
        </w:rPr>
        <w:t xml:space="preserve">Depiction of Premises</w:t>
      </w:r>
    </w:p>
    <w:p>
      <w:pPr>
        <w:spacing w:before="0" w:after="120"/>
      </w:pPr>
      <w:r>
        <w:t xml:space="preserve">The Premises consist of Suite 540 on the fifth floor of Sentinel Peak Medical Plaza, located at 5945 South Vine Street, Murray, Utah 84107, containing approximately 6,800 rentable square feet, as depicted below. The depiction is illustrative; in the event of a measurable discrepancy, the rentable square footage in Article 1 controls.</w:t>
      </w:r>
    </w:p>
    <w:p>
      <w:pPr>
        <w:jc w:val="center"/>
        <w:spacing w:before="120" w:after="120"/>
      </w:pPr>
      <w:r>
        <w:drawing>
          <wp:inline distT="0" distB="0" distL="0" distR="0">
            <wp:extent cx="6248400" cy="401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Pic1"/>
                    <a:stretch>
                      <a:fillRect/>
                    </a:stretch>
                  </pic:blipFill>
                  <pic:spPr>
                    <a:xfrm>
                      <a:off x="0" y="0"/>
                      <a:ext cx="6248400" cy="4015800"/>
                    </a:xfrm>
                    <a:prstGeom prst="rect">
                      <a:avLst/>
                    </a:prstGeom>
                  </pic:spPr>
                </pic:pic>
              </a:graphicData>
            </a:graphic>
          </wp:inline>
        </w:drawing>
      </w:r>
    </w:p>
    <w:p>
      <w:r>
        <w:br w:type="page"/>
      </w:r>
    </w:p>
    <w:p>
      <w:pPr>
        <w:jc w:val="center"/>
        <w:spacing w:before="0" w:after="40"/>
      </w:pPr>
      <w:r>
        <w:rPr>
          <w:b/>
          <w:bCs/>
          <w:sz w:val="32"/>
          <w:szCs w:val="32"/>
        </w:rPr>
        <w:t xml:space="preserve">EXHIBIT B</w:t>
      </w:r>
    </w:p>
    <w:p>
      <w:pPr>
        <w:jc w:val="center"/>
        <w:spacing w:before="0" w:after="160"/>
      </w:pPr>
      <w:r>
        <w:rPr>
          <w:b/>
          <w:bCs/>
          <w:sz w:val="26"/>
          <w:szCs w:val="26"/>
        </w:rPr>
        <w:t xml:space="preserve">Surrender Requirements</w:t>
      </w:r>
    </w:p>
    <w:p>
      <w:pPr>
        <w:spacing w:before="0" w:after="120"/>
      </w:pPr>
      <w:r>
        <w:t xml:space="preserve">On or before the Expiration Date, Tenant shall, at its sole cost:</w:t>
      </w:r>
    </w:p>
    <w:p>
      <w:pPr>
        <w:spacing w:before="0" w:after="120"/>
      </w:pPr>
      <w:r>
        <w:t xml:space="preserve">1.   Securely remove or destroy all Protected Health Information (PHI), patient charts, EHR backups, and any other patient data in accordance with HIPAA, applicable state law, and Exhibit P; deliver to Landlord a certificate of destruction or transfer from a qualified vendor.</w:t>
      </w:r>
    </w:p>
    <w:p>
      <w:pPr>
        <w:spacing w:before="0" w:after="120"/>
      </w:pPr>
      <w:r>
        <w:t xml:space="preserve">2.   Decommission and remove all medical equipment, lasers (with appropriate state laser-safety officer sign-off), imaging devices (with appropriate radiation-safety decommissioning), sterilizers, examination chairs, ophthalmic instruments, FF&amp;E, and signage.</w:t>
      </w:r>
    </w:p>
    <w:p>
      <w:pPr>
        <w:spacing w:before="0" w:after="120"/>
      </w:pPr>
      <w:r>
        <w:t xml:space="preserve">3.   Remove all sharps containers and any temporarily stored biohazard or regulated medical waste; provide manifests for final pickups by Tenant's medical-waste vendor.</w:t>
      </w:r>
    </w:p>
    <w:p>
      <w:pPr>
        <w:spacing w:before="0" w:after="120"/>
      </w:pPr>
      <w:r>
        <w:t xml:space="preserve">4.   Decommission and remove all medical-gas cylinders (oxygen, nitrous oxide, medical air, as applicable), with cylinder caps, manifests, and vendor pickup confirmation.</w:t>
      </w:r>
    </w:p>
    <w:p>
      <w:pPr>
        <w:spacing w:before="0" w:after="120"/>
      </w:pPr>
      <w:r>
        <w:t xml:space="preserve">5.   Where Landlord directs, remove or remediate lead lining and any RF shielding installed by Tenant; otherwise, lead lining and RF shielding shall remain in place at Landlord's election.</w:t>
      </w:r>
    </w:p>
    <w:p>
      <w:pPr>
        <w:spacing w:before="0" w:after="120"/>
      </w:pPr>
      <w:r>
        <w:t xml:space="preserve">6.   Service and inspect the OR suite HVAC enhancements (HEPA filters, isolation dampers, pressure controls); provide an inspection report or, where applicable, decommissioning certification.</w:t>
      </w:r>
    </w:p>
    <w:p>
      <w:pPr>
        <w:spacing w:before="0" w:after="120"/>
      </w:pPr>
      <w:r>
        <w:t xml:space="preserve">7.   Patch and repair walls, doors, and ceilings; replace stained or damaged ceiling tiles; deliver finishes broom-clean.</w:t>
      </w:r>
    </w:p>
    <w:p>
      <w:pPr>
        <w:spacing w:before="0" w:after="120"/>
      </w:pPr>
      <w:r>
        <w:t xml:space="preserve">8.   Remove all signage (suite-entry, lobby directory, monument tile) and repair related damage.</w:t>
      </w:r>
    </w:p>
    <w:p>
      <w:pPr>
        <w:spacing w:before="0" w:after="120"/>
      </w:pPr>
      <w:r>
        <w:t xml:space="preserve">9.   Surrender keys, fobs, BMS, EHR-related access credentials (to the extent applicable to facility-side systems), and alarm codes.</w:t>
      </w:r>
    </w:p>
    <w:p>
      <w:pPr>
        <w:spacing w:before="0" w:after="120"/>
      </w:pPr>
      <w:r>
        <w:t xml:space="preserve">10.   Terminate Tenant-arranged utility, janitorial, and medical-waste accounts as directed by Landlord; provide vendor final-statement confirmations.</w:t>
      </w:r>
    </w:p>
    <w:p>
      <w:r>
        <w:br w:type="page"/>
      </w:r>
    </w:p>
    <w:p>
      <w:pPr>
        <w:jc w:val="center"/>
        <w:spacing w:before="0" w:after="40"/>
      </w:pPr>
      <w:r>
        <w:rPr>
          <w:b/>
          <w:bCs/>
          <w:sz w:val="32"/>
          <w:szCs w:val="32"/>
        </w:rPr>
        <w:t xml:space="preserve">EXHIBIT C</w:t>
      </w:r>
    </w:p>
    <w:p>
      <w:pPr>
        <w:jc w:val="center"/>
        <w:spacing w:before="0" w:after="160"/>
      </w:pPr>
      <w:r>
        <w:rPr>
          <w:b/>
          <w:bCs/>
          <w:sz w:val="26"/>
          <w:szCs w:val="26"/>
        </w:rPr>
        <w:t xml:space="preserve">Rules and Regulations</w:t>
      </w:r>
    </w:p>
    <w:p>
      <w:pPr>
        <w:spacing w:before="0" w:after="120"/>
      </w:pPr>
      <w:r>
        <w:t xml:space="preserve">1.   Common areas shall be used only for their intended purposes. Tenant shall not store equipment or furniture in lobbies, corridors, stairwells, or elevators.</w:t>
      </w:r>
    </w:p>
    <w:p>
      <w:pPr>
        <w:spacing w:before="0" w:after="120"/>
      </w:pPr>
      <w:r>
        <w:t xml:space="preserve">2.   Smoking, vaping, and cannabis use are prohibited on the Property, except in designated outdoor smoking areas (if any) and as required by Utah's Indoor Clean Air Act.</w:t>
      </w:r>
    </w:p>
    <w:p>
      <w:pPr>
        <w:spacing w:before="0" w:after="120"/>
      </w:pPr>
      <w:r>
        <w:t xml:space="preserve">3.   Patient privacy and HIPAA-compliant behavior shall be maintained in all common areas. Tenant's staff shall not discuss patient information in elevators, lobbies, restrooms, or other common areas.</w:t>
      </w:r>
    </w:p>
    <w:p>
      <w:pPr>
        <w:spacing w:before="0" w:after="120"/>
      </w:pPr>
      <w:r>
        <w:t xml:space="preserve">4.   Sedated, non-ambulatory, or recovery patients shall not be transferred through public lobbies and corridors except by accompanied transfer to a vehicle through the loading area at the rear of the Building, coordinated with Building management.</w:t>
      </w:r>
    </w:p>
    <w:p>
      <w:pPr>
        <w:spacing w:before="0" w:after="120"/>
      </w:pPr>
      <w:r>
        <w:t xml:space="preserve">5.   Tenant's waiting room shall accommodate Tenant's patient load; spillover into common-area seating is not permitted.</w:t>
      </w:r>
    </w:p>
    <w:p>
      <w:pPr>
        <w:spacing w:before="0" w:after="120"/>
      </w:pPr>
      <w:r>
        <w:t xml:space="preserve">6.   Building hours are set forth in Article 4. After-hours access by patients shall be by escort only; Tenant shall provide Building security with a current contact for after-hours coordination.</w:t>
      </w:r>
    </w:p>
    <w:p>
      <w:pPr>
        <w:spacing w:before="0" w:after="120"/>
      </w:pPr>
      <w:r>
        <w:t xml:space="preserve">7.   Pets are not permitted in the Building, except (a) service animals as required by Law and (b) animals brought for clinical consultation only as part of approved studies.</w:t>
      </w:r>
    </w:p>
    <w:p>
      <w:pPr>
        <w:spacing w:before="0" w:after="120"/>
      </w:pPr>
      <w:r>
        <w:t xml:space="preserve">8.   Tenant shall not install space heaters, residential appliances, or equipment that overloads electrical capacity without Landlord's consent.</w:t>
      </w:r>
    </w:p>
    <w:p>
      <w:pPr>
        <w:spacing w:before="0" w:after="120"/>
      </w:pPr>
      <w:r>
        <w:t xml:space="preserve">9.   Trash, recycling, and biohazard/medical waste shall be staged only in designated areas, and biohazard/medical waste shall be removed by Tenant's licensed vendor.</w:t>
      </w:r>
    </w:p>
    <w:p>
      <w:pPr>
        <w:spacing w:before="0" w:after="120"/>
      </w:pPr>
      <w:r>
        <w:t xml:space="preserve">10.   Tenant shall not place signs, lettering, or window coverings visible from outside the Premises without Landlord's consent.</w:t>
      </w:r>
    </w:p>
    <w:p>
      <w:r>
        <w:br w:type="page"/>
      </w:r>
    </w:p>
    <w:p>
      <w:pPr>
        <w:jc w:val="center"/>
        <w:spacing w:before="0" w:after="40"/>
      </w:pPr>
      <w:r>
        <w:rPr>
          <w:b/>
          <w:bCs/>
          <w:sz w:val="32"/>
          <w:szCs w:val="32"/>
        </w:rPr>
        <w:t xml:space="preserve">EXHIBIT D</w:t>
      </w:r>
    </w:p>
    <w:p>
      <w:pPr>
        <w:jc w:val="center"/>
        <w:spacing w:before="0" w:after="160"/>
      </w:pPr>
      <w:r>
        <w:rPr>
          <w:b/>
          <w:bCs/>
          <w:sz w:val="26"/>
          <w:szCs w:val="26"/>
        </w:rPr>
        <w:t xml:space="preserve">Tenant Contact Information</w:t>
      </w:r>
    </w:p>
    <w:p>
      <w:pPr>
        <w:spacing w:before="0" w:after="120"/>
      </w:pPr>
      <w:r>
        <w:t xml:space="preserve">Tenant shall maintain the following primary contact for all operational, emergency, insurance, accounting, HIPAA-related, and licensure matters under this Lease, and shall provide written notice of any change within ten (10) business days.</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000"/>
        <w:gridCol w:w="6500"/>
      </w:tblGrid>
      <w:tr>
        <w:tc>
          <w:tcPr>
            <w:tcW w:w="3000" w:type="dxa"/>
            <w:shd w:val="clear" w:color="auto" w:fill="E5E7EB"/>
          </w:tcPr>
          <w:p>
            <w:pPr>
              <w:spacing w:before="0" w:after="60"/>
            </w:pPr>
            <w:r>
              <w:rPr>
                <w:b/>
                <w:bCs/>
              </w:rPr>
              <w:t xml:space="preserve">Field</w:t>
            </w:r>
          </w:p>
        </w:tc>
        <w:tc>
          <w:tcPr>
            <w:tcW w:w="6500" w:type="dxa"/>
            <w:shd w:val="clear" w:color="auto" w:fill="E5E7EB"/>
          </w:tcPr>
          <w:p>
            <w:pPr>
              <w:spacing w:before="0" w:after="60"/>
            </w:pPr>
            <w:r>
              <w:rPr>
                <w:b/>
                <w:bCs/>
              </w:rPr>
              <w:t xml:space="preserve">Information</w:t>
            </w:r>
          </w:p>
        </w:tc>
      </w:tr>
      <w:tr>
        <w:tc>
          <w:tcPr>
            <w:tcW w:w="3000" w:type="dxa"/>
          </w:tcPr>
          <w:p>
            <w:pPr>
              <w:spacing w:before="0" w:after="60"/>
            </w:pPr>
            <w:r>
              <w:t xml:space="preserve">Name</w:t>
            </w:r>
          </w:p>
        </w:tc>
        <w:tc>
          <w:tcPr>
            <w:tcW w:w="6500" w:type="dxa"/>
          </w:tcPr>
          <w:p>
            <w:pPr>
              <w:spacing w:before="0" w:after="60"/>
            </w:pPr>
            <w:r>
              <w:t xml:space="preserve">Camille N. Petrovic, MD</w:t>
            </w:r>
          </w:p>
        </w:tc>
      </w:tr>
      <w:tr>
        <w:tc>
          <w:tcPr>
            <w:tcW w:w="3000" w:type="dxa"/>
          </w:tcPr>
          <w:p>
            <w:pPr>
              <w:spacing w:before="0" w:after="60"/>
            </w:pPr>
            <w:r>
              <w:t xml:space="preserve">Title</w:t>
            </w:r>
          </w:p>
        </w:tc>
        <w:tc>
          <w:tcPr>
            <w:tcW w:w="6500" w:type="dxa"/>
          </w:tcPr>
          <w:p>
            <w:pPr>
              <w:spacing w:before="0" w:after="60"/>
            </w:pPr>
            <w:r>
              <w:t xml:space="preserve">Managing Physician</w:t>
            </w:r>
          </w:p>
        </w:tc>
      </w:tr>
      <w:tr>
        <w:tc>
          <w:tcPr>
            <w:tcW w:w="3000" w:type="dxa"/>
          </w:tcPr>
          <w:p>
            <w:pPr>
              <w:spacing w:before="0" w:after="60"/>
            </w:pPr>
            <w:r>
              <w:t xml:space="preserve">Business Phone</w:t>
            </w:r>
          </w:p>
        </w:tc>
        <w:tc>
          <w:tcPr>
            <w:tcW w:w="6500" w:type="dxa"/>
          </w:tcPr>
          <w:p>
            <w:pPr>
              <w:spacing w:before="0" w:after="60"/>
            </w:pPr>
            <w:r>
              <w:t xml:space="preserve">(801) 555-0524</w:t>
            </w:r>
          </w:p>
        </w:tc>
      </w:tr>
      <w:tr>
        <w:tc>
          <w:tcPr>
            <w:tcW w:w="3000" w:type="dxa"/>
          </w:tcPr>
          <w:p>
            <w:pPr>
              <w:spacing w:before="0" w:after="60"/>
            </w:pPr>
            <w:r>
              <w:t xml:space="preserve">Mobile / After-Hours Phone</w:t>
            </w:r>
          </w:p>
        </w:tc>
        <w:tc>
          <w:tcPr>
            <w:tcW w:w="6500" w:type="dxa"/>
          </w:tcPr>
          <w:p>
            <w:pPr>
              <w:spacing w:before="0" w:after="60"/>
            </w:pPr>
            <w:r>
              <w:t xml:space="preserve">(801) 555-0577</w:t>
            </w:r>
          </w:p>
        </w:tc>
      </w:tr>
      <w:tr>
        <w:tc>
          <w:tcPr>
            <w:tcW w:w="3000" w:type="dxa"/>
          </w:tcPr>
          <w:p>
            <w:pPr>
              <w:spacing w:before="0" w:after="60"/>
            </w:pPr>
            <w:r>
              <w:t xml:space="preserve">Email</w:t>
            </w:r>
          </w:p>
        </w:tc>
        <w:tc>
          <w:tcPr>
            <w:tcW w:w="6500" w:type="dxa"/>
          </w:tcPr>
          <w:p>
            <w:pPr>
              <w:spacing w:before="0" w:after="60"/>
            </w:pPr>
            <w:r>
              <w:t xml:space="preserve">cpetrovic@aspenhollowoph.example</w:t>
            </w:r>
          </w:p>
        </w:tc>
      </w:tr>
      <w:tr>
        <w:tc>
          <w:tcPr>
            <w:tcW w:w="3000" w:type="dxa"/>
          </w:tcPr>
          <w:p>
            <w:pPr>
              <w:spacing w:before="0" w:after="60"/>
            </w:pPr>
            <w:r>
              <w:t xml:space="preserve">Mailing Address</w:t>
            </w:r>
          </w:p>
        </w:tc>
        <w:tc>
          <w:tcPr>
            <w:tcW w:w="6500" w:type="dxa"/>
          </w:tcPr>
          <w:p>
            <w:pPr>
              <w:spacing w:before="0" w:after="60"/>
            </w:pPr>
            <w:r>
              <w:t xml:space="preserve">Aspen Hollow Ophthalmology, PLLC, Suite 540, 5945 South Vine Street, Murray, UT 84107</w:t>
            </w:r>
          </w:p>
        </w:tc>
      </w:tr>
      <w:tr>
        <w:tc>
          <w:tcPr>
            <w:tcW w:w="3000" w:type="dxa"/>
          </w:tcPr>
          <w:p>
            <w:pPr>
              <w:spacing w:before="0" w:after="60"/>
            </w:pPr>
            <w:r>
              <w:t xml:space="preserve">24/7 Clinical Emergency Line</w:t>
            </w:r>
          </w:p>
        </w:tc>
        <w:tc>
          <w:tcPr>
            <w:tcW w:w="6500" w:type="dxa"/>
          </w:tcPr>
          <w:p>
            <w:pPr>
              <w:spacing w:before="0" w:after="60"/>
            </w:pPr>
            <w:r>
              <w:t xml:space="preserve">(801) 555-0599 (Physician on call)</w:t>
            </w:r>
          </w:p>
        </w:tc>
      </w:tr>
    </w:tbl>
    <w:p>
      <w:pPr>
        <w:spacing w:before="0" w:after="80"/>
      </w:pPr>
    </w:p>
    <w:p>
      <w:r>
        <w:br w:type="page"/>
      </w:r>
    </w:p>
    <w:p>
      <w:pPr>
        <w:jc w:val="center"/>
        <w:spacing w:before="0" w:after="40"/>
      </w:pPr>
      <w:r>
        <w:rPr>
          <w:b/>
          <w:bCs/>
          <w:sz w:val="32"/>
          <w:szCs w:val="32"/>
        </w:rPr>
        <w:t xml:space="preserve">EXHIBIT E</w:t>
      </w:r>
    </w:p>
    <w:p>
      <w:pPr>
        <w:jc w:val="center"/>
        <w:spacing w:before="0" w:after="160"/>
      </w:pPr>
      <w:r>
        <w:rPr>
          <w:b/>
          <w:bCs/>
          <w:sz w:val="26"/>
          <w:szCs w:val="26"/>
        </w:rPr>
        <w:t xml:space="preserve">Sign Specifications</w:t>
      </w:r>
    </w:p>
    <w:p>
      <w:pPr>
        <w:spacing w:before="0" w:after="120"/>
      </w:pPr>
      <w:r>
        <w:rPr>
          <w:b/>
          <w:bCs/>
        </w:rPr>
        <w:t xml:space="preserve">Suite-Entry Sign. </w:t>
      </w:r>
      <w:r>
        <w:t xml:space="preserve">One (1) Building-standard plaque at the primary Premises entry door, 10" × 14", brushed-aluminum face with charcoal vinyl lettering, displaying Tenant's legal name or approved practice name. Landlord fabricates and installs at Tenant's cost (approx. $420).</w:t>
      </w:r>
    </w:p>
    <w:p>
      <w:pPr>
        <w:spacing w:before="0" w:after="120"/>
      </w:pPr>
      <w:r>
        <w:rPr>
          <w:b/>
          <w:bCs/>
        </w:rPr>
        <w:t xml:space="preserve">Lobby Directory. </w:t>
      </w:r>
      <w:r>
        <w:t xml:space="preserve">Two (2) lines on the main-lobby electronic directory, displaying Tenant's practice name and suite number. No additional charge.</w:t>
      </w:r>
    </w:p>
    <w:p>
      <w:pPr>
        <w:spacing w:before="0" w:after="120"/>
      </w:pPr>
      <w:r>
        <w:rPr>
          <w:b/>
          <w:bCs/>
        </w:rPr>
        <w:t xml:space="preserve">Monument Tile. </w:t>
      </w:r>
      <w:r>
        <w:t xml:space="preserve">One (1) tile on the Building monument sign at Vine Street, fabricated by Landlord's sign vendor at Tenant's cost (approx. $1,800).</w:t>
      </w:r>
    </w:p>
    <w:p>
      <w:pPr>
        <w:spacing w:before="0" w:after="120"/>
      </w:pPr>
      <w:r>
        <w:rPr>
          <w:b/>
          <w:bCs/>
        </w:rPr>
        <w:t xml:space="preserve">Exterior Building Signage. </w:t>
      </w:r>
      <w:r>
        <w:t xml:space="preserve">Not permitted under this Lease.</w:t>
      </w:r>
    </w:p>
    <w:p>
      <w:pPr>
        <w:spacing w:before="0" w:after="120"/>
      </w:pPr>
      <w:r>
        <w:rPr>
          <w:b/>
          <w:bCs/>
        </w:rPr>
        <w:t xml:space="preserve">Removal. </w:t>
      </w:r>
      <w:r>
        <w:t xml:space="preserve">Tenant shall remove all suite signage at the Expiration Date and repair damage.</w:t>
      </w:r>
    </w:p>
    <w:p>
      <w:r>
        <w:br w:type="page"/>
      </w:r>
    </w:p>
    <w:p>
      <w:pPr>
        <w:jc w:val="center"/>
        <w:spacing w:before="0" w:after="40"/>
      </w:pPr>
      <w:r>
        <w:rPr>
          <w:b/>
          <w:bCs/>
          <w:sz w:val="32"/>
          <w:szCs w:val="32"/>
        </w:rPr>
        <w:t xml:space="preserve">EXHIBIT F</w:t>
      </w:r>
    </w:p>
    <w:p>
      <w:pPr>
        <w:jc w:val="center"/>
        <w:spacing w:before="0" w:after="160"/>
      </w:pPr>
      <w:r>
        <w:rPr>
          <w:b/>
          <w:bCs/>
          <w:sz w:val="26"/>
          <w:szCs w:val="26"/>
        </w:rPr>
        <w:t xml:space="preserve">Confirmation of Commencement Date</w:t>
      </w:r>
    </w:p>
    <w:p>
      <w:pPr>
        <w:spacing w:before="0" w:after="120"/>
      </w:pPr>
      <w:r>
        <w:t xml:space="preserve">Reference is made to that certain Medical Office Lease dated August 14, 2026 (the "Lease") between Beehive Realty Trust, LLC, as Landlord, and Aspen Hollow Ophthalmology, PLLC, as Tenant. Landlord and Tenant confirm:</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500"/>
        <w:gridCol w:w="6000"/>
      </w:tblGrid>
      <w:tr>
        <w:tc>
          <w:tcPr>
            <w:tcW w:w="3500" w:type="dxa"/>
            <w:shd w:val="clear" w:color="auto" w:fill="E5E7EB"/>
          </w:tcPr>
          <w:p>
            <w:pPr>
              <w:spacing w:before="0" w:after="60"/>
            </w:pPr>
            <w:r>
              <w:rPr>
                <w:b/>
                <w:bCs/>
              </w:rPr>
              <w:t xml:space="preserve">Item</w:t>
            </w:r>
          </w:p>
        </w:tc>
        <w:tc>
          <w:tcPr>
            <w:tcW w:w="6000" w:type="dxa"/>
            <w:shd w:val="clear" w:color="auto" w:fill="E5E7EB"/>
          </w:tcPr>
          <w:p>
            <w:pPr>
              <w:spacing w:before="0" w:after="60"/>
            </w:pPr>
            <w:r>
              <w:rPr>
                <w:b/>
                <w:bCs/>
              </w:rPr>
              <w:t xml:space="preserve">Confirmed</w:t>
            </w:r>
          </w:p>
        </w:tc>
      </w:tr>
      <w:tr>
        <w:tc>
          <w:tcPr>
            <w:tcW w:w="3500" w:type="dxa"/>
          </w:tcPr>
          <w:p>
            <w:pPr>
              <w:spacing w:before="0" w:after="60"/>
            </w:pPr>
            <w:r>
              <w:t xml:space="preserve">Commencement Date</w:t>
            </w:r>
          </w:p>
        </w:tc>
        <w:tc>
          <w:tcPr>
            <w:tcW w:w="6000" w:type="dxa"/>
          </w:tcPr>
          <w:p>
            <w:pPr>
              <w:spacing w:before="0" w:after="60"/>
            </w:pPr>
            <w:r>
              <w:t xml:space="preserve">______________, 2026</w:t>
            </w:r>
          </w:p>
        </w:tc>
      </w:tr>
      <w:tr>
        <w:tc>
          <w:tcPr>
            <w:tcW w:w="3500" w:type="dxa"/>
          </w:tcPr>
          <w:p>
            <w:pPr>
              <w:spacing w:before="0" w:after="60"/>
            </w:pPr>
            <w:r>
              <w:t xml:space="preserve">Rent Commencement Date</w:t>
            </w:r>
          </w:p>
        </w:tc>
        <w:tc>
          <w:tcPr>
            <w:tcW w:w="6000" w:type="dxa"/>
          </w:tcPr>
          <w:p>
            <w:pPr>
              <w:spacing w:before="0" w:after="60"/>
            </w:pPr>
            <w:r>
              <w:t xml:space="preserve">December 1, 2026</w:t>
            </w:r>
          </w:p>
        </w:tc>
      </w:tr>
      <w:tr>
        <w:tc>
          <w:tcPr>
            <w:tcW w:w="3500" w:type="dxa"/>
          </w:tcPr>
          <w:p>
            <w:pPr>
              <w:spacing w:before="0" w:after="60"/>
            </w:pPr>
            <w:r>
              <w:t xml:space="preserve">Base Year</w:t>
            </w:r>
          </w:p>
        </w:tc>
        <w:tc>
          <w:tcPr>
            <w:tcW w:w="6000" w:type="dxa"/>
          </w:tcPr>
          <w:p>
            <w:pPr>
              <w:spacing w:before="0" w:after="60"/>
            </w:pPr>
            <w:r>
              <w:t xml:space="preserve">Calendar year 2027</w:t>
            </w:r>
          </w:p>
        </w:tc>
      </w:tr>
      <w:tr>
        <w:tc>
          <w:tcPr>
            <w:tcW w:w="3500" w:type="dxa"/>
          </w:tcPr>
          <w:p>
            <w:pPr>
              <w:spacing w:before="0" w:after="60"/>
            </w:pPr>
            <w:r>
              <w:t xml:space="preserve">Expiration Date</w:t>
            </w:r>
          </w:p>
        </w:tc>
        <w:tc>
          <w:tcPr>
            <w:tcW w:w="6000" w:type="dxa"/>
          </w:tcPr>
          <w:p>
            <w:pPr>
              <w:spacing w:before="0" w:after="60"/>
            </w:pPr>
            <w:r>
              <w:t xml:space="preserve">______________, 2036</w:t>
            </w:r>
          </w:p>
        </w:tc>
      </w:tr>
      <w:tr>
        <w:tc>
          <w:tcPr>
            <w:tcW w:w="3500" w:type="dxa"/>
          </w:tcPr>
          <w:p>
            <w:pPr>
              <w:spacing w:before="0" w:after="60"/>
            </w:pPr>
            <w:r>
              <w:t xml:space="preserve">Premises RSF</w:t>
            </w:r>
          </w:p>
        </w:tc>
        <w:tc>
          <w:tcPr>
            <w:tcW w:w="6000" w:type="dxa"/>
          </w:tcPr>
          <w:p>
            <w:pPr>
              <w:spacing w:before="0" w:after="60"/>
            </w:pPr>
            <w:r>
              <w:t xml:space="preserve">6,800</w:t>
            </w:r>
          </w:p>
        </w:tc>
      </w:tr>
      <w:tr>
        <w:tc>
          <w:tcPr>
            <w:tcW w:w="3500" w:type="dxa"/>
          </w:tcPr>
          <w:p>
            <w:pPr>
              <w:spacing w:before="0" w:after="60"/>
            </w:pPr>
            <w:r>
              <w:t xml:space="preserve">Tenant Proportionate Share</w:t>
            </w:r>
          </w:p>
        </w:tc>
        <w:tc>
          <w:tcPr>
            <w:tcW w:w="6000" w:type="dxa"/>
          </w:tcPr>
          <w:p>
            <w:pPr>
              <w:spacing w:before="0" w:after="60"/>
            </w:pPr>
            <w:r>
              <w:t xml:space="preserve">7.39%</w:t>
            </w:r>
          </w:p>
        </w:tc>
      </w:tr>
      <w:tr>
        <w:tc>
          <w:tcPr>
            <w:tcW w:w="3500" w:type="dxa"/>
          </w:tcPr>
          <w:p>
            <w:pPr>
              <w:spacing w:before="0" w:after="60"/>
            </w:pPr>
            <w:r>
              <w:t xml:space="preserve">Landlord Delivery Complete</w:t>
            </w:r>
          </w:p>
        </w:tc>
        <w:tc>
          <w:tcPr>
            <w:tcW w:w="6000" w:type="dxa"/>
          </w:tcPr>
          <w:p>
            <w:pPr>
              <w:spacing w:before="0" w:after="60"/>
            </w:pPr>
            <w:r>
              <w:t xml:space="preserve">☐ Yes   ☐ Yes, subject to attached punch list   ☐ No</w:t>
            </w:r>
          </w:p>
        </w:tc>
      </w:tr>
    </w:tbl>
    <w:p>
      <w:pPr>
        <w:spacing w:before="0" w:after="80"/>
      </w:pPr>
    </w:p>
    <w:p>
      <w:r>
        <w:br w:type="page"/>
      </w:r>
    </w:p>
    <w:p>
      <w:pPr>
        <w:jc w:val="center"/>
        <w:spacing w:before="0" w:after="40"/>
      </w:pPr>
      <w:r>
        <w:rPr>
          <w:b/>
          <w:bCs/>
          <w:sz w:val="32"/>
          <w:szCs w:val="32"/>
        </w:rPr>
        <w:t xml:space="preserve">EXHIBIT G</w:t>
      </w:r>
    </w:p>
    <w:p>
      <w:pPr>
        <w:jc w:val="center"/>
        <w:spacing w:before="0" w:after="160"/>
      </w:pPr>
      <w:r>
        <w:rPr>
          <w:b/>
          <w:bCs/>
          <w:sz w:val="26"/>
          <w:szCs w:val="26"/>
        </w:rPr>
        <w:t xml:space="preserve">Work Letter &amp; Tenant Improvement Allowance</w:t>
      </w:r>
    </w:p>
    <w:p>
      <w:pPr>
        <w:spacing w:before="0" w:after="120"/>
      </w:pPr>
      <w:r>
        <w:rPr>
          <w:b/>
          <w:bCs/>
        </w:rPr>
        <w:t xml:space="preserve">1.   Landlord Delivery Condition. </w:t>
      </w:r>
      <w:r>
        <w:t xml:space="preserve">Landlord shall deliver the Premises in "warm shell" condition: (a) demising walls drywall-finished and primed; (b) base-building HVAC distribution to the Premises sized for medical office use, with a base-building 25-ton capacity allocation; (c) suspended grid ceiling at agreed elevation or open-to-deck; (d) Building-standard restroom rough-ins for one (1) ADA-compliant patient restroom and one (1) staff restroom; (e) 600-amp 120/208V three-phase electrical service to a tenant electrical room; (f) base-building plumbing risers stubbed for in-suite plumbing; (g) base-building life-safety stub-outs (sprinkler grid, fire-alarm pull stations); (h) suite-entry door and frame; and (i) a current Certificate of Occupancy covering the Building shell.</w:t>
      </w:r>
    </w:p>
    <w:p>
      <w:pPr>
        <w:spacing w:before="0" w:after="120"/>
      </w:pPr>
      <w:r>
        <w:rPr>
          <w:b/>
          <w:bCs/>
        </w:rPr>
        <w:t xml:space="preserve">2.   Tenant's Work. </w:t>
      </w:r>
      <w:r>
        <w:t xml:space="preserve">Tenant's Work includes the full medical build-out: exam-room finishes and casework; the diagnostic room and any required lead lining; the Class 4 laser room with engineering controls (interlocks, lighted warning signs, eye-safe enclosure); the in-suite minor-procedure OR suite (HEPA filtration, positive pressure, isolation, scrub sinks, anesthesia stub-outs); pre-op/recovery; sterilization (autoclave drains, vents, exhaust); medical-gas room (cylinder rack, alarm, security); business office; break room; supplemental HVAC; supplemental electrical; IT/security; signage; and FF&amp;E.</w:t>
      </w:r>
    </w:p>
    <w:p>
      <w:pPr>
        <w:spacing w:before="0" w:after="120"/>
      </w:pPr>
      <w:r>
        <w:rPr>
          <w:b/>
          <w:bCs/>
        </w:rPr>
        <w:t xml:space="preserve">3.   Tenant Improvement Allowance. </w:t>
      </w:r>
      <w:r>
        <w:t xml:space="preserve">Landlord shall provide a one-time TI Allowance of $80.00 per RSF ($544,000.00) payable to Tenant in arrears in up to four (4) draws against (a) paid invoices, (b) conditional lien waivers (unconditional for the final draw), (c) photographs of completed work, and (d) the General Contractor's sworn affidavit. The Allowance may be applied to soft costs (permitting, architectural, MEP engineering, low-voltage cabling) up to fifteen percent (15%) of the Allowance. The Allowance may not be applied to FF&amp;E or movable medical equipment except as Landlord may approve. Unused Allowance is forfeited eighteen (18) months after the Commencement Date.</w:t>
      </w:r>
    </w:p>
    <w:p>
      <w:pPr>
        <w:spacing w:before="0" w:after="120"/>
      </w:pPr>
      <w:r>
        <w:rPr>
          <w:b/>
          <w:bCs/>
        </w:rPr>
        <w:t xml:space="preserve">4.   Plans, Permits, and Licensure. </w:t>
      </w:r>
      <w:r>
        <w:t xml:space="preserve">Tenant shall submit plans, specifications, and contractor list to Landlord for approval (not to be unreasonably withheld). Tenant shall obtain all building, fire, mechanical, electrical, plumbing, medical-gas, radiation-control, and any ASC/OBS licensure permits required. Landlord's review fee is waived.</w:t>
      </w:r>
    </w:p>
    <w:p>
      <w:pPr>
        <w:spacing w:before="0" w:after="120"/>
      </w:pPr>
      <w:r>
        <w:rPr>
          <w:b/>
          <w:bCs/>
        </w:rPr>
        <w:t xml:space="preserve">5.   Outside Date. </w:t>
      </w:r>
      <w:r>
        <w:t xml:space="preserve">If Landlord fails to deliver the Premises in the required condition by October 15, 2026 for reasons other than Tenant Delay or Force Majeure, Tenant may terminate this Lease by written notice within thirty (30) days after the outside date, and Landlord shall refund all sums prepaid by Tenant.</w:t>
      </w:r>
    </w:p>
    <w:p>
      <w:r>
        <w:br w:type="page"/>
      </w:r>
    </w:p>
    <w:p>
      <w:pPr>
        <w:jc w:val="center"/>
        <w:spacing w:before="0" w:after="40"/>
      </w:pPr>
      <w:r>
        <w:rPr>
          <w:b/>
          <w:bCs/>
          <w:sz w:val="32"/>
          <w:szCs w:val="32"/>
        </w:rPr>
        <w:t xml:space="preserve">EXHIBIT I</w:t>
      </w:r>
    </w:p>
    <w:p>
      <w:pPr>
        <w:jc w:val="center"/>
        <w:spacing w:before="0" w:after="160"/>
      </w:pPr>
      <w:r>
        <w:rPr>
          <w:b/>
          <w:bCs/>
          <w:sz w:val="26"/>
          <w:szCs w:val="26"/>
        </w:rPr>
        <w:t xml:space="preserve">Utah-Specific Provisions</w:t>
      </w:r>
    </w:p>
    <w:p>
      <w:pPr>
        <w:spacing w:before="0" w:after="120"/>
      </w:pPr>
      <w:r>
        <w:rPr>
          <w:b/>
          <w:bCs/>
        </w:rPr>
        <w:t xml:space="preserve">I.1   Governing Law. </w:t>
      </w:r>
      <w:r>
        <w:t xml:space="preserve">Utah law governs. Utah does not impose a state sales or rent tax on commercial real property rent as of the Effective Date; if any such tax is later imposed, Tenant pays it.</w:t>
      </w:r>
    </w:p>
    <w:p>
      <w:pPr>
        <w:spacing w:before="0" w:after="120"/>
      </w:pPr>
      <w:r>
        <w:rPr>
          <w:b/>
          <w:bCs/>
        </w:rPr>
        <w:t xml:space="preserve">I.2   Mechanics' Liens. </w:t>
      </w:r>
      <w:r>
        <w:t xml:space="preserve">Liens released or bonded within thirty (30) days under Utah Code §38-1a et seq.; Landlord may post non-responsibility notices.</w:t>
      </w:r>
    </w:p>
    <w:p>
      <w:pPr>
        <w:spacing w:before="0" w:after="120"/>
      </w:pPr>
      <w:r>
        <w:rPr>
          <w:b/>
          <w:bCs/>
        </w:rPr>
        <w:t xml:space="preserve">I.3   Professional Licensure. </w:t>
      </w:r>
      <w:r>
        <w:t xml:space="preserve">Tenant's clinicians shall maintain current licensure with the Utah Division of Occupational and Professional Licensing (DOPL) for all clinical activities performed at the Premises, including ophthalmologic and surgical practice, and shall maintain DEA registration if controlled substances are dispensed or administered.</w:t>
      </w:r>
    </w:p>
    <w:p>
      <w:pPr>
        <w:spacing w:before="0" w:after="120"/>
      </w:pPr>
      <w:r>
        <w:rPr>
          <w:b/>
          <w:bCs/>
        </w:rPr>
        <w:t xml:space="preserve">I.4   Radiation Safety. </w:t>
      </w:r>
      <w:r>
        <w:t xml:space="preserve">Tenant's use of any radiation-producing devices (X-ray fluoroscopy used in connection with refractive procedures, where applicable) shall comply with the Utah Department of Environmental Quality, Division of Waste Management and Radiation Control, and Tenant shall register devices, designate a Radiation Safety Officer, and maintain shielding/dosimetry records.</w:t>
      </w:r>
    </w:p>
    <w:p>
      <w:pPr>
        <w:spacing w:before="0" w:after="120"/>
      </w:pPr>
      <w:r>
        <w:rPr>
          <w:b/>
          <w:bCs/>
        </w:rPr>
        <w:t xml:space="preserve">I.5   Medical Waste. </w:t>
      </w:r>
      <w:r>
        <w:t xml:space="preserve">Tenant shall comply with Utah Department of Health and Salt Lake County Health Department requirements for the storage, handling, and transport of biohazard, sharps, and regulated medical waste, as further set forth in Exhibit P.</w:t>
      </w:r>
    </w:p>
    <w:p>
      <w:pPr>
        <w:spacing w:before="0" w:after="120"/>
      </w:pPr>
      <w:r>
        <w:rPr>
          <w:b/>
          <w:bCs/>
        </w:rPr>
        <w:t xml:space="preserve">I.6   Patient Privacy. </w:t>
      </w:r>
      <w:r>
        <w:t xml:space="preserve">Tenant shall comply with HIPAA, HITECH, 42 CFR Part 2 (if applicable), and Utah's Genetic Information Privacy Act and Information Technology Act as they apply to Tenant's operations.</w:t>
      </w:r>
    </w:p>
    <w:p>
      <w:pPr>
        <w:spacing w:before="0" w:after="120"/>
      </w:pPr>
      <w:r>
        <w:rPr>
          <w:b/>
          <w:bCs/>
        </w:rPr>
        <w:t xml:space="preserve">I.7   Broker Disclosure. </w:t>
      </w:r>
      <w:r>
        <w:t xml:space="preserve">Tenant Broker represents Tenant; Landlord Broker (Beehive Realty Trust, LLC, in-house) represents Landlord, consistent with Utah Division of Real Estate disclosures.</w:t>
      </w:r>
    </w:p>
    <w:p>
      <w:pPr>
        <w:spacing w:before="0" w:after="120"/>
      </w:pPr>
      <w:r>
        <w:rPr>
          <w:b/>
          <w:bCs/>
        </w:rPr>
        <w:t xml:space="preserve">I.8   ADA / Utah Accessibility. </w:t>
      </w:r>
      <w:r>
        <w:t xml:space="preserve">Landlord is responsible for ADA and Utah accessibility compliance in the Building's common areas (including parking, lobbies, elevators, and common restrooms). Tenant is responsible for accessibility within the Premises, including any alterations made by or for Tenant.</w:t>
      </w:r>
    </w:p>
    <w:p>
      <w:pPr>
        <w:spacing w:before="0" w:after="120"/>
      </w:pPr>
      <w:r>
        <w:rPr>
          <w:b/>
          <w:bCs/>
        </w:rPr>
        <w:t xml:space="preserve">I.9   Anti-Discrimination. </w:t>
      </w:r>
      <w:r>
        <w:t xml:space="preserve">Tenant shall accept patients without discrimination based on race, color, national origin, religion, sex, gender identity, sexual orientation, age, or disability, consistent with applicable federal and Utah civil-rights laws.</w:t>
      </w:r>
    </w:p>
    <w:p>
      <w:r>
        <w:br w:type="page"/>
      </w:r>
    </w:p>
    <w:p>
      <w:pPr>
        <w:jc w:val="center"/>
        <w:spacing w:before="0" w:after="40"/>
      </w:pPr>
      <w:r>
        <w:rPr>
          <w:b/>
          <w:bCs/>
          <w:sz w:val="32"/>
          <w:szCs w:val="32"/>
        </w:rPr>
        <w:t xml:space="preserve">EXHIBIT P</w:t>
      </w:r>
    </w:p>
    <w:p>
      <w:pPr>
        <w:jc w:val="center"/>
        <w:spacing w:before="0" w:after="160"/>
      </w:pPr>
      <w:r>
        <w:rPr>
          <w:b/>
          <w:bCs/>
          <w:sz w:val="26"/>
          <w:szCs w:val="26"/>
        </w:rPr>
        <w:t xml:space="preserve">Medical Operations, HIPAA &amp; Biohazard</w:t>
      </w:r>
    </w:p>
    <w:p>
      <w:pPr>
        <w:spacing w:before="0" w:after="120"/>
      </w:pPr>
      <w:r>
        <w:rPr>
          <w:b/>
          <w:bCs/>
        </w:rPr>
        <w:t xml:space="preserve">P.1   HIPAA / HITECH. </w:t>
      </w:r>
      <w:r>
        <w:t xml:space="preserve">Tenant is a "Covered Entity" under HIPAA. Tenant shall maintain administrative, physical, and technical safeguards required by HIPAA, HITECH, and applicable Utah law, including secure access to PHI within the Premises and on Tenant's information systems. Landlord is not a Business Associate of Tenant solely by virtue of leasing the Premises. If Landlord performs any service that would result in Business Associate status (e.g., access to PHI as part of facility services), the parties shall execute a Business Associate Agreement on terms reasonably acceptable to both.</w:t>
      </w:r>
    </w:p>
    <w:p>
      <w:pPr>
        <w:spacing w:before="0" w:after="120"/>
      </w:pPr>
      <w:r>
        <w:rPr>
          <w:b/>
          <w:bCs/>
        </w:rPr>
        <w:t xml:space="preserve">P.2   Medical Waste Storage and Pickup. </w:t>
      </w:r>
      <w:r>
        <w:t xml:space="preserve">Tenant shall arrange and pay for medical-waste removal by a Utah-licensed medical-waste hauler. Within the Premises, biohazard, sharps, pathological, and any other regulated medical waste shall be stored in labeled, leak-proof, puncture-resistant containers in a designated temporary holding area (shown on Exhibit A). Off-Premises staging in common areas is prohibited. Pickup frequency shall be sufficient to prevent accumulation in excess of the storage capacity. Manifests shall be retained for not less than three (3) years and made available to Landlord on reasonable request.</w:t>
      </w:r>
    </w:p>
    <w:p>
      <w:pPr>
        <w:spacing w:before="0" w:after="120"/>
      </w:pPr>
      <w:r>
        <w:rPr>
          <w:b/>
          <w:bCs/>
        </w:rPr>
        <w:t xml:space="preserve">P.3   Sharps and Bloodborne Pathogens. </w:t>
      </w:r>
      <w:r>
        <w:t xml:space="preserve">Tenant shall comply with the OSHA Bloodborne Pathogen Standard (29 CFR 1910.1030), including exposure control plan, employee training, sharps injury log, post-exposure follow-up, and Hepatitis B vaccination program.</w:t>
      </w:r>
    </w:p>
    <w:p>
      <w:pPr>
        <w:spacing w:before="0" w:after="120"/>
      </w:pPr>
      <w:r>
        <w:rPr>
          <w:b/>
          <w:bCs/>
        </w:rPr>
        <w:t xml:space="preserve">P.4   Sterilization and Reprocessing. </w:t>
      </w:r>
      <w:r>
        <w:t xml:space="preserve">Sterilization equipment, scrub sinks, autoclave drains and exhaust, and instrument reprocessing shall be maintained in accordance with Tenant's policies, AORN guidance, and applicable Laws. Steam exhaust and condensate drains shall not discharge into the Building's common-area plumbing without Landlord's consent.</w:t>
      </w:r>
    </w:p>
    <w:p>
      <w:pPr>
        <w:spacing w:before="0" w:after="120"/>
      </w:pPr>
      <w:r>
        <w:rPr>
          <w:b/>
          <w:bCs/>
        </w:rPr>
        <w:t xml:space="preserve">P.5   Medical Gases. </w:t>
      </w:r>
      <w:r>
        <w:t xml:space="preserve">Cylinder-based medical gas (oxygen, nitrous oxide, medical air, vacuum) shall be located in the medical-gas room shown on Exhibit A. Cylinders shall be chained or racked, segregated by gas type, labeled, and inspected on the manufacturer's schedule. Tenant shall maintain NFPA 99 compliance for the gas room. Any conversion to piped medical gas requires Landlord's consent under Article 13.</w:t>
      </w:r>
    </w:p>
    <w:p>
      <w:pPr>
        <w:spacing w:before="0" w:after="120"/>
      </w:pPr>
      <w:r>
        <w:rPr>
          <w:b/>
          <w:bCs/>
        </w:rPr>
        <w:t xml:space="preserve">P.6   Laser Safety. </w:t>
      </w:r>
      <w:r>
        <w:t xml:space="preserve">Tenant shall designate a Laser Safety Officer; maintain laser safety policies in accordance with ANSI Z136.3 (medical lasers); install engineering controls (room interlock, illuminated warning sign, eye-safe enclosure, ventilation for plume); train staff; and maintain logs of laser use, calibration, and maintenance.</w:t>
      </w:r>
    </w:p>
    <w:p>
      <w:pPr>
        <w:spacing w:before="0" w:after="120"/>
      </w:pPr>
      <w:r>
        <w:rPr>
          <w:b/>
          <w:bCs/>
        </w:rPr>
        <w:t xml:space="preserve">P.7   In-Suite Surgery Suite. </w:t>
      </w:r>
      <w:r>
        <w:t xml:space="preserve">The OR suite shall operate only at positive pressure relative to surrounding rooms, with HEPA filtration and the air-change rate required for the procedures performed. Sterile-core and post-op zones shall be physically separated. Tenant shall maintain documentation of pressure, filter changes, and air-change rates and provide it to Landlord on reasonable request.</w:t>
      </w:r>
    </w:p>
    <w:p>
      <w:pPr>
        <w:spacing w:before="0" w:after="120"/>
      </w:pPr>
      <w:r>
        <w:rPr>
          <w:b/>
          <w:bCs/>
        </w:rPr>
        <w:t xml:space="preserve">P.8   Radiation Safety. </w:t>
      </w:r>
      <w:r>
        <w:t xml:space="preserve">To the extent Tenant operates any radiation-producing device, Tenant shall comply with the Utah Division of Waste Management and Radiation Control, register devices, designate a Radiation Safety Officer, perform required surveys, maintain dosimetry records for personnel, and confirm lead-lining adequacy by a qualified physicist.</w:t>
      </w:r>
    </w:p>
    <w:p>
      <w:pPr>
        <w:spacing w:before="0" w:after="120"/>
      </w:pPr>
      <w:r>
        <w:rPr>
          <w:b/>
          <w:bCs/>
        </w:rPr>
        <w:t xml:space="preserve">P.9   Patient Transfer; Loading-Area Use. </w:t>
      </w:r>
      <w:r>
        <w:t xml:space="preserve">Tenant shall coordinate with Landlord and Building security for patient transfers involving recovery patients, sedated patients, or stretcher-bound patients. The loading area at the rear of the Building is available for ambulance/medical-transport pickup and drop-off; the public lobby is not.</w:t>
      </w:r>
    </w:p>
    <w:p>
      <w:pPr>
        <w:spacing w:before="0" w:after="120"/>
      </w:pPr>
      <w:r>
        <w:rPr>
          <w:b/>
          <w:bCs/>
        </w:rPr>
        <w:t xml:space="preserve">P.10   Required Reports to Landlord. </w:t>
      </w:r>
      <w:r>
        <w:t xml:space="preserve">Tenant shall promptly notify Landlord of (a) any HIPAA breach materially affecting the Premises or its information systems (consistent with HIPAA breach-notification rules and confidentiality limitations); (b) any OSHA, DOPL, USFDA, or state agency citation or formal inspection finding relating to the Premises; (c) any radiation incident; and (d) any reportable injury at the Premises (e.g., needlestick with regulatory notification implications).</w:t>
      </w:r>
    </w:p>
    <w:p>
      <w:r>
        <w:br w:type="page"/>
      </w:r>
    </w:p>
    <w:p>
      <w:pPr>
        <w:jc w:val="center"/>
        <w:spacing w:before="0" w:after="40"/>
      </w:pPr>
      <w:r>
        <w:rPr>
          <w:b/>
          <w:bCs/>
          <w:sz w:val="32"/>
          <w:szCs w:val="32"/>
        </w:rPr>
        <w:t xml:space="preserve">EXHIBIT Q</w:t>
      </w:r>
    </w:p>
    <w:p>
      <w:pPr>
        <w:jc w:val="center"/>
        <w:spacing w:before="0" w:after="160"/>
      </w:pPr>
      <w:r>
        <w:rPr>
          <w:b/>
          <w:bCs/>
          <w:sz w:val="26"/>
          <w:szCs w:val="26"/>
        </w:rPr>
        <w:t xml:space="preserve">Exclusive Use — Ophthalmology</w:t>
      </w:r>
    </w:p>
    <w:p>
      <w:pPr>
        <w:spacing w:before="0" w:after="120"/>
      </w:pPr>
      <w:r>
        <w:rPr>
          <w:b/>
          <w:bCs/>
        </w:rPr>
        <w:t xml:space="preserve">Q.1   Exclusive Grant. </w:t>
      </w:r>
      <w:r>
        <w:t xml:space="preserve">Subject to existing leases listed below, Landlord shall not lease any other premises in the Building to a tenant whose primary clinical practice (defined as more than fifty percent (50%) of patient encounters) is comprehensive ophthalmology, ophthalmic surgery, or refractive surgery. Optometry as a stand-alone practice (without surgical or laser procedures) is not within this exclusive.</w:t>
      </w:r>
    </w:p>
    <w:p>
      <w:pPr>
        <w:spacing w:before="0" w:after="120"/>
      </w:pPr>
      <w:r>
        <w:rPr>
          <w:b/>
          <w:bCs/>
        </w:rPr>
        <w:t xml:space="preserve">Q.2   Existing Carve-Outs. </w:t>
      </w:r>
      <w:r>
        <w:t xml:space="preserve">Tenant acknowledges that Suite 320 of the Building is leased to "Wasatch Independent Optometry, PC," providing optometric services (refractions, contact lenses, basic eye health) without surgical or laser procedures, and that Suite 410 is leased to a multi-specialty clinic ("Vineyard Family Medicine Group, PLLC") which provides general primary-care services that may include limited optical screenings. These existing rights survive Tenant's exclusive.</w:t>
      </w:r>
    </w:p>
    <w:p>
      <w:pPr>
        <w:spacing w:before="0" w:after="120"/>
      </w:pPr>
      <w:r>
        <w:rPr>
          <w:b/>
          <w:bCs/>
        </w:rPr>
        <w:t xml:space="preserve">Q.3   Remedy for Violation. </w:t>
      </w:r>
      <w:r>
        <w:t xml:space="preserve">If Landlord materially violates Section Q.1 and the violation continues uncured for ninety (90) days after Tenant's written notice, Tenant's sole remedies are: (a) abatement of fifty percent (50%) of Base Rent during the period of continued violation; and (b) if the violation continues for more than twelve (12) consecutive months, the right to terminate this Lease on sixty (60) days' written notice. Tenant shall have no right to consequential damages.</w:t>
      </w:r>
    </w:p>
    <w:p>
      <w:r>
        <w:br w:type="page"/>
      </w:r>
    </w:p>
    <w:p>
      <w:pPr>
        <w:jc w:val="center"/>
        <w:spacing w:before="0" w:after="40"/>
      </w:pPr>
      <w:r>
        <w:rPr>
          <w:b/>
          <w:bCs/>
          <w:sz w:val="32"/>
          <w:szCs w:val="32"/>
        </w:rPr>
        <w:t xml:space="preserve">APPENDIX 1</w:t>
      </w:r>
    </w:p>
    <w:p>
      <w:pPr>
        <w:jc w:val="center"/>
        <w:spacing w:before="0" w:after="160"/>
      </w:pPr>
      <w:r>
        <w:rPr>
          <w:b/>
          <w:bCs/>
          <w:sz w:val="26"/>
          <w:szCs w:val="26"/>
        </w:rPr>
        <w:t xml:space="preserve">Deal Summary and Drafting Notes</w:t>
      </w:r>
    </w:p>
    <w:p>
      <w:pPr>
        <w:spacing w:before="0" w:after="120"/>
      </w:pPr>
      <w:r>
        <w:rPr>
          <w:b/>
          <w:bCs/>
          <w:sz w:val="24"/>
          <w:szCs w:val="24"/>
        </w:rPr>
        <w:t xml:space="preserve">Description. </w:t>
      </w:r>
    </w:p>
    <w:p>
      <w:pPr>
        <w:spacing w:before="0" w:after="120"/>
      </w:pPr>
      <w:r>
        <w:t xml:space="preserve">A ten-year medical office lease for Suite 540 in Sentinel Peak Medical Plaza, a six-story 92,000 SF Class A medical office building in Murray, Utah. Tenant is a Utah PLLC operating a comprehensive ophthalmology practice with an in-suite minor-procedure OR suite, a Class 4 laser room, five exam rooms, and ancillary optical dispensing. The structure is modified gross with a 2027 base-year stop, 3% annual escalations, three months of free Base Rent, a substantial $80/SF TI allowance reflecting medical build-out cost, two months' Base Rent cash deposit, no guaranty, and one five-year FMR renewal option. The transaction is structured to comply with Stark Law and the federal Anti-Kickback Statute.</w:t>
      </w:r>
    </w:p>
    <w:p>
      <w:pPr>
        <w:spacing w:before="0" w:after="120"/>
      </w:pPr>
      <w:r>
        <w:rPr>
          <w:b/>
          <w:bCs/>
          <w:sz w:val="24"/>
          <w:szCs w:val="24"/>
        </w:rPr>
        <w:t xml:space="preserve">Archetype. </w:t>
      </w:r>
    </w:p>
    <w:p>
      <w:pPr>
        <w:spacing w:before="0" w:after="120"/>
      </w:pPr>
      <w:r>
        <w:t xml:space="preserve">Multi-tenant medical office building lease with a heavy medical-operations exhibit (HIPAA, biohazard, lasers, OR suite, medical gas, radiation safety) and an exclusive-use carve-out for ophthalmology. Rent structure (modified gross with base-year stop, with gross-up convention) is typical for institutional medical office buildings.</w:t>
      </w:r>
    </w:p>
    <w:p>
      <w:pPr>
        <w:spacing w:before="0" w:after="120"/>
      </w:pPr>
      <w:r>
        <w:rPr>
          <w:b/>
          <w:bCs/>
          <w:sz w:val="24"/>
          <w:szCs w:val="24"/>
        </w:rPr>
        <w:t xml:space="preserve">Key Drafting Notes. </w:t>
      </w:r>
    </w:p>
    <w:p>
      <w:pPr>
        <w:spacing w:before="0" w:after="120"/>
      </w:pPr>
      <w:r>
        <w:t xml:space="preserve">•   Modified gross with 2027 base-year stop and gross-up at 95% occupancy applied uniformly.</w:t>
      </w:r>
    </w:p>
    <w:p>
      <w:pPr>
        <w:spacing w:before="0" w:after="120"/>
      </w:pPr>
      <w:r>
        <w:t xml:space="preserve">•   $80/SF TI Allowance is generous and reflects medical build-out cost; soft costs eligible up to 15%.</w:t>
      </w:r>
    </w:p>
    <w:p>
      <w:pPr>
        <w:spacing w:before="0" w:after="120"/>
      </w:pPr>
      <w:r>
        <w:t xml:space="preserve">•   Article 17 limits Landlord exposure for malpractice claims arising from Tenant's clinicians.</w:t>
      </w:r>
    </w:p>
    <w:p>
      <w:pPr>
        <w:spacing w:before="0" w:after="120"/>
      </w:pPr>
      <w:r>
        <w:t xml:space="preserve">•   Section 25.10 (Stark/Anti-Kickback compliance) is a critical reps-and-warranties provision for medical leases.</w:t>
      </w:r>
    </w:p>
    <w:p>
      <w:pPr>
        <w:spacing w:before="0" w:after="120"/>
      </w:pPr>
      <w:r>
        <w:t xml:space="preserve">•   Article 9 and Exhibit P address the operational realities of medical practice: HIPAA, biohazard, lasers, medical gas, radiation, OR-suite HVAC.</w:t>
      </w:r>
    </w:p>
    <w:p>
      <w:pPr>
        <w:spacing w:before="0" w:after="120"/>
      </w:pPr>
      <w:r>
        <w:t xml:space="preserve">•   Exclusive use (Exhibit Q) carves out the existing optometry suite and a multi-specialty clinic.</w:t>
      </w:r>
    </w:p>
    <w:p>
      <w:pPr>
        <w:spacing w:before="0" w:after="120"/>
      </w:pPr>
      <w:r>
        <w:t xml:space="preserve">•   Permitted Transfers (Section 8.4) accommodate practice consolidation, MSO investment, and hospital affiliation transactions common in healthcare.</w:t>
      </w:r>
    </w:p>
    <w:p>
      <w:pPr>
        <w:spacing w:before="0" w:after="120"/>
      </w:pPr>
      <w:r>
        <w:t xml:space="preserve">•   No personal or corporate guaranty: Tenant credit (PLLC with stable practice) and the cash deposit are the underwriting.</w:t>
      </w:r>
    </w:p>
    <w:p>
      <w:pPr>
        <w:spacing w:before="0" w:after="120"/>
      </w:pPr>
      <w:r>
        <w:rPr>
          <w:b/>
          <w:bCs/>
          <w:sz w:val="24"/>
          <w:szCs w:val="24"/>
        </w:rPr>
        <w:t xml:space="preserve">Items Intentionally Omitted. </w:t>
      </w:r>
    </w:p>
    <w:p>
      <w:pPr>
        <w:spacing w:before="0" w:after="120"/>
      </w:pPr>
      <w:r>
        <w:t xml:space="preserve">Letter of credit; personal guaranty; relocation right; ROFO/ROFR; expansion option; sustainability addendum (handled via benchmarking under Operating Expenses); landlord lien waiver for equipment financing (handled at Tenant request via standalone instrument); ASC license assignment (Tenant's licensure is separate from the lease).</w:t>
      </w:r>
    </w:p>
    <w:p>
      <w:pPr>
        <w:spacing w:before="0" w:after="120"/>
      </w:pPr>
      <w:r>
        <w:rPr>
          <w:b/>
          <w:bCs/>
          <w:sz w:val="24"/>
          <w:szCs w:val="24"/>
        </w:rPr>
        <w:t xml:space="preserve">Post-Execution Calendar. </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2700"/>
        <w:gridCol w:w="6800"/>
      </w:tblGrid>
      <w:tr>
        <w:tc>
          <w:tcPr>
            <w:tcW w:w="2700" w:type="dxa"/>
            <w:shd w:val="clear" w:color="auto" w:fill="E5E7EB"/>
          </w:tcPr>
          <w:p>
            <w:pPr>
              <w:spacing w:before="0" w:after="60"/>
            </w:pPr>
            <w:r>
              <w:rPr>
                <w:b/>
                <w:bCs/>
              </w:rPr>
              <w:t xml:space="preserve">Date</w:t>
            </w:r>
          </w:p>
        </w:tc>
        <w:tc>
          <w:tcPr>
            <w:tcW w:w="6800" w:type="dxa"/>
            <w:shd w:val="clear" w:color="auto" w:fill="E5E7EB"/>
          </w:tcPr>
          <w:p>
            <w:pPr>
              <w:spacing w:before="0" w:after="60"/>
            </w:pPr>
            <w:r>
              <w:rPr>
                <w:b/>
                <w:bCs/>
              </w:rPr>
              <w:t xml:space="preserve">Action</w:t>
            </w:r>
          </w:p>
        </w:tc>
      </w:tr>
      <w:tr>
        <w:tc>
          <w:tcPr>
            <w:tcW w:w="2700" w:type="dxa"/>
          </w:tcPr>
          <w:p>
            <w:pPr>
              <w:spacing w:before="0" w:after="60"/>
            </w:pPr>
            <w:r>
              <w:t xml:space="preserve">Aug 14, 2026</w:t>
            </w:r>
          </w:p>
        </w:tc>
        <w:tc>
          <w:tcPr>
            <w:tcW w:w="6800" w:type="dxa"/>
          </w:tcPr>
          <w:p>
            <w:pPr>
              <w:spacing w:before="0" w:after="60"/>
            </w:pPr>
            <w:r>
              <w:t xml:space="preserve">Lease fully executed; first payments, Security Deposit, and COIs due within 5 business days.</w:t>
            </w:r>
          </w:p>
        </w:tc>
      </w:tr>
      <w:tr>
        <w:tc>
          <w:tcPr>
            <w:tcW w:w="2700" w:type="dxa"/>
          </w:tcPr>
          <w:p>
            <w:pPr>
              <w:spacing w:before="0" w:after="60"/>
            </w:pPr>
            <w:r>
              <w:t xml:space="preserve">Aug 17, 2026</w:t>
            </w:r>
          </w:p>
        </w:tc>
        <w:tc>
          <w:tcPr>
            <w:tcW w:w="6800" w:type="dxa"/>
          </w:tcPr>
          <w:p>
            <w:pPr>
              <w:spacing w:before="0" w:after="60"/>
            </w:pPr>
            <w:r>
              <w:t xml:space="preserve">Tenant may begin early access for build-out and licensure-prep activities.</w:t>
            </w:r>
          </w:p>
        </w:tc>
      </w:tr>
      <w:tr>
        <w:tc>
          <w:tcPr>
            <w:tcW w:w="2700" w:type="dxa"/>
          </w:tcPr>
          <w:p>
            <w:pPr>
              <w:spacing w:before="0" w:after="60"/>
            </w:pPr>
            <w:r>
              <w:t xml:space="preserve">Sep 1, 2026</w:t>
            </w:r>
          </w:p>
        </w:tc>
        <w:tc>
          <w:tcPr>
            <w:tcW w:w="6800" w:type="dxa"/>
          </w:tcPr>
          <w:p>
            <w:pPr>
              <w:spacing w:before="0" w:after="60"/>
            </w:pPr>
            <w:r>
              <w:t xml:space="preserve">Commencement Date; Abatement Period begins; Tenant's Work continues; licensure applications pending.</w:t>
            </w:r>
          </w:p>
        </w:tc>
      </w:tr>
      <w:tr>
        <w:tc>
          <w:tcPr>
            <w:tcW w:w="2700" w:type="dxa"/>
          </w:tcPr>
          <w:p>
            <w:pPr>
              <w:spacing w:before="0" w:after="60"/>
            </w:pPr>
            <w:r>
              <w:t xml:space="preserve">Oct 15, 2026</w:t>
            </w:r>
          </w:p>
        </w:tc>
        <w:tc>
          <w:tcPr>
            <w:tcW w:w="6800" w:type="dxa"/>
          </w:tcPr>
          <w:p>
            <w:pPr>
              <w:spacing w:before="0" w:after="60"/>
            </w:pPr>
            <w:r>
              <w:t xml:space="preserve">Outside Date for Landlord delivery in required condition.</w:t>
            </w:r>
          </w:p>
        </w:tc>
      </w:tr>
      <w:tr>
        <w:tc>
          <w:tcPr>
            <w:tcW w:w="2700" w:type="dxa"/>
          </w:tcPr>
          <w:p>
            <w:pPr>
              <w:spacing w:before="0" w:after="60"/>
            </w:pPr>
            <w:r>
              <w:t xml:space="preserve">Dec 1, 2026</w:t>
            </w:r>
          </w:p>
        </w:tc>
        <w:tc>
          <w:tcPr>
            <w:tcW w:w="6800" w:type="dxa"/>
          </w:tcPr>
          <w:p>
            <w:pPr>
              <w:spacing w:before="0" w:after="60"/>
            </w:pPr>
            <w:r>
              <w:t xml:space="preserve">Rent Commencement Date; first $18,133.33 Base Rent installment due.</w:t>
            </w:r>
          </w:p>
        </w:tc>
      </w:tr>
      <w:tr>
        <w:tc>
          <w:tcPr>
            <w:tcW w:w="2700" w:type="dxa"/>
          </w:tcPr>
          <w:p>
            <w:pPr>
              <w:spacing w:before="0" w:after="60"/>
            </w:pPr>
            <w:r>
              <w:t xml:space="preserve">Jan 1, 2027</w:t>
            </w:r>
          </w:p>
        </w:tc>
        <w:tc>
          <w:tcPr>
            <w:tcW w:w="6800" w:type="dxa"/>
          </w:tcPr>
          <w:p>
            <w:pPr>
              <w:spacing w:before="0" w:after="60"/>
            </w:pPr>
            <w:r>
              <w:t xml:space="preserve">Base Year (2027) begins for Operating Expense reconciliation purposes.</w:t>
            </w:r>
          </w:p>
        </w:tc>
      </w:tr>
      <w:tr>
        <w:tc>
          <w:tcPr>
            <w:tcW w:w="2700" w:type="dxa"/>
          </w:tcPr>
          <w:p>
            <w:pPr>
              <w:spacing w:before="0" w:after="60"/>
            </w:pPr>
            <w:r>
              <w:t xml:space="preserve">Apr 30, 2028</w:t>
            </w:r>
          </w:p>
        </w:tc>
        <w:tc>
          <w:tcPr>
            <w:tcW w:w="6800" w:type="dxa"/>
          </w:tcPr>
          <w:p>
            <w:pPr>
              <w:spacing w:before="0" w:after="60"/>
            </w:pPr>
            <w:r>
              <w:t xml:space="preserve">Latest delivery of 2027 Operating Expense statement (establishes Base Year amount); first reconciliation eligible against the Base Year follows in 2028 year reconciliation.</w:t>
            </w:r>
          </w:p>
        </w:tc>
      </w:tr>
      <w:tr>
        <w:tc>
          <w:tcPr>
            <w:tcW w:w="2700" w:type="dxa"/>
          </w:tcPr>
          <w:p>
            <w:pPr>
              <w:spacing w:before="0" w:after="60"/>
            </w:pPr>
            <w:r>
              <w:t xml:space="preserve">Sep 1, 2035 – Nov 30, 2035</w:t>
            </w:r>
          </w:p>
        </w:tc>
        <w:tc>
          <w:tcPr>
            <w:tcW w:w="6800" w:type="dxa"/>
          </w:tcPr>
          <w:p>
            <w:pPr>
              <w:spacing w:before="0" w:after="60"/>
            </w:pPr>
            <w:r>
              <w:t xml:space="preserve">Renewal option window (12–15 months prior to Expiration).</w:t>
            </w:r>
          </w:p>
        </w:tc>
      </w:tr>
      <w:tr>
        <w:tc>
          <w:tcPr>
            <w:tcW w:w="2700" w:type="dxa"/>
          </w:tcPr>
          <w:p>
            <w:pPr>
              <w:spacing w:before="0" w:after="60"/>
            </w:pPr>
            <w:r>
              <w:t xml:space="preserve">Aug 31, 2036</w:t>
            </w:r>
          </w:p>
        </w:tc>
        <w:tc>
          <w:tcPr>
            <w:tcW w:w="6800" w:type="dxa"/>
          </w:tcPr>
          <w:p>
            <w:pPr>
              <w:spacing w:before="0" w:after="60"/>
            </w:pPr>
            <w:r>
              <w:t xml:space="preserve">Expiration Date; surrender per Exhibit B (HIPAA, biohazard, equipment decommissioning).</w:t>
            </w:r>
          </w:p>
        </w:tc>
      </w:tr>
    </w:tbl>
    <w:p>
      <w:pPr>
        <w:spacing w:before="0" w:after="80"/>
      </w:pPr>
    </w:p>
    <w:sectPr>
      <w:pgSz w:w="12240" w:h="15840"/>
      <w:pgMar w:top="1080" w:right="1080" w:bottom="1080" w:left="1080" w:header="720" w:footer="720" w:gutter="0"/>
      <w:cols w:space="720"/>
      <w:docGrid w:linePitch="36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Pic1" Type="http://schemas.openxmlformats.org/officeDocument/2006/relationships/image" Target="media/image1.png"/>
</Relationships>
</file>