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80"/>
      </w:pPr>
      <w:r>
        <w:rPr>
          <w:b/>
          <w:bCs/>
          <w:sz w:val="36"/>
          <w:szCs w:val="36"/>
        </w:rPr>
        <w:t xml:space="preserve">OFFICE LEASE</w:t>
      </w:r>
    </w:p>
    <w:p>
      <w:pPr>
        <w:jc w:val="center"/>
        <w:spacing w:before="0" w:after="80"/>
      </w:pPr>
      <w:r>
        <w:rPr>
          <w:b/>
          <w:bCs/>
          <w:sz w:val="24"/>
          <w:szCs w:val="24"/>
        </w:rPr>
        <w:t xml:space="preserve">Cobalt Pines Building — Suite 410</w:t>
      </w:r>
    </w:p>
    <w:p>
      <w:pPr>
        <w:jc w:val="center"/>
        <w:spacing w:before="0" w:after="40"/>
      </w:pPr>
      <w:r>
        <w:rPr>
          <w:sz w:val="22"/>
          <w:szCs w:val="22"/>
        </w:rPr>
        <w:t xml:space="preserve">between BEEHIVE REALTY TRUST, LLC, as Landlord,</w:t>
      </w:r>
    </w:p>
    <w:p>
      <w:pPr>
        <w:jc w:val="center"/>
        <w:spacing w:before="0" w:after="240"/>
      </w:pPr>
      <w:r>
        <w:rPr>
          <w:sz w:val="22"/>
          <w:szCs w:val="22"/>
        </w:rPr>
        <w:t xml:space="preserve">and BRIGHTLINE ACTUARIAL GROUP, LLC, as Tenant</w:t>
      </w:r>
    </w:p>
    <w:p>
      <w:pPr>
        <w:spacing w:before="0" w:after="120"/>
      </w:pPr>
      <w:r>
        <w:t xml:space="preserve">This Office Lease (the "Lease") is entered into as of the Effective Date set forth in Article 1, by and between Landlord and Tenant. In consideration of the mutual covenants set forth herein, and intending to be legally bound, Landlord and Tenant agree as follows.</w:t>
      </w:r>
    </w:p>
    <w:p>
      <w:pPr>
        <w:spacing w:before="280" w:after="140"/>
        <w:keepNext/>
      </w:pPr>
      <w:r>
        <w:rPr>
          <w:b/>
          <w:bCs/>
          <w:sz w:val="28"/>
          <w:szCs w:val="28"/>
        </w:rPr>
        <w:t xml:space="preserve">ARTICLE 1.   KEY DEFINED TERMS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Defined Term</w:t>
            </w:r>
          </w:p>
        </w:tc>
        <w:tc>
          <w:tcPr>
            <w:tcW w:w="6500" w:type="dxa"/>
            <w:shd w:val="clear" w:color="auto" w:fill="E5E7EB"/>
          </w:tcPr>
          <w:p>
            <w:pPr>
              <w:spacing w:before="0" w:after="60"/>
            </w:pPr>
            <w:r>
              <w:rPr>
                <w:b/>
                <w:bCs/>
              </w:rPr>
              <w:t xml:space="preserve">Entry</w:t>
            </w:r>
          </w:p>
        </w:tc>
      </w:tr>
      <w:tr>
        <w:tc>
          <w:tcPr>
            <w:tcW w:w="3000" w:type="dxa"/>
          </w:tcPr>
          <w:p>
            <w:pPr>
              <w:spacing w:before="0" w:after="60"/>
            </w:pPr>
            <w:r>
              <w:t xml:space="preserve">Effective Date</w:t>
            </w:r>
          </w:p>
        </w:tc>
        <w:tc>
          <w:tcPr>
            <w:tcW w:w="6500" w:type="dxa"/>
          </w:tcPr>
          <w:p>
            <w:pPr>
              <w:spacing w:before="0" w:after="60"/>
            </w:pPr>
            <w:r>
              <w:t xml:space="preserve">September 18, 2026.</w:t>
            </w:r>
          </w:p>
        </w:tc>
      </w:tr>
      <w:tr>
        <w:tc>
          <w:tcPr>
            <w:tcW w:w="3000" w:type="dxa"/>
          </w:tcPr>
          <w:p>
            <w:pPr>
              <w:spacing w:before="0" w:after="60"/>
            </w:pPr>
            <w:r>
              <w:t xml:space="preserve">Landlord</w:t>
            </w:r>
          </w:p>
        </w:tc>
        <w:tc>
          <w:tcPr>
            <w:tcW w:w="6500" w:type="dxa"/>
          </w:tcPr>
          <w:p>
            <w:pPr>
              <w:spacing w:before="0" w:after="60"/>
            </w:pPr>
            <w:r>
              <w:t xml:space="preserve">Beehive Realty Trust, LLC, a Utah limited liability company.</w:t>
            </w:r>
          </w:p>
        </w:tc>
      </w:tr>
      <w:tr>
        <w:tc>
          <w:tcPr>
            <w:tcW w:w="3000" w:type="dxa"/>
          </w:tcPr>
          <w:p>
            <w:pPr>
              <w:spacing w:before="0" w:after="60"/>
            </w:pPr>
            <w:r>
              <w:t xml:space="preserve">Tenant</w:t>
            </w:r>
          </w:p>
        </w:tc>
        <w:tc>
          <w:tcPr>
            <w:tcW w:w="6500" w:type="dxa"/>
          </w:tcPr>
          <w:p>
            <w:pPr>
              <w:spacing w:before="0" w:after="60"/>
            </w:pPr>
            <w:r>
              <w:t xml:space="preserve">Brightline Actuarial Group, LLC, a Utah limited liability company.</w:t>
            </w:r>
          </w:p>
        </w:tc>
      </w:tr>
      <w:tr>
        <w:tc>
          <w:tcPr>
            <w:tcW w:w="3000" w:type="dxa"/>
          </w:tcPr>
          <w:p>
            <w:pPr>
              <w:spacing w:before="0" w:after="60"/>
            </w:pPr>
            <w:r>
              <w:t xml:space="preserve">Building</w:t>
            </w:r>
          </w:p>
        </w:tc>
        <w:tc>
          <w:tcPr>
            <w:tcW w:w="6500" w:type="dxa"/>
          </w:tcPr>
          <w:p>
            <w:pPr>
              <w:spacing w:before="0" w:after="60"/>
            </w:pPr>
            <w:r>
              <w:t xml:space="preserve">The four-story office building commonly known as the Cobalt Pines Building, located at 9425 South Quarry Bend Road, Sandy, Utah 84070, consisting of approximately 78,540 rentable square feet.</w:t>
            </w:r>
          </w:p>
        </w:tc>
      </w:tr>
      <w:tr>
        <w:tc>
          <w:tcPr>
            <w:tcW w:w="3000" w:type="dxa"/>
          </w:tcPr>
          <w:p>
            <w:pPr>
              <w:spacing w:before="0" w:after="60"/>
            </w:pPr>
            <w:r>
              <w:t xml:space="preserve">Premises</w:t>
            </w:r>
          </w:p>
        </w:tc>
        <w:tc>
          <w:tcPr>
            <w:tcW w:w="6500" w:type="dxa"/>
          </w:tcPr>
          <w:p>
            <w:pPr>
              <w:spacing w:before="0" w:after="60"/>
            </w:pPr>
            <w:r>
              <w:t xml:space="preserve">Suite 410, located on the fourth floor of the Building and depicted on Exhibit A, consisting of approximately 4,820 rentable square feet.</w:t>
            </w:r>
          </w:p>
        </w:tc>
      </w:tr>
      <w:tr>
        <w:tc>
          <w:tcPr>
            <w:tcW w:w="3000" w:type="dxa"/>
          </w:tcPr>
          <w:p>
            <w:pPr>
              <w:spacing w:before="0" w:after="60"/>
            </w:pPr>
            <w:r>
              <w:t xml:space="preserve">Property</w:t>
            </w:r>
          </w:p>
        </w:tc>
        <w:tc>
          <w:tcPr>
            <w:tcW w:w="6500" w:type="dxa"/>
          </w:tcPr>
          <w:p>
            <w:pPr>
              <w:spacing w:before="0" w:after="60"/>
            </w:pPr>
            <w:r>
              <w:t xml:space="preserve">The Building, the land on which the Building is situated, and all related parking areas, sidewalks, landscaping, and common areas.</w:t>
            </w:r>
          </w:p>
        </w:tc>
      </w:tr>
      <w:tr>
        <w:tc>
          <w:tcPr>
            <w:tcW w:w="3000" w:type="dxa"/>
          </w:tcPr>
          <w:p>
            <w:pPr>
              <w:spacing w:before="0" w:after="60"/>
            </w:pPr>
            <w:r>
              <w:t xml:space="preserve">Commencement Date</w:t>
            </w:r>
          </w:p>
        </w:tc>
        <w:tc>
          <w:tcPr>
            <w:tcW w:w="6500" w:type="dxa"/>
          </w:tcPr>
          <w:p>
            <w:pPr>
              <w:spacing w:before="0" w:after="60"/>
            </w:pPr>
            <w:r>
              <w:t xml:space="preserve">October 1, 2026.</w:t>
            </w:r>
          </w:p>
        </w:tc>
      </w:tr>
      <w:tr>
        <w:tc>
          <w:tcPr>
            <w:tcW w:w="3000" w:type="dxa"/>
          </w:tcPr>
          <w:p>
            <w:pPr>
              <w:spacing w:before="0" w:after="60"/>
            </w:pPr>
            <w:r>
              <w:t xml:space="preserve">Term</w:t>
            </w:r>
          </w:p>
        </w:tc>
        <w:tc>
          <w:tcPr>
            <w:tcW w:w="6500" w:type="dxa"/>
          </w:tcPr>
          <w:p>
            <w:pPr>
              <w:spacing w:before="0" w:after="60"/>
            </w:pPr>
            <w:r>
              <w:t xml:space="preserve">Sixty (60) full calendar months, expiring September 30, 2031 (the "Expiration Date"), unless sooner terminated as provided herein.</w:t>
            </w:r>
          </w:p>
        </w:tc>
      </w:tr>
      <w:tr>
        <w:tc>
          <w:tcPr>
            <w:tcW w:w="3000" w:type="dxa"/>
          </w:tcPr>
          <w:p>
            <w:pPr>
              <w:spacing w:before="0" w:after="60"/>
            </w:pPr>
            <w:r>
              <w:t xml:space="preserve">Base Rent</w:t>
            </w:r>
          </w:p>
        </w:tc>
        <w:tc>
          <w:tcPr>
            <w:tcW w:w="6500" w:type="dxa"/>
          </w:tcPr>
          <w:p>
            <w:pPr>
              <w:spacing w:before="0" w:after="60"/>
            </w:pPr>
            <w:r>
              <w:t xml:space="preserve">As set forth in Section 2.2.</w:t>
            </w:r>
          </w:p>
        </w:tc>
      </w:tr>
      <w:tr>
        <w:tc>
          <w:tcPr>
            <w:tcW w:w="3000" w:type="dxa"/>
          </w:tcPr>
          <w:p>
            <w:pPr>
              <w:spacing w:before="0" w:after="60"/>
            </w:pPr>
            <w:r>
              <w:t xml:space="preserve">Abatement Period</w:t>
            </w:r>
          </w:p>
        </w:tc>
        <w:tc>
          <w:tcPr>
            <w:tcW w:w="6500" w:type="dxa"/>
          </w:tcPr>
          <w:p>
            <w:pPr>
              <w:spacing w:before="0" w:after="60"/>
            </w:pPr>
            <w:r>
              <w:t xml:space="preserve">October 1, 2026 through November 30, 2026 (Base Rent only).</w:t>
            </w:r>
          </w:p>
        </w:tc>
      </w:tr>
      <w:tr>
        <w:tc>
          <w:tcPr>
            <w:tcW w:w="3000" w:type="dxa"/>
          </w:tcPr>
          <w:p>
            <w:pPr>
              <w:spacing w:before="0" w:after="60"/>
            </w:pPr>
            <w:r>
              <w:t xml:space="preserve">Additional Rent</w:t>
            </w:r>
          </w:p>
        </w:tc>
        <w:tc>
          <w:tcPr>
            <w:tcW w:w="6500" w:type="dxa"/>
          </w:tcPr>
          <w:p>
            <w:pPr>
              <w:spacing w:before="0" w:after="60"/>
            </w:pPr>
            <w:r>
              <w:t xml:space="preserve">All amounts payable under this Lease other than Base Rent, including Tenant Proportionate Share of Operating Expenses and utilities.</w:t>
            </w:r>
          </w:p>
        </w:tc>
      </w:tr>
      <w:tr>
        <w:tc>
          <w:tcPr>
            <w:tcW w:w="3000" w:type="dxa"/>
          </w:tcPr>
          <w:p>
            <w:pPr>
              <w:spacing w:before="0" w:after="60"/>
            </w:pPr>
            <w:r>
              <w:t xml:space="preserve">Estimated Operating Expenses</w:t>
            </w:r>
          </w:p>
        </w:tc>
        <w:tc>
          <w:tcPr>
            <w:tcW w:w="6500" w:type="dxa"/>
          </w:tcPr>
          <w:p>
            <w:pPr>
              <w:spacing w:before="0" w:after="60"/>
            </w:pPr>
            <w:r>
              <w:t xml:space="preserve">$9.75 per rentable square foot per year for calendar year 2026 ($3,916.25 per month), subject to annual reconciliation under Article 3.</w:t>
            </w:r>
          </w:p>
        </w:tc>
      </w:tr>
      <w:tr>
        <w:tc>
          <w:tcPr>
            <w:tcW w:w="3000" w:type="dxa"/>
          </w:tcPr>
          <w:p>
            <w:pPr>
              <w:spacing w:before="0" w:after="60"/>
            </w:pPr>
            <w:r>
              <w:t xml:space="preserve">Permitted Use</w:t>
            </w:r>
          </w:p>
        </w:tc>
        <w:tc>
          <w:tcPr>
            <w:tcW w:w="6500" w:type="dxa"/>
          </w:tcPr>
          <w:p>
            <w:pPr>
              <w:spacing w:before="0" w:after="60"/>
            </w:pPr>
            <w:r>
              <w:t xml:space="preserve">General administrative and professional office use for actuarial consulting and ancillary back-office functions, and for no other purpose.</w:t>
            </w:r>
          </w:p>
        </w:tc>
      </w:tr>
      <w:tr>
        <w:tc>
          <w:tcPr>
            <w:tcW w:w="3000" w:type="dxa"/>
          </w:tcPr>
          <w:p>
            <w:pPr>
              <w:spacing w:before="0" w:after="60"/>
            </w:pPr>
            <w:r>
              <w:t xml:space="preserve">Tenant Proportionate Share</w:t>
            </w:r>
          </w:p>
        </w:tc>
        <w:tc>
          <w:tcPr>
            <w:tcW w:w="6500" w:type="dxa"/>
          </w:tcPr>
          <w:p>
            <w:pPr>
              <w:spacing w:before="0" w:after="60"/>
            </w:pPr>
            <w:r>
              <w:t xml:space="preserve">6.14% (4,820 / 78,540).</w:t>
            </w:r>
          </w:p>
        </w:tc>
      </w:tr>
      <w:tr>
        <w:tc>
          <w:tcPr>
            <w:tcW w:w="3000" w:type="dxa"/>
          </w:tcPr>
          <w:p>
            <w:pPr>
              <w:spacing w:before="0" w:after="60"/>
            </w:pPr>
            <w:r>
              <w:t xml:space="preserve">Security Deposit</w:t>
            </w:r>
          </w:p>
        </w:tc>
        <w:tc>
          <w:tcPr>
            <w:tcW w:w="6500" w:type="dxa"/>
          </w:tcPr>
          <w:p>
            <w:pPr>
              <w:spacing w:before="0" w:after="60"/>
            </w:pPr>
            <w:r>
              <w:t xml:space="preserve">$19,681.66 (cash).</w:t>
            </w:r>
          </w:p>
        </w:tc>
      </w:tr>
      <w:tr>
        <w:tc>
          <w:tcPr>
            <w:tcW w:w="3000" w:type="dxa"/>
          </w:tcPr>
          <w:p>
            <w:pPr>
              <w:spacing w:before="0" w:after="60"/>
            </w:pPr>
            <w:r>
              <w:t xml:space="preserve">Brokers</w:t>
            </w:r>
          </w:p>
        </w:tc>
        <w:tc>
          <w:tcPr>
            <w:tcW w:w="6500" w:type="dxa"/>
          </w:tcPr>
          <w:p>
            <w:pPr>
              <w:spacing w:before="0" w:after="60"/>
            </w:pPr>
            <w:r>
              <w:t xml:space="preserve">Tenant Broker: Hatchback Commercial Advisors, LLC. Landlord Broker: Beehive Realty Trust, LLC (in-house).</w:t>
            </w:r>
          </w:p>
        </w:tc>
      </w:tr>
      <w:tr>
        <w:tc>
          <w:tcPr>
            <w:tcW w:w="3000" w:type="dxa"/>
          </w:tcPr>
          <w:p>
            <w:pPr>
              <w:spacing w:before="0" w:after="60"/>
            </w:pPr>
            <w:r>
              <w:t xml:space="preserve">Tenant Notice Address</w:t>
            </w:r>
          </w:p>
        </w:tc>
        <w:tc>
          <w:tcPr>
            <w:tcW w:w="6500" w:type="dxa"/>
          </w:tcPr>
          <w:p>
            <w:pPr>
              <w:spacing w:before="0" w:after="60"/>
            </w:pPr>
            <w:r>
              <w:t xml:space="preserve">Brightline Actuarial Group, LLC, Attn: Maren K. Holloway, Director of Operations, Suite 410, 9425 South Quarry Bend Road, Sandy, UT 84070; courtesy email copy to mholloway@brightlineactuarial.example.</w:t>
            </w:r>
          </w:p>
        </w:tc>
      </w:tr>
      <w:tr>
        <w:tc>
          <w:tcPr>
            <w:tcW w:w="3000" w:type="dxa"/>
          </w:tcPr>
          <w:p>
            <w:pPr>
              <w:spacing w:before="0" w:after="60"/>
            </w:pPr>
            <w:r>
              <w:t xml:space="preserve">Landlord Notice Address</w:t>
            </w:r>
          </w:p>
        </w:tc>
        <w:tc>
          <w:tcPr>
            <w:tcW w:w="6500" w:type="dxa"/>
          </w:tcPr>
          <w:p>
            <w:pPr>
              <w:spacing w:before="0" w:after="60"/>
            </w:pPr>
            <w:r>
              <w:t xml:space="preserve">Beehive Realty Trust, LLC, Attn: Lease Administration, 175 East 400 South, Suite 900, Salt Lake City, UT 84111; courtesy email copy to leases@beehiverealtytrust.example.</w:t>
            </w:r>
          </w:p>
        </w:tc>
      </w:tr>
      <w:tr>
        <w:tc>
          <w:tcPr>
            <w:tcW w:w="3000" w:type="dxa"/>
          </w:tcPr>
          <w:p>
            <w:pPr>
              <w:spacing w:before="0" w:after="60"/>
            </w:pPr>
            <w:r>
              <w:t xml:space="preserve">Guarantor</w:t>
            </w:r>
          </w:p>
        </w:tc>
        <w:tc>
          <w:tcPr>
            <w:tcW w:w="6500" w:type="dxa"/>
          </w:tcPr>
          <w:p>
            <w:pPr>
              <w:spacing w:before="0" w:after="60"/>
            </w:pPr>
            <w:r>
              <w:t xml:space="preserve">None.</w:t>
            </w:r>
          </w:p>
        </w:tc>
      </w:tr>
      <w:tr>
        <w:tc>
          <w:tcPr>
            <w:tcW w:w="3000" w:type="dxa"/>
          </w:tcPr>
          <w:p>
            <w:pPr>
              <w:spacing w:before="0" w:after="60"/>
            </w:pPr>
            <w:r>
              <w:t xml:space="preserve">Letter of Credit</w:t>
            </w:r>
          </w:p>
        </w:tc>
        <w:tc>
          <w:tcPr>
            <w:tcW w:w="6500" w:type="dxa"/>
          </w:tcPr>
          <w:p>
            <w:pPr>
              <w:spacing w:before="0" w:after="60"/>
            </w:pPr>
            <w:r>
              <w:t xml:space="preserve">None; intentionally omitted.</w:t>
            </w:r>
          </w:p>
        </w:tc>
      </w:tr>
      <w:tr>
        <w:tc>
          <w:tcPr>
            <w:tcW w:w="3000" w:type="dxa"/>
          </w:tcPr>
          <w:p>
            <w:pPr>
              <w:spacing w:before="0" w:after="60"/>
            </w:pPr>
            <w:r>
              <w:t xml:space="preserve">Exhibits</w:t>
            </w:r>
          </w:p>
        </w:tc>
        <w:tc>
          <w:tcPr>
            <w:tcW w:w="6500" w:type="dxa"/>
          </w:tcPr>
          <w:p>
            <w:pPr>
              <w:spacing w:before="0" w:after="60"/>
            </w:pPr>
            <w:r>
              <w:t xml:space="preserve">Exhibit A (Depiction of Premises); Exhibit B (Surrender Requirements); Exhibit C (Rules and Regulations); Exhibit D (Tenant Contact Information); Exhibit E (Sign Specifications); Exhibit F (Confirmation of Commencement Date); Exhibit I (Utah-Specific Provisions). All other exhibits referenced in the Beehive standard form are intentionally omitted as inapplicable.</w:t>
            </w:r>
          </w:p>
        </w:tc>
      </w:tr>
    </w:tbl>
    <w:p>
      <w:pPr>
        <w:spacing w:before="0" w:after="80"/>
      </w:pPr>
    </w:p>
    <w:p>
      <w:pPr>
        <w:spacing w:before="280" w:after="140"/>
        <w:keepNext/>
      </w:pPr>
      <w:r>
        <w:rPr>
          <w:b/>
          <w:bCs/>
          <w:sz w:val="28"/>
          <w:szCs w:val="28"/>
        </w:rPr>
        <w:t xml:space="preserve">ARTICLE 2.   LEASE OF PREMISES; RENT</w:t>
      </w:r>
    </w:p>
    <w:p>
      <w:pPr>
        <w:spacing w:before="0" w:after="120"/>
      </w:pPr>
      <w:r>
        <w:rPr>
          <w:b/>
          <w:bCs/>
        </w:rPr>
        <w:t xml:space="preserve">2.1   Grant. </w:t>
      </w:r>
      <w:r>
        <w:t xml:space="preserve">Landlord leases the Premises to Tenant, and Tenant leases the Premises from Landlord, for the Term, subject to this Lease. The Premises consist of the area shown on Exhibit A and exclude the Building core, shafts, structural elements, and common corridors.</w:t>
      </w:r>
    </w:p>
    <w:p>
      <w:pPr>
        <w:spacing w:before="0" w:after="120"/>
      </w:pPr>
      <w:r>
        <w:rPr>
          <w:b/>
          <w:bCs/>
        </w:rPr>
        <w:t xml:space="preserve">2.2   Base Rent Schedule. </w:t>
      </w:r>
      <w:r>
        <w:t xml:space="preserve">Tenant shall pay Base Rent in monthly installments, in advance, on the first day of each calendar month during the Term, without demand, deduction, abatement, counterclaim, or setoff, except as expressly provided in this Lease.</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1800"/>
        <w:gridCol w:w="2300"/>
        <w:gridCol w:w="2400"/>
      </w:tblGrid>
      <w:tr>
        <w:tc>
          <w:tcPr>
            <w:tcW w:w="3000" w:type="dxa"/>
            <w:shd w:val="clear" w:color="auto" w:fill="E5E7EB"/>
          </w:tcPr>
          <w:p>
            <w:pPr>
              <w:spacing w:before="0" w:after="60"/>
            </w:pPr>
            <w:r>
              <w:rPr>
                <w:b/>
                <w:bCs/>
              </w:rPr>
              <w:t xml:space="preserve">Period</w:t>
            </w:r>
          </w:p>
        </w:tc>
        <w:tc>
          <w:tcPr>
            <w:tcW w:w="1800" w:type="dxa"/>
            <w:shd w:val="clear" w:color="auto" w:fill="E5E7EB"/>
          </w:tcPr>
          <w:p>
            <w:pPr>
              <w:spacing w:before="0" w:after="60"/>
            </w:pPr>
            <w:r>
              <w:rPr>
                <w:b/>
                <w:bCs/>
              </w:rPr>
              <w:t xml:space="preserve">Rate per RSF</w:t>
            </w:r>
          </w:p>
        </w:tc>
        <w:tc>
          <w:tcPr>
            <w:tcW w:w="2300" w:type="dxa"/>
            <w:shd w:val="clear" w:color="auto" w:fill="E5E7EB"/>
          </w:tcPr>
          <w:p>
            <w:pPr>
              <w:spacing w:before="0" w:after="60"/>
            </w:pPr>
            <w:r>
              <w:rPr>
                <w:b/>
                <w:bCs/>
              </w:rPr>
              <w:t xml:space="preserve">Monthly Base Rent</w:t>
            </w:r>
          </w:p>
        </w:tc>
        <w:tc>
          <w:tcPr>
            <w:tcW w:w="2400" w:type="dxa"/>
            <w:shd w:val="clear" w:color="auto" w:fill="E5E7EB"/>
          </w:tcPr>
          <w:p>
            <w:pPr>
              <w:spacing w:before="0" w:after="60"/>
            </w:pPr>
            <w:r>
              <w:rPr>
                <w:b/>
                <w:bCs/>
              </w:rPr>
              <w:t xml:space="preserve">Annual Base Rent</w:t>
            </w:r>
          </w:p>
        </w:tc>
      </w:tr>
      <w:tr>
        <w:tc>
          <w:tcPr>
            <w:tcW w:w="3000" w:type="dxa"/>
          </w:tcPr>
          <w:p>
            <w:pPr>
              <w:spacing w:before="0" w:after="60"/>
            </w:pPr>
            <w:r>
              <w:t xml:space="preserve">Oct 1, 2026 – Nov 30, 2026</w:t>
            </w:r>
          </w:p>
        </w:tc>
        <w:tc>
          <w:tcPr>
            <w:tcW w:w="1800" w:type="dxa"/>
          </w:tcPr>
          <w:p>
            <w:pPr>
              <w:spacing w:before="0" w:after="60"/>
            </w:pPr>
            <w:r>
              <w:t xml:space="preserve">$24.50 (abated)</w:t>
            </w:r>
          </w:p>
        </w:tc>
        <w:tc>
          <w:tcPr>
            <w:tcW w:w="2300" w:type="dxa"/>
          </w:tcPr>
          <w:p>
            <w:pPr>
              <w:spacing w:before="0" w:after="60"/>
            </w:pPr>
            <w:r>
              <w:t xml:space="preserve">$0.00 (abated)</w:t>
            </w:r>
          </w:p>
        </w:tc>
        <w:tc>
          <w:tcPr>
            <w:tcW w:w="2400" w:type="dxa"/>
          </w:tcPr>
          <w:p>
            <w:pPr>
              <w:spacing w:before="0" w:after="60"/>
            </w:pPr>
            <w:r>
              <w:t xml:space="preserve">—</w:t>
            </w:r>
          </w:p>
        </w:tc>
      </w:tr>
      <w:tr>
        <w:tc>
          <w:tcPr>
            <w:tcW w:w="3000" w:type="dxa"/>
          </w:tcPr>
          <w:p>
            <w:pPr>
              <w:spacing w:before="0" w:after="60"/>
            </w:pPr>
            <w:r>
              <w:t xml:space="preserve">Dec 1, 2026 – Sep 30, 2027</w:t>
            </w:r>
          </w:p>
        </w:tc>
        <w:tc>
          <w:tcPr>
            <w:tcW w:w="1800" w:type="dxa"/>
          </w:tcPr>
          <w:p>
            <w:pPr>
              <w:spacing w:before="0" w:after="60"/>
            </w:pPr>
            <w:r>
              <w:t xml:space="preserve">$24.50</w:t>
            </w:r>
          </w:p>
        </w:tc>
        <w:tc>
          <w:tcPr>
            <w:tcW w:w="2300" w:type="dxa"/>
          </w:tcPr>
          <w:p>
            <w:pPr>
              <w:spacing w:before="0" w:after="60"/>
            </w:pPr>
            <w:r>
              <w:t xml:space="preserve">$9,840.83</w:t>
            </w:r>
          </w:p>
        </w:tc>
        <w:tc>
          <w:tcPr>
            <w:tcW w:w="2400" w:type="dxa"/>
          </w:tcPr>
          <w:p>
            <w:pPr>
              <w:spacing w:before="0" w:after="60"/>
            </w:pPr>
            <w:r>
              <w:t xml:space="preserve">$118,090.00</w:t>
            </w:r>
          </w:p>
        </w:tc>
      </w:tr>
      <w:tr>
        <w:tc>
          <w:tcPr>
            <w:tcW w:w="3000" w:type="dxa"/>
          </w:tcPr>
          <w:p>
            <w:pPr>
              <w:spacing w:before="0" w:after="60"/>
            </w:pPr>
            <w:r>
              <w:t xml:space="preserve">Oct 1, 2027 – Sep 30, 2028</w:t>
            </w:r>
          </w:p>
        </w:tc>
        <w:tc>
          <w:tcPr>
            <w:tcW w:w="1800" w:type="dxa"/>
          </w:tcPr>
          <w:p>
            <w:pPr>
              <w:spacing w:before="0" w:after="60"/>
            </w:pPr>
            <w:r>
              <w:t xml:space="preserve">$25.24</w:t>
            </w:r>
          </w:p>
        </w:tc>
        <w:tc>
          <w:tcPr>
            <w:tcW w:w="2300" w:type="dxa"/>
          </w:tcPr>
          <w:p>
            <w:pPr>
              <w:spacing w:before="0" w:after="60"/>
            </w:pPr>
            <w:r>
              <w:t xml:space="preserve">$10,138.07</w:t>
            </w:r>
          </w:p>
        </w:tc>
        <w:tc>
          <w:tcPr>
            <w:tcW w:w="2400" w:type="dxa"/>
          </w:tcPr>
          <w:p>
            <w:pPr>
              <w:spacing w:before="0" w:after="60"/>
            </w:pPr>
            <w:r>
              <w:t xml:space="preserve">$121,656.80</w:t>
            </w:r>
          </w:p>
        </w:tc>
      </w:tr>
      <w:tr>
        <w:tc>
          <w:tcPr>
            <w:tcW w:w="3000" w:type="dxa"/>
          </w:tcPr>
          <w:p>
            <w:pPr>
              <w:spacing w:before="0" w:after="60"/>
            </w:pPr>
            <w:r>
              <w:t xml:space="preserve">Oct 1, 2028 – Sep 30, 2029</w:t>
            </w:r>
          </w:p>
        </w:tc>
        <w:tc>
          <w:tcPr>
            <w:tcW w:w="1800" w:type="dxa"/>
          </w:tcPr>
          <w:p>
            <w:pPr>
              <w:spacing w:before="0" w:after="60"/>
            </w:pPr>
            <w:r>
              <w:t xml:space="preserve">$26.00</w:t>
            </w:r>
          </w:p>
        </w:tc>
        <w:tc>
          <w:tcPr>
            <w:tcW w:w="2300" w:type="dxa"/>
          </w:tcPr>
          <w:p>
            <w:pPr>
              <w:spacing w:before="0" w:after="60"/>
            </w:pPr>
            <w:r>
              <w:t xml:space="preserve">$10,443.33</w:t>
            </w:r>
          </w:p>
        </w:tc>
        <w:tc>
          <w:tcPr>
            <w:tcW w:w="2400" w:type="dxa"/>
          </w:tcPr>
          <w:p>
            <w:pPr>
              <w:spacing w:before="0" w:after="60"/>
            </w:pPr>
            <w:r>
              <w:t xml:space="preserve">$125,320.00</w:t>
            </w:r>
          </w:p>
        </w:tc>
      </w:tr>
      <w:tr>
        <w:tc>
          <w:tcPr>
            <w:tcW w:w="3000" w:type="dxa"/>
          </w:tcPr>
          <w:p>
            <w:pPr>
              <w:spacing w:before="0" w:after="60"/>
            </w:pPr>
            <w:r>
              <w:t xml:space="preserve">Oct 1, 2029 – Sep 30, 2030</w:t>
            </w:r>
          </w:p>
        </w:tc>
        <w:tc>
          <w:tcPr>
            <w:tcW w:w="1800" w:type="dxa"/>
          </w:tcPr>
          <w:p>
            <w:pPr>
              <w:spacing w:before="0" w:after="60"/>
            </w:pPr>
            <w:r>
              <w:t xml:space="preserve">$26.78</w:t>
            </w:r>
          </w:p>
        </w:tc>
        <w:tc>
          <w:tcPr>
            <w:tcW w:w="2300" w:type="dxa"/>
          </w:tcPr>
          <w:p>
            <w:pPr>
              <w:spacing w:before="0" w:after="60"/>
            </w:pPr>
            <w:r>
              <w:t xml:space="preserve">$10,756.63</w:t>
            </w:r>
          </w:p>
        </w:tc>
        <w:tc>
          <w:tcPr>
            <w:tcW w:w="2400" w:type="dxa"/>
          </w:tcPr>
          <w:p>
            <w:pPr>
              <w:spacing w:before="0" w:after="60"/>
            </w:pPr>
            <w:r>
              <w:t xml:space="preserve">$129,079.60</w:t>
            </w:r>
          </w:p>
        </w:tc>
      </w:tr>
      <w:tr>
        <w:tc>
          <w:tcPr>
            <w:tcW w:w="3000" w:type="dxa"/>
          </w:tcPr>
          <w:p>
            <w:pPr>
              <w:spacing w:before="0" w:after="60"/>
            </w:pPr>
            <w:r>
              <w:t xml:space="preserve">Oct 1, 2030 – Sep 30, 2031</w:t>
            </w:r>
          </w:p>
        </w:tc>
        <w:tc>
          <w:tcPr>
            <w:tcW w:w="1800" w:type="dxa"/>
          </w:tcPr>
          <w:p>
            <w:pPr>
              <w:spacing w:before="0" w:after="60"/>
            </w:pPr>
            <w:r>
              <w:t xml:space="preserve">$27.58</w:t>
            </w:r>
          </w:p>
        </w:tc>
        <w:tc>
          <w:tcPr>
            <w:tcW w:w="2300" w:type="dxa"/>
          </w:tcPr>
          <w:p>
            <w:pPr>
              <w:spacing w:before="0" w:after="60"/>
            </w:pPr>
            <w:r>
              <w:t xml:space="preserve">$11,077.97</w:t>
            </w:r>
          </w:p>
        </w:tc>
        <w:tc>
          <w:tcPr>
            <w:tcW w:w="2400" w:type="dxa"/>
          </w:tcPr>
          <w:p>
            <w:pPr>
              <w:spacing w:before="0" w:after="60"/>
            </w:pPr>
            <w:r>
              <w:t xml:space="preserve">$132,935.60</w:t>
            </w:r>
          </w:p>
        </w:tc>
      </w:tr>
    </w:tbl>
    <w:p>
      <w:pPr>
        <w:spacing w:before="0" w:after="80"/>
      </w:pPr>
    </w:p>
    <w:p>
      <w:pPr>
        <w:spacing w:before="0" w:after="120"/>
      </w:pPr>
      <w:r>
        <w:rPr>
          <w:b/>
          <w:bCs/>
        </w:rPr>
        <w:t xml:space="preserve">2.3   Additional Rent; Proration. </w:t>
      </w:r>
      <w:r>
        <w:t xml:space="preserve">Tenant shall pay monthly Estimated Operating Expenses concurrently with Base Rent. Base Rent and Additional Rent for any partial month shall be prorated on a per diem basis.</w:t>
      </w:r>
    </w:p>
    <w:p>
      <w:pPr>
        <w:spacing w:before="0" w:after="120"/>
      </w:pPr>
      <w:r>
        <w:rPr>
          <w:b/>
          <w:bCs/>
        </w:rPr>
        <w:t xml:space="preserve">2.4   Abatement. </w:t>
      </w:r>
      <w:r>
        <w:t xml:space="preserve">During the Abatement Period, Base Rent (only) shall be abated. All Additional Rent shall remain payable. If Tenant commits a monetary Default that results in termination of this Lease or Tenant's right to possession, the unamortized portion of the abated Base Rent shall, to the extent permitted by law, become immediately due as additional damages.</w:t>
      </w:r>
    </w:p>
    <w:p>
      <w:pPr>
        <w:spacing w:before="0" w:after="120"/>
      </w:pPr>
      <w:r>
        <w:rPr>
          <w:b/>
          <w:bCs/>
        </w:rPr>
        <w:t xml:space="preserve">2.5   Required Payments at Execution. </w:t>
      </w:r>
      <w:r>
        <w:t xml:space="preserve">Within two (2) business days after the Effective Date, Tenant shall deliver to Landlord (a) the first monthly installment of Base Rent due after the Abatement Period ($9,840.83); (b) the first monthly installment of Estimated Operating Expenses ($3,916.25); (c) the Security Deposit ($19,681.66); and (d) a compliant certificate of insurance under Article 11.</w:t>
      </w:r>
    </w:p>
    <w:p>
      <w:pPr>
        <w:spacing w:before="0" w:after="120"/>
      </w:pPr>
      <w:r>
        <w:rPr>
          <w:b/>
          <w:bCs/>
        </w:rPr>
        <w:t xml:space="preserve">2.6   Payment Method; Late Charge. </w:t>
      </w:r>
      <w:r>
        <w:t xml:space="preserve">All Rent shall be paid by ACH to the account designated by Landlord. If any Rent is not paid within five (5) days after the due date, Tenant shall pay a late charge equal to five percent (5%) of the delinquent amount, which the parties agree is a reasonable estimate of Landlord's administrative costs and is not a penalty.</w:t>
      </w:r>
    </w:p>
    <w:p>
      <w:pPr>
        <w:spacing w:before="0" w:after="120"/>
      </w:pPr>
      <w:r>
        <w:rPr>
          <w:b/>
          <w:bCs/>
        </w:rPr>
        <w:t xml:space="preserve">2.7   Security Deposit. </w:t>
      </w:r>
      <w:r>
        <w:t xml:space="preserve">The Security Deposit secures Tenant's performance. Landlord may apply all or any portion of it to cure a Default or to reimburse Landlord. Tenant shall replenish any amount so applied within ten (10) days after demand. If Tenant fully performs, Landlord shall return the unapplied balance within sixty (60) days after the later of the Expiration Date or surrender of possession.</w:t>
      </w:r>
    </w:p>
    <w:p>
      <w:pPr>
        <w:spacing w:before="280" w:after="140"/>
        <w:keepNext/>
      </w:pPr>
      <w:r>
        <w:rPr>
          <w:b/>
          <w:bCs/>
          <w:sz w:val="28"/>
          <w:szCs w:val="28"/>
        </w:rPr>
        <w:t xml:space="preserve">ARTICLE 3.   OPERATING EXPENSES</w:t>
      </w:r>
    </w:p>
    <w:p>
      <w:pPr>
        <w:spacing w:before="0" w:after="120"/>
      </w:pPr>
      <w:r>
        <w:rPr>
          <w:b/>
          <w:bCs/>
        </w:rPr>
        <w:t xml:space="preserve">3.1   Definition. </w:t>
      </w:r>
      <w:r>
        <w:t xml:space="preserve">"Operating Expenses" means all reasonable costs paid or incurred by Landlord in connection with the ownership, operation, management, repair, replacement, and maintenance of the Property, including common area maintenance, utilities not separately metered, property insurance, real property taxes, management fees, professional fees, landscaping, snow and ice removal, common-area janitorial, and permitted capital improvements.</w:t>
      </w:r>
    </w:p>
    <w:p>
      <w:pPr>
        <w:spacing w:before="0" w:after="120"/>
      </w:pPr>
      <w:r>
        <w:rPr>
          <w:b/>
          <w:bCs/>
        </w:rPr>
        <w:t xml:space="preserve">3.2   Permitted Capital Items. </w:t>
      </w:r>
      <w:r>
        <w:t xml:space="preserve">Operating Expenses may include the amortized cost, with reasonable interest, of capital improvements that (a) are intended to reduce Operating Expenses, (b) are required to comply with Laws first enacted or first applicable to the Property after the Effective Date, or (c) improve energy efficiency. Amortization shall be over the useful life of the improvement as reasonably determined by Landlord.</w:t>
      </w:r>
    </w:p>
    <w:p>
      <w:pPr>
        <w:spacing w:before="0" w:after="120"/>
      </w:pPr>
      <w:r>
        <w:rPr>
          <w:b/>
          <w:bCs/>
        </w:rPr>
        <w:t xml:space="preserve">3.3   Exclusions. </w:t>
      </w:r>
      <w:r>
        <w:t xml:space="preserve">Operating Expenses exclude leasing commissions; marketing costs; tenant improvement allowances or build-out costs for other tenants; principal, interest, and financing costs on debt; depreciation; costs reimbursed by insurance proceeds or third parties; costs caused by Landlord's gross negligence or willful misconduct; costs to remediate hazardous materials present before the Effective Date and not caused by Tenant; capital items other than those expressly permitted by Section 3.2; and Landlord's general corporate overhead.</w:t>
      </w:r>
    </w:p>
    <w:p>
      <w:pPr>
        <w:spacing w:before="0" w:after="120"/>
      </w:pPr>
      <w:r>
        <w:rPr>
          <w:b/>
          <w:bCs/>
        </w:rPr>
        <w:t xml:space="preserve">3.4   Management Fee. </w:t>
      </w:r>
      <w:r>
        <w:t xml:space="preserve">Operating Expenses may include a management fee not to exceed four percent (4%) of gross rents collected from the Property.</w:t>
      </w:r>
    </w:p>
    <w:p>
      <w:pPr>
        <w:spacing w:before="0" w:after="120"/>
      </w:pPr>
      <w:r>
        <w:rPr>
          <w:b/>
          <w:bCs/>
        </w:rPr>
        <w:t xml:space="preserve">3.5   Reconciliation. </w:t>
      </w:r>
      <w:r>
        <w:t xml:space="preserve">Within one hundred fifty (150) days after the end of each calendar year, Landlord shall deliver a statement of actual Operating Expenses. Tenant shall pay any underpayment, or Landlord shall credit any overpayment, within thirty (30) days.</w:t>
      </w:r>
    </w:p>
    <w:p>
      <w:pPr>
        <w:spacing w:before="0" w:after="120"/>
      </w:pPr>
      <w:r>
        <w:rPr>
          <w:b/>
          <w:bCs/>
        </w:rPr>
        <w:t xml:space="preserve">3.6   Audit. </w:t>
      </w:r>
      <w:r>
        <w:t xml:space="preserve">Provided no Default exists, Tenant may audit Landlord's records for any Operating Year by delivering written notice within sixty (60) days after receipt of the statement. The audit shall be conducted by a CPA engaged on a non-contingency basis, completed within forty-five (45) days, and held in confidence. If the audit determines an overcharge greater than five percent (5%), Landlord shall reimburse Tenant's reasonable audit costs up to $3,000.</w:t>
      </w:r>
    </w:p>
    <w:p>
      <w:pPr>
        <w:spacing w:before="0" w:after="120"/>
      </w:pPr>
      <w:r>
        <w:rPr>
          <w:b/>
          <w:bCs/>
        </w:rPr>
        <w:t xml:space="preserve">3.7   Controllable Expense Cap. </w:t>
      </w:r>
      <w:r>
        <w:t xml:space="preserve">Controllable Operating Expenses for any calendar year after 2027 shall not exceed the prior year's Controllable Operating Expenses by more than five percent (5%), cumulative and compounded. Controllable Operating Expenses exclude taxes, insurance, utilities, snow and ice removal, security, costs to comply with Laws, casualty/Force Majeure costs, and permitted capital items.</w:t>
      </w:r>
    </w:p>
    <w:p>
      <w:pPr>
        <w:spacing w:before="280" w:after="140"/>
        <w:keepNext/>
      </w:pPr>
      <w:r>
        <w:rPr>
          <w:b/>
          <w:bCs/>
          <w:sz w:val="28"/>
          <w:szCs w:val="28"/>
        </w:rPr>
        <w:t xml:space="preserve">ARTICLE 4.   UTILITIES</w:t>
      </w:r>
    </w:p>
    <w:p>
      <w:pPr>
        <w:spacing w:before="0" w:after="120"/>
      </w:pPr>
      <w:r>
        <w:rPr>
          <w:b/>
          <w:bCs/>
        </w:rPr>
        <w:t xml:space="preserve">4.1   Service. </w:t>
      </w:r>
      <w:r>
        <w:t xml:space="preserve">Electric service to the Premises is separately metered and shall be paid by Tenant directly to the utility provider. Water, sewer, gas, trash, and HVAC operation for the Premises are provided by Landlord and included in Operating Expenses. Tenant shall arrange and pay for its own telecommunications, internet, and data services.</w:t>
      </w:r>
    </w:p>
    <w:p>
      <w:pPr>
        <w:spacing w:before="0" w:after="120"/>
      </w:pPr>
      <w:r>
        <w:rPr>
          <w:b/>
          <w:bCs/>
        </w:rPr>
        <w:t xml:space="preserve">4.2   Benchmarking. </w:t>
      </w:r>
      <w:r>
        <w:t xml:space="preserve">Within fifteen (15) days after Landlord's request, Tenant shall provide energy, water, and space-use data reasonably required for benchmarking, ENERGY STAR reporting, or legal compliance. Tenant authorizes Landlord to obtain such information directly from utility providers.</w:t>
      </w:r>
    </w:p>
    <w:p>
      <w:pPr>
        <w:spacing w:before="0" w:after="120"/>
      </w:pPr>
      <w:r>
        <w:rPr>
          <w:b/>
          <w:bCs/>
        </w:rPr>
        <w:t xml:space="preserve">4.3   Interruption. </w:t>
      </w:r>
      <w:r>
        <w:t xml:space="preserve">No interruption of utility services shall constitute eviction, constructive eviction, or disturbance of Tenant's possession, or relieve Tenant of payment obligations, except that if an interruption caused by Landlord's negligence continues for more than five (5) consecutive business days and materially prevents Tenant from operating in the affected portion of the Premises, Tenant shall be entitled to a proportionate Base Rent abatement for the actual loss of use as Tenant's sole remedy.</w:t>
      </w:r>
    </w:p>
    <w:p>
      <w:pPr>
        <w:spacing w:before="280" w:after="140"/>
        <w:keepNext/>
      </w:pPr>
      <w:r>
        <w:rPr>
          <w:b/>
          <w:bCs/>
          <w:sz w:val="28"/>
          <w:szCs w:val="28"/>
        </w:rPr>
        <w:t xml:space="preserve">ARTICLE 5.   USE; COMMON AREAS; SIGNAGE</w:t>
      </w:r>
    </w:p>
    <w:p>
      <w:pPr>
        <w:spacing w:before="0" w:after="120"/>
      </w:pPr>
      <w:r>
        <w:rPr>
          <w:b/>
          <w:bCs/>
        </w:rPr>
        <w:t xml:space="preserve">5.1   Permitted Use; Compliance. </w:t>
      </w:r>
      <w:r>
        <w:t xml:space="preserve">Tenant shall use the Premises only for the Permitted Use and shall comply with all Laws, zoning, certificates of occupancy, licenses, permits, insurance requirements, and recorded restrictions applicable to its use.</w:t>
      </w:r>
    </w:p>
    <w:p>
      <w:pPr>
        <w:spacing w:before="0" w:after="120"/>
      </w:pPr>
      <w:r>
        <w:rPr>
          <w:b/>
          <w:bCs/>
        </w:rPr>
        <w:t xml:space="preserve">5.2   Operational Restrictions. </w:t>
      </w:r>
      <w:r>
        <w:t xml:space="preserve">Tenant shall not (a) violate Laws or the Building's certificate of occupancy; (b) overload floors, electrical systems, or HVAC capacity; (c) create noxious odors, vibration, or noise audible outside the Premises; (d) invalidate the Building's insurance; or (e) unreasonably interfere with other tenants or occupants.</w:t>
      </w:r>
    </w:p>
    <w:p>
      <w:pPr>
        <w:spacing w:before="0" w:after="120"/>
      </w:pPr>
      <w:r>
        <w:rPr>
          <w:b/>
          <w:bCs/>
        </w:rPr>
        <w:t xml:space="preserve">5.3   Common Areas. </w:t>
      </w:r>
      <w:r>
        <w:t xml:space="preserve">Tenant may use the Building's common areas — lobbies, corridors, elevators, stairwells, restrooms, and surface parking — on a nonexclusive basis, subject to the Rules and Regulations attached as Exhibit C and Landlord's reserved rights.</w:t>
      </w:r>
    </w:p>
    <w:p>
      <w:pPr>
        <w:spacing w:before="0" w:after="120"/>
      </w:pPr>
      <w:r>
        <w:rPr>
          <w:b/>
          <w:bCs/>
        </w:rPr>
        <w:t xml:space="preserve">5.4   Parking. </w:t>
      </w:r>
      <w:r>
        <w:t xml:space="preserve">Tenant shall be entitled to use, on a nonexclusive first-come basis, up to fourteen (14) unreserved surface parking spaces at no additional charge, subject to the Rules and Regulations.</w:t>
      </w:r>
    </w:p>
    <w:p>
      <w:pPr>
        <w:spacing w:before="0" w:after="120"/>
      </w:pPr>
      <w:r>
        <w:rPr>
          <w:b/>
          <w:bCs/>
        </w:rPr>
        <w:t xml:space="preserve">5.5   Signage. </w:t>
      </w:r>
      <w:r>
        <w:t xml:space="preserve">Tenant shall be entitled to (a) one standard suite-entry sign at the Premises and (b) one line on the Building lobby directory, in each case installed by Landlord at Tenant's cost in accordance with Exhibit E. Exterior signage is not permitted.</w:t>
      </w:r>
    </w:p>
    <w:p>
      <w:pPr>
        <w:spacing w:before="0" w:after="120"/>
      </w:pPr>
      <w:r>
        <w:rPr>
          <w:b/>
          <w:bCs/>
        </w:rPr>
        <w:t xml:space="preserve">5.6   Security. </w:t>
      </w:r>
      <w:r>
        <w:t xml:space="preserve">Landlord is not obligated to provide security services within the Premises. The Building is equipped with after-hours card-access control to the main lobby and the fourth-floor elevator lobby. Tenant is responsible for its own internal security, including any supplemental locks, cameras, or access systems installed within the Premises with Landlord's consent.</w:t>
      </w:r>
    </w:p>
    <w:p>
      <w:pPr>
        <w:spacing w:before="280" w:after="140"/>
        <w:keepNext/>
      </w:pPr>
      <w:r>
        <w:rPr>
          <w:b/>
          <w:bCs/>
          <w:sz w:val="28"/>
          <w:szCs w:val="28"/>
        </w:rPr>
        <w:t xml:space="preserve">ARTICLE 6.   CONDITION AND DELIVERY</w:t>
      </w:r>
    </w:p>
    <w:p>
      <w:pPr>
        <w:spacing w:before="0" w:after="120"/>
      </w:pPr>
      <w:r>
        <w:rPr>
          <w:b/>
          <w:bCs/>
        </w:rPr>
        <w:t xml:space="preserve">6.1   As-Is Delivery. </w:t>
      </w:r>
      <w:r>
        <w:t xml:space="preserve">Except for the Landlord Turnover Work described in Section 6.2, Tenant accepts the Premises in their "AS IS, WHERE IS" condition. Tenant acknowledges that it has inspected the Premises and is familiar with the Building and the Property.</w:t>
      </w:r>
    </w:p>
    <w:p>
      <w:pPr>
        <w:spacing w:before="0" w:after="120"/>
      </w:pPr>
      <w:r>
        <w:rPr>
          <w:b/>
          <w:bCs/>
        </w:rPr>
        <w:t xml:space="preserve">6.2   Landlord Turnover Work. </w:t>
      </w:r>
      <w:r>
        <w:t xml:space="preserve">Before the Commencement Date, Landlord shall, at its sole cost, (a) professionally clean the Premises, (b) shampoo or replace stained carpet tiles as reasonably needed, (c) repaint walls in Landlord's building-standard finish, (d) confirm that all HVAC, lighting, and plumbing serving the Premises are in good working order, and (e) deliver the Premises broom-clean.</w:t>
      </w:r>
    </w:p>
    <w:p>
      <w:pPr>
        <w:spacing w:before="0" w:after="120"/>
      </w:pPr>
      <w:r>
        <w:rPr>
          <w:b/>
          <w:bCs/>
        </w:rPr>
        <w:t xml:space="preserve">6.3   Early Access. </w:t>
      </w:r>
      <w:r>
        <w:t xml:space="preserve">Beginning September 21, 2026, Tenant may enter the Premises solely to install furniture, fixtures, cabling, and equipment, provided Tenant (a) delivers the certificate of insurance required by Article 11, (b) coordinates with Landlord and its contractor, (c) does not commence business operations, and (d) does not interfere with the Landlord Turnover Work. Early access shall not advance the Commencement Date.</w:t>
      </w:r>
    </w:p>
    <w:p>
      <w:pPr>
        <w:spacing w:before="0" w:after="120"/>
      </w:pPr>
      <w:r>
        <w:rPr>
          <w:b/>
          <w:bCs/>
        </w:rPr>
        <w:t xml:space="preserve">6.4   Confirmation of Commencement Date. </w:t>
      </w:r>
      <w:r>
        <w:t xml:space="preserve">Within ten (10) days after Landlord's delivery, the parties shall execute the Confirmation of Commencement Date in the form of Exhibit F.</w:t>
      </w:r>
    </w:p>
    <w:p>
      <w:pPr>
        <w:spacing w:before="280" w:after="140"/>
        <w:keepNext/>
      </w:pPr>
      <w:r>
        <w:rPr>
          <w:b/>
          <w:bCs/>
          <w:sz w:val="28"/>
          <w:szCs w:val="28"/>
        </w:rPr>
        <w:t xml:space="preserve">ARTICLE 7.   SUBORDINATION; ESTOPPEL</w:t>
      </w:r>
    </w:p>
    <w:p>
      <w:pPr>
        <w:spacing w:before="0" w:after="120"/>
      </w:pPr>
      <w:r>
        <w:rPr>
          <w:b/>
          <w:bCs/>
        </w:rPr>
        <w:t xml:space="preserve">7.1   Subordination. </w:t>
      </w:r>
      <w:r>
        <w:t xml:space="preserve">This Lease is subject and subordinate to all mortgages, deeds of trust, and ground leases now or hereafter affecting the Property, provided that Tenant's subordination to any future superior interest is conditioned on Tenant's receipt of a commercially reasonable subordination, non-disturbance, and attornment agreement from the holder.</w:t>
      </w:r>
    </w:p>
    <w:p>
      <w:pPr>
        <w:spacing w:before="0" w:after="120"/>
      </w:pPr>
      <w:r>
        <w:rPr>
          <w:b/>
          <w:bCs/>
        </w:rPr>
        <w:t xml:space="preserve">7.2   Estoppel. </w:t>
      </w:r>
      <w:r>
        <w:t xml:space="preserve">Tenant shall, within ten (10) days after request, deliver an estoppel certificate stating the matters reasonably requested by Landlord, including lease status, Term, Rent, defaults, deposits, options, amendments, and claims.</w:t>
      </w:r>
    </w:p>
    <w:p>
      <w:pPr>
        <w:spacing w:before="280" w:after="140"/>
        <w:keepNext/>
      </w:pPr>
      <w:r>
        <w:rPr>
          <w:b/>
          <w:bCs/>
          <w:sz w:val="28"/>
          <w:szCs w:val="28"/>
        </w:rPr>
        <w:t xml:space="preserve">ARTICLE 8.   ASSIGNMENT AND SUBLETTING</w:t>
      </w:r>
    </w:p>
    <w:p>
      <w:pPr>
        <w:spacing w:before="0" w:after="120"/>
      </w:pPr>
      <w:r>
        <w:rPr>
          <w:b/>
          <w:bCs/>
        </w:rPr>
        <w:t xml:space="preserve">8.1   Consent. </w:t>
      </w:r>
      <w:r>
        <w:t xml:space="preserve">Tenant shall not assign this Lease, sublet all or any part of the Premises, mortgage or pledge its leasehold interest, or permit any transfer by operation of law, merger, change of control, or sale of substantially all assets, without Landlord's prior written consent, not to be unreasonably withheld, except for Permitted Transfers under Section 8.4.</w:t>
      </w:r>
    </w:p>
    <w:p>
      <w:pPr>
        <w:spacing w:before="0" w:after="120"/>
      </w:pPr>
      <w:r>
        <w:rPr>
          <w:b/>
          <w:bCs/>
        </w:rPr>
        <w:t xml:space="preserve">8.2   Review Criteria. </w:t>
      </w:r>
      <w:r>
        <w:t xml:space="preserve">In determining whether to consent, Landlord may consider the transferee's business reputation, operating experience, intended use, financial condition, impact on the Property, and any lender requirements.</w:t>
      </w:r>
    </w:p>
    <w:p>
      <w:pPr>
        <w:spacing w:before="0" w:after="120"/>
      </w:pPr>
      <w:r>
        <w:rPr>
          <w:b/>
          <w:bCs/>
        </w:rPr>
        <w:t xml:space="preserve">8.3   Excess Consideration. </w:t>
      </w:r>
      <w:r>
        <w:t xml:space="preserve">After deducting reasonable and customary transfer costs, fifty percent (50%) of any consideration received by Tenant from a transfer in excess of amounts payable by Tenant under this Lease shall be paid to Landlord within thirty (30) days after receipt by Tenant.</w:t>
      </w:r>
    </w:p>
    <w:p>
      <w:pPr>
        <w:spacing w:before="0" w:after="120"/>
      </w:pPr>
      <w:r>
        <w:rPr>
          <w:b/>
          <w:bCs/>
        </w:rPr>
        <w:t xml:space="preserve">8.4   Permitted Transfers. </w:t>
      </w:r>
      <w:r>
        <w:t xml:space="preserve">Tenant may assign this Lease or sublet the Premises to an Affiliate, or to a surviving entity in a merger or sale of substantially all assets, without Landlord's consent, upon at least fifteen (15) days' prior written notice, provided (a) the transferee assumes all obligations under this Lease in writing, (b) the use remains consistent with the Permitted Use, (c) the original Tenant remains fully liable, and (d) the transferee's tangible net worth is not less than Tenant's tangible net worth as of the Effective Date.</w:t>
      </w:r>
    </w:p>
    <w:p>
      <w:pPr>
        <w:spacing w:before="0" w:after="120"/>
      </w:pPr>
      <w:r>
        <w:rPr>
          <w:b/>
          <w:bCs/>
        </w:rPr>
        <w:t xml:space="preserve">8.5   No Release. </w:t>
      </w:r>
      <w:r>
        <w:t xml:space="preserve">No transfer, whether or not consented to by Landlord, shall release Tenant from liability under this Lease unless Landlord expressly agrees in writing.</w:t>
      </w:r>
    </w:p>
    <w:p>
      <w:pPr>
        <w:spacing w:before="280" w:after="140"/>
        <w:keepNext/>
      </w:pPr>
      <w:r>
        <w:rPr>
          <w:b/>
          <w:bCs/>
          <w:sz w:val="28"/>
          <w:szCs w:val="28"/>
        </w:rPr>
        <w:t xml:space="preserve">ARTICLE 9.   ENVIRONMENTAL</w:t>
      </w:r>
    </w:p>
    <w:p>
      <w:pPr>
        <w:spacing w:before="0" w:after="120"/>
      </w:pPr>
      <w:r>
        <w:rPr>
          <w:b/>
          <w:bCs/>
        </w:rPr>
        <w:t xml:space="preserve">9.1   Restriction. </w:t>
      </w:r>
      <w:r>
        <w:t xml:space="preserve">Tenant shall not generate, store, use, treat, transport, release, or dispose of Hazardous Materials at the Premises or Property, except for de minimis quantities of normal office and cleaning supplies used in the ordinary course of office operations and stored in accordance with Laws.</w:t>
      </w:r>
    </w:p>
    <w:p>
      <w:pPr>
        <w:spacing w:before="0" w:after="120"/>
      </w:pPr>
      <w:r>
        <w:rPr>
          <w:b/>
          <w:bCs/>
        </w:rPr>
        <w:t xml:space="preserve">9.2   Compliance; Notice. </w:t>
      </w:r>
      <w:r>
        <w:t xml:space="preserve">Tenant shall comply with all Environmental Laws applicable to its operations and shall promptly notify Landlord of any spill, release, regulatory notice, or permit violation involving the Premises.</w:t>
      </w:r>
    </w:p>
    <w:p>
      <w:pPr>
        <w:spacing w:before="0" w:after="120"/>
      </w:pPr>
      <w:r>
        <w:rPr>
          <w:b/>
          <w:bCs/>
        </w:rPr>
        <w:t xml:space="preserve">9.3   Remediation. </w:t>
      </w:r>
      <w:r>
        <w:t xml:space="preserve">Tenant shall, at its sole cost, investigate, clean up, remediate, and restore any release of Hazardous Materials caused, contributed to, or exacerbated by Tenant or any Tenant party, subject to Landlord's reasonable approval of the remediation plan (except in emergencies). Tenant is not responsible for pre-existing contamination not exacerbated by Tenant.</w:t>
      </w:r>
    </w:p>
    <w:p>
      <w:pPr>
        <w:spacing w:before="0" w:after="120"/>
      </w:pPr>
      <w:r>
        <w:rPr>
          <w:b/>
          <w:bCs/>
        </w:rPr>
        <w:t xml:space="preserve">9.4   Tenant Disclosures. </w:t>
      </w:r>
      <w:r>
        <w:t xml:space="preserve">Tenant represents that, given the Permitted Use, no SARA Title III reports, NPDES/SPDES permits, EPA Hazardous Waste Generator IDs, or other regulated-materials programs apply to its operations. Tenant shall notify Landlord at least thirty (30) days in advance of any material change in operations that would alter this disclosure.</w:t>
      </w:r>
    </w:p>
    <w:p>
      <w:pPr>
        <w:spacing w:before="280" w:after="140"/>
        <w:keepNext/>
      </w:pPr>
      <w:r>
        <w:rPr>
          <w:b/>
          <w:bCs/>
          <w:sz w:val="28"/>
          <w:szCs w:val="28"/>
        </w:rPr>
        <w:t xml:space="preserve">ARTICLE 10.   LANDLORD INSURANCE</w:t>
      </w:r>
    </w:p>
    <w:p>
      <w:pPr>
        <w:spacing w:before="0" w:after="120"/>
      </w:pPr>
      <w:r>
        <w:t xml:space="preserve">Landlord shall maintain commercial property insurance for the Building, commercial general liability insurance, rental value or business income insurance, and such other insurance as Landlord or its lender deems appropriate. The cost of such insurance, including premiums and commercially reasonable deductibles, may be included in Operating Expenses. Landlord's property insurance does not cover Tenant's personal property, inventory, trade fixtures, or alterations.</w:t>
      </w:r>
    </w:p>
    <w:p>
      <w:pPr>
        <w:spacing w:before="280" w:after="140"/>
        <w:keepNext/>
      </w:pPr>
      <w:r>
        <w:rPr>
          <w:b/>
          <w:bCs/>
          <w:sz w:val="28"/>
          <w:szCs w:val="28"/>
        </w:rPr>
        <w:t xml:space="preserve">ARTICLE 11.   TENANT INSURANCE</w:t>
      </w:r>
    </w:p>
    <w:p>
      <w:pPr>
        <w:spacing w:before="0" w:after="120"/>
      </w:pPr>
      <w:r>
        <w:rPr>
          <w:b/>
          <w:bCs/>
        </w:rPr>
        <w:t xml:space="preserve">11.1   Required Policies. </w:t>
      </w:r>
      <w:r>
        <w:t xml:space="preserve">Tenant shall maintain the following insurance throughout the Term: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4000"/>
        <w:gridCol w:w="5500"/>
      </w:tblGrid>
      <w:tr>
        <w:tc>
          <w:tcPr>
            <w:tcW w:w="4000" w:type="dxa"/>
            <w:shd w:val="clear" w:color="auto" w:fill="E5E7EB"/>
          </w:tcPr>
          <w:p>
            <w:pPr>
              <w:spacing w:before="0" w:after="60"/>
            </w:pPr>
            <w:r>
              <w:rPr>
                <w:b/>
                <w:bCs/>
              </w:rPr>
              <w:t xml:space="preserve">Policy</w:t>
            </w:r>
          </w:p>
        </w:tc>
        <w:tc>
          <w:tcPr>
            <w:tcW w:w="5500" w:type="dxa"/>
            <w:shd w:val="clear" w:color="auto" w:fill="E5E7EB"/>
          </w:tcPr>
          <w:p>
            <w:pPr>
              <w:spacing w:before="0" w:after="60"/>
            </w:pPr>
            <w:r>
              <w:rPr>
                <w:b/>
                <w:bCs/>
              </w:rPr>
              <w:t xml:space="preserve">Minimum Limit</w:t>
            </w:r>
          </w:p>
        </w:tc>
      </w:tr>
      <w:tr>
        <w:tc>
          <w:tcPr>
            <w:tcW w:w="4000" w:type="dxa"/>
          </w:tcPr>
          <w:p>
            <w:pPr>
              <w:spacing w:before="0" w:after="60"/>
            </w:pPr>
            <w:r>
              <w:t xml:space="preserve">Commercial General Liability</w:t>
            </w:r>
          </w:p>
        </w:tc>
        <w:tc>
          <w:tcPr>
            <w:tcW w:w="5500" w:type="dxa"/>
          </w:tcPr>
          <w:p>
            <w:pPr>
              <w:spacing w:before="0" w:after="60"/>
            </w:pPr>
            <w:r>
              <w:t xml:space="preserve">$2,000,000 per occurrence / $5,000,000 aggregate per location (umbrella/excess may be used).</w:t>
            </w:r>
          </w:p>
        </w:tc>
      </w:tr>
      <w:tr>
        <w:tc>
          <w:tcPr>
            <w:tcW w:w="4000" w:type="dxa"/>
          </w:tcPr>
          <w:p>
            <w:pPr>
              <w:spacing w:before="0" w:after="60"/>
            </w:pPr>
            <w:r>
              <w:t xml:space="preserve">Commercial Property (Special Form, replacement cost)</w:t>
            </w:r>
          </w:p>
        </w:tc>
        <w:tc>
          <w:tcPr>
            <w:tcW w:w="5500" w:type="dxa"/>
          </w:tcPr>
          <w:p>
            <w:pPr>
              <w:spacing w:before="0" w:after="60"/>
            </w:pPr>
            <w:r>
              <w:t xml:space="preserve">Full replacement cost of Tenant's personal property, trade fixtures, and any Alterations Tenant is required to remove.</w:t>
            </w:r>
          </w:p>
        </w:tc>
      </w:tr>
      <w:tr>
        <w:tc>
          <w:tcPr>
            <w:tcW w:w="4000" w:type="dxa"/>
          </w:tcPr>
          <w:p>
            <w:pPr>
              <w:spacing w:before="0" w:after="60"/>
            </w:pPr>
            <w:r>
              <w:t xml:space="preserve">Workers' Compensation / Employer's Liability</w:t>
            </w:r>
          </w:p>
        </w:tc>
        <w:tc>
          <w:tcPr>
            <w:tcW w:w="5500" w:type="dxa"/>
          </w:tcPr>
          <w:p>
            <w:pPr>
              <w:spacing w:before="0" w:after="60"/>
            </w:pPr>
            <w:r>
              <w:t xml:space="preserve">Statutory workers' compensation plus employer's liability of $1,000,000.</w:t>
            </w:r>
          </w:p>
        </w:tc>
      </w:tr>
      <w:tr>
        <w:tc>
          <w:tcPr>
            <w:tcW w:w="4000" w:type="dxa"/>
          </w:tcPr>
          <w:p>
            <w:pPr>
              <w:spacing w:before="0" w:after="60"/>
            </w:pPr>
            <w:r>
              <w:t xml:space="preserve">Business Auto Liability</w:t>
            </w:r>
          </w:p>
        </w:tc>
        <w:tc>
          <w:tcPr>
            <w:tcW w:w="5500" w:type="dxa"/>
          </w:tcPr>
          <w:p>
            <w:pPr>
              <w:spacing w:before="0" w:after="60"/>
            </w:pPr>
            <w:r>
              <w:t xml:space="preserve">$1,000,000 combined single limit, if Tenant owns, leases, or operates any vehicles in connection with its business.</w:t>
            </w:r>
          </w:p>
        </w:tc>
      </w:tr>
      <w:tr>
        <w:tc>
          <w:tcPr>
            <w:tcW w:w="4000" w:type="dxa"/>
          </w:tcPr>
          <w:p>
            <w:pPr>
              <w:spacing w:before="0" w:after="60"/>
            </w:pPr>
            <w:r>
              <w:t xml:space="preserve">Business Interruption</w:t>
            </w:r>
          </w:p>
        </w:tc>
        <w:tc>
          <w:tcPr>
            <w:tcW w:w="5500" w:type="dxa"/>
          </w:tcPr>
          <w:p>
            <w:pPr>
              <w:spacing w:before="0" w:after="60"/>
            </w:pPr>
            <w:r>
              <w:t xml:space="preserve">Twelve (12) months of fixed and variable expenses.</w:t>
            </w:r>
          </w:p>
        </w:tc>
      </w:tr>
    </w:tbl>
    <w:p>
      <w:pPr>
        <w:spacing w:before="0" w:after="80"/>
      </w:pPr>
    </w:p>
    <w:p>
      <w:pPr>
        <w:spacing w:before="0" w:after="120"/>
      </w:pPr>
      <w:r>
        <w:rPr>
          <w:b/>
          <w:bCs/>
        </w:rPr>
        <w:t xml:space="preserve">11.2   Additional Insureds. </w:t>
      </w:r>
      <w:r>
        <w:t xml:space="preserve">Landlord and its lender shall be named as additional insureds on the commercial general liability policy on a primary and noncontributory basis. All policies shall be issued by insurers rated not less than A-/VIII by A.M. Best.</w:t>
      </w:r>
    </w:p>
    <w:p>
      <w:pPr>
        <w:spacing w:before="0" w:after="120"/>
      </w:pPr>
      <w:r>
        <w:rPr>
          <w:b/>
          <w:bCs/>
        </w:rPr>
        <w:t xml:space="preserve">11.3   Certificates; Failure to Insure. </w:t>
      </w:r>
      <w:r>
        <w:t xml:space="preserve">Tenant shall deliver certificates of insurance and required endorsements before the Commencement Date and at least thirty (30) days before each policy expiration. If Tenant fails to maintain required insurance, Landlord may procure such insurance and charge Tenant the cost plus a 10% administrative fee.</w:t>
      </w:r>
    </w:p>
    <w:p>
      <w:pPr>
        <w:spacing w:before="280" w:after="140"/>
        <w:keepNext/>
      </w:pPr>
      <w:r>
        <w:rPr>
          <w:b/>
          <w:bCs/>
          <w:sz w:val="28"/>
          <w:szCs w:val="28"/>
        </w:rPr>
        <w:t xml:space="preserve">ARTICLE 12.   WAIVER OF SUBROGATION</w:t>
      </w:r>
    </w:p>
    <w:p>
      <w:pPr>
        <w:spacing w:before="0" w:after="120"/>
      </w:pPr>
      <w:r>
        <w:t xml:space="preserve">Landlord and Tenant waive all claims against each other for losses to the extent covered, or required to be covered, by the property insurance policies maintained or required under this Lease. Each party shall cause its property insurers to endorse the applicable policies to provide a waiver of subrogation consistent with this Article 12.</w:t>
      </w:r>
    </w:p>
    <w:p>
      <w:pPr>
        <w:spacing w:before="280" w:after="140"/>
        <w:keepNext/>
      </w:pPr>
      <w:r>
        <w:rPr>
          <w:b/>
          <w:bCs/>
          <w:sz w:val="28"/>
          <w:szCs w:val="28"/>
        </w:rPr>
        <w:t xml:space="preserve">ARTICLE 13.   ALTERATIONS</w:t>
      </w:r>
    </w:p>
    <w:p>
      <w:pPr>
        <w:spacing w:before="0" w:after="120"/>
      </w:pPr>
      <w:r>
        <w:rPr>
          <w:b/>
          <w:bCs/>
        </w:rPr>
        <w:t xml:space="preserve">13.1   Consent. </w:t>
      </w:r>
      <w:r>
        <w:t xml:space="preserve">Tenant shall not make any alterations, additions, or improvements to the Premises without Landlord's prior written consent, not to be unreasonably withheld for non-structural interior alterations. Tenant shall submit plans, permits, contractor insurance certificates, and lien waivers, and shall deliver as-built drawings within thirty (30) days after completion.</w:t>
      </w:r>
    </w:p>
    <w:p>
      <w:pPr>
        <w:spacing w:before="0" w:after="120"/>
      </w:pPr>
      <w:r>
        <w:rPr>
          <w:b/>
          <w:bCs/>
        </w:rPr>
        <w:t xml:space="preserve">13.2   Minor Alterations. </w:t>
      </w:r>
      <w:r>
        <w:t xml:space="preserve">Tenant may perform non-structural, interior cosmetic alterations costing less than $15,000 per project and $50,000 in the aggregate per Lease Year without Landlord's consent, but with at least ten (10) days' prior written notice and otherwise subject to all alteration requirements.</w:t>
      </w:r>
    </w:p>
    <w:p>
      <w:pPr>
        <w:spacing w:before="0" w:after="120"/>
      </w:pPr>
      <w:r>
        <w:rPr>
          <w:b/>
          <w:bCs/>
        </w:rPr>
        <w:t xml:space="preserve">13.3   Removal at Surrender. </w:t>
      </w:r>
      <w:r>
        <w:t xml:space="preserve">At the time consent is granted, Landlord shall designate whether Tenant must remove the alteration on or before the Expiration Date. If Landlord does not require removal, the alteration shall become Landlord's property at surrender. Standard office cubicles, workstations, demountable partitions, low-voltage cabling, and Tenant's personal property shall be removed by Tenant.</w:t>
      </w:r>
    </w:p>
    <w:p>
      <w:pPr>
        <w:spacing w:before="280" w:after="140"/>
        <w:keepNext/>
      </w:pPr>
      <w:r>
        <w:rPr>
          <w:b/>
          <w:bCs/>
          <w:sz w:val="28"/>
          <w:szCs w:val="28"/>
        </w:rPr>
        <w:t xml:space="preserve">ARTICLE 14.   PROPERTY; TRADE FIXTURES</w:t>
      </w:r>
    </w:p>
    <w:p>
      <w:pPr>
        <w:spacing w:before="0" w:after="120"/>
      </w:pPr>
      <w:r>
        <w:t xml:space="preserve">All fixtures, improvements, equipment, and appurtenances attached to or built into the Premises shall become Landlord's property except Tenant's personal property, trade fixtures, and alterations Landlord requires Tenant to remove. Tenant shall remove Tenant's personal property on or before the Expiration Date and repair any damage caused by such installation or removal.</w:t>
      </w:r>
    </w:p>
    <w:p>
      <w:pPr>
        <w:spacing w:before="280" w:after="140"/>
        <w:keepNext/>
      </w:pPr>
      <w:r>
        <w:rPr>
          <w:b/>
          <w:bCs/>
          <w:sz w:val="28"/>
          <w:szCs w:val="28"/>
        </w:rPr>
        <w:t xml:space="preserve">ARTICLE 15.   REPAIRS AND MAINTENANCE</w:t>
      </w:r>
    </w:p>
    <w:p>
      <w:pPr>
        <w:spacing w:before="0" w:after="120"/>
      </w:pPr>
      <w:r>
        <w:rPr>
          <w:b/>
          <w:bCs/>
        </w:rPr>
        <w:t xml:space="preserve">15.1   Tenant Maintenance. </w:t>
      </w:r>
      <w:r>
        <w:t xml:space="preserve">Tenant shall maintain the interior of the Premises in good and safe condition, including interior walls, doors, lighting, plumbing fixtures within the Premises, supplemental HVAC (if any), interior glass, finishes, and Tenant's alterations.</w:t>
      </w:r>
    </w:p>
    <w:p>
      <w:pPr>
        <w:spacing w:before="0" w:after="120"/>
      </w:pPr>
      <w:r>
        <w:rPr>
          <w:b/>
          <w:bCs/>
        </w:rPr>
        <w:t xml:space="preserve">15.2   Landlord Maintenance. </w:t>
      </w:r>
      <w:r>
        <w:t xml:space="preserve">Landlord shall maintain the foundation, exterior and interior load-bearing walls, roof structure and covering, Building base HVAC, base electrical and plumbing systems to the point of entry to the Premises, elevators, common areas, parking areas, sidewalks, and landscaping, with costs included in Operating Expenses to the extent permitted by Article 3.</w:t>
      </w:r>
    </w:p>
    <w:p>
      <w:pPr>
        <w:spacing w:before="0" w:after="120"/>
      </w:pPr>
      <w:r>
        <w:rPr>
          <w:b/>
          <w:bCs/>
        </w:rPr>
        <w:t xml:space="preserve">15.3   Tenant-Caused Damage. </w:t>
      </w:r>
      <w:r>
        <w:t xml:space="preserve">Notwithstanding Section 15.2, Tenant shall be responsible for the cost of maintenance, repair, and replacement arising from the negligence, misuse, omission, willful misconduct, or breach of Tenant or any Tenant party, except to the extent barred by the waiver of subrogation in Article 12.</w:t>
      </w:r>
    </w:p>
    <w:p>
      <w:pPr>
        <w:spacing w:before="0" w:after="120"/>
      </w:pPr>
      <w:r>
        <w:rPr>
          <w:b/>
          <w:bCs/>
        </w:rPr>
        <w:t xml:space="preserve">15.4   Inspection; Deficiencies. </w:t>
      </w:r>
      <w:r>
        <w:t xml:space="preserve">Landlord may inspect the Premises on reasonable advance notice to confirm compliance with this Article. If an inspection identifies deficiencies, Tenant shall cure them within thirty (30) days after notice, subject to extension for matters that cannot reasonably be cured within that period if Tenant diligently pursues cure.</w:t>
      </w:r>
    </w:p>
    <w:p>
      <w:pPr>
        <w:spacing w:before="280" w:after="140"/>
        <w:keepNext/>
      </w:pPr>
      <w:r>
        <w:rPr>
          <w:b/>
          <w:bCs/>
          <w:sz w:val="28"/>
          <w:szCs w:val="28"/>
        </w:rPr>
        <w:t xml:space="preserve">ARTICLE 16.   ACCESS</w:t>
      </w:r>
    </w:p>
    <w:p>
      <w:pPr>
        <w:spacing w:before="0" w:after="120"/>
      </w:pPr>
      <w:r>
        <w:t xml:space="preserve">Landlord and its representatives may access the Premises at reasonable times, on at least twenty-four (24) hours' prior notice (except in emergencies, when no notice is required), to inspect, perform repairs, provide services, show the Premises to lenders, purchasers, or (during the last twelve months of the Term) prospective tenants, and exercise other rights under this Lease. Landlord shall use commercially reasonable efforts not to unreasonably interfere with Tenant's operations.</w:t>
      </w:r>
    </w:p>
    <w:p>
      <w:pPr>
        <w:spacing w:before="280" w:after="140"/>
        <w:keepNext/>
      </w:pPr>
      <w:r>
        <w:rPr>
          <w:b/>
          <w:bCs/>
          <w:sz w:val="28"/>
          <w:szCs w:val="28"/>
        </w:rPr>
        <w:t xml:space="preserve">ARTICLE 17.   INDEMNIFICATION; LIMITATION OF LIABILITY</w:t>
      </w:r>
    </w:p>
    <w:p>
      <w:pPr>
        <w:spacing w:before="0" w:after="120"/>
      </w:pPr>
      <w:r>
        <w:rPr>
          <w:b/>
          <w:bCs/>
        </w:rPr>
        <w:t xml:space="preserve">17.1   Tenant Indemnity. </w:t>
      </w:r>
      <w:r>
        <w:t xml:space="preserve">Tenant shall indemnify, defend, and hold harmless Landlord and its affiliates, members, managers, officers, employees, agents, and lenders from losses arising out of (a) Tenant's Default, (b) the negligence or willful misconduct of Tenant or any Tenant party, (c) Tenant's use or occupancy of the Premises, (d) any Hazardous Materials brought to the Property by Tenant, and (e) any violation of Laws by Tenant or any Tenant party, except to the extent caused by Landlord's gross negligence or willful misconduct.</w:t>
      </w:r>
    </w:p>
    <w:p>
      <w:pPr>
        <w:spacing w:before="0" w:after="120"/>
      </w:pPr>
      <w:r>
        <w:rPr>
          <w:b/>
          <w:bCs/>
        </w:rPr>
        <w:t xml:space="preserve">17.2   Landlord Indemnity. </w:t>
      </w:r>
      <w:r>
        <w:t xml:space="preserve">Landlord shall indemnify Tenant from losses directly caused by Landlord's gross negligence or willful misconduct, subject to the limitations in Section 17.3.</w:t>
      </w:r>
    </w:p>
    <w:p>
      <w:pPr>
        <w:spacing w:before="0" w:after="120"/>
      </w:pPr>
      <w:r>
        <w:rPr>
          <w:b/>
          <w:bCs/>
        </w:rPr>
        <w:t xml:space="preserve">17.3   Limitation of Landlord Liability. </w:t>
      </w:r>
      <w:r>
        <w:t xml:space="preserve">Tenant shall look solely to Landlord's interest in the Property for recovery of any judgment or award against Landlord. No member, manager, officer, employee, or agent of Landlord shall have personal liability under this Lease. In no event shall either party be liable for consequential, punitive, special, or lost-profits damages, except with respect to Tenant's holdover under Article 21.</w:t>
      </w:r>
    </w:p>
    <w:p>
      <w:pPr>
        <w:spacing w:before="280" w:after="140"/>
        <w:keepNext/>
      </w:pPr>
      <w:r>
        <w:rPr>
          <w:b/>
          <w:bCs/>
          <w:sz w:val="28"/>
          <w:szCs w:val="28"/>
        </w:rPr>
        <w:t xml:space="preserve">ARTICLE 18.   FORCE MAJEURE</w:t>
      </w:r>
    </w:p>
    <w:p>
      <w:pPr>
        <w:spacing w:before="0" w:after="120"/>
      </w:pPr>
      <w:r>
        <w:t xml:space="preserve">Except for the payment of Rent, the maintenance of insurance, surrender obligations, and the exercise of any option or notice deadlines, each party's performance shall be extended for delays caused by events beyond such party's reasonable control, including labor disputes, casualty, war, terrorism, governmental action, utility failures, shortages, public-health emergencies, and permit delays despite diligent pursuit.</w:t>
      </w:r>
    </w:p>
    <w:p>
      <w:pPr>
        <w:spacing w:before="280" w:after="140"/>
        <w:keepNext/>
      </w:pPr>
      <w:r>
        <w:rPr>
          <w:b/>
          <w:bCs/>
          <w:sz w:val="28"/>
          <w:szCs w:val="28"/>
        </w:rPr>
        <w:t xml:space="preserve">ARTICLE 19.   CASUALTY</w:t>
      </w:r>
    </w:p>
    <w:p>
      <w:pPr>
        <w:spacing w:before="0" w:after="120"/>
      </w:pPr>
      <w:r>
        <w:t xml:space="preserve">Tenant shall promptly notify Landlord of any casualty affecting the Premises. If the Premises are rendered untenantable in whole or in material part and restoration cannot reasonably be completed within one hundred eighty (180) days, either party may terminate this Lease on thirty (30) days' notice. Otherwise, Landlord shall restore the Premises to substantially their condition before the casualty (excluding Tenant's personal property and alterations), and Base Rent and Additional Rent shall abate proportionately to the extent the Premises are not tenantable until restoration is substantially complete. If the casualty occurs during the last twelve (12) months of the Term, either party may terminate.</w:t>
      </w:r>
    </w:p>
    <w:p>
      <w:pPr>
        <w:spacing w:before="280" w:after="140"/>
        <w:keepNext/>
      </w:pPr>
      <w:r>
        <w:rPr>
          <w:b/>
          <w:bCs/>
          <w:sz w:val="28"/>
          <w:szCs w:val="28"/>
        </w:rPr>
        <w:t xml:space="preserve">ARTICLE 20.   CONDEMNATION</w:t>
      </w:r>
    </w:p>
    <w:p>
      <w:pPr>
        <w:spacing w:before="0" w:after="120"/>
      </w:pPr>
      <w:r>
        <w:t xml:space="preserve">If all or a material portion of the Premises is taken by eminent domain or deed in lieu of condemnation, this Lease shall terminate as to the portion taken on the date title vests in the condemning authority, and Base Rent and Additional Rent shall be equitably adjusted. Landlord is entitled to the condemnation award for the real property, subject to Tenant's right to pursue a separate award for moving costs, trade fixtures, and business damages to the extent permitted by law and not reducing Landlord's award.</w:t>
      </w:r>
    </w:p>
    <w:p>
      <w:pPr>
        <w:spacing w:before="280" w:after="140"/>
        <w:keepNext/>
      </w:pPr>
      <w:r>
        <w:rPr>
          <w:b/>
          <w:bCs/>
          <w:sz w:val="28"/>
          <w:szCs w:val="28"/>
        </w:rPr>
        <w:t xml:space="preserve">ARTICLE 21.   SURRENDER AND HOLDOVER</w:t>
      </w:r>
    </w:p>
    <w:p>
      <w:pPr>
        <w:spacing w:before="0" w:after="120"/>
      </w:pPr>
      <w:r>
        <w:rPr>
          <w:b/>
          <w:bCs/>
        </w:rPr>
        <w:t xml:space="preserve">21.1   Surrender. </w:t>
      </w:r>
      <w:r>
        <w:t xml:space="preserve">On or before the Expiration Date, Tenant shall vacate the Premises in the condition required by Exhibit B (Surrender Requirements), remove Tenant's personal property and required removal items, repair damage caused by such removal, surrender keys and access cards, remove signage, terminate Tenant-arranged utility accounts as directed, and deliver the Premises broom-clean, ordinary wear and tear and casualty not caused by Tenant excepted.</w:t>
      </w:r>
    </w:p>
    <w:p>
      <w:pPr>
        <w:spacing w:before="0" w:after="120"/>
      </w:pPr>
      <w:r>
        <w:rPr>
          <w:b/>
          <w:bCs/>
        </w:rPr>
        <w:t xml:space="preserve">21.2   Holdover. </w:t>
      </w:r>
      <w:r>
        <w:t xml:space="preserve">If Tenant remains in possession after the Expiration Date without Landlord's written consent, Tenant shall be a tenant at sufferance, the tenancy shall be terminable on five (5) days' notice, and Tenant shall pay holdover rent equal to one hundred fifty percent (150%) of the Rent payable for the month immediately preceding the Expiration Date for the first thirty (30) days of holdover and two hundred percent (200%) thereafter, plus all damages and costs incurred by Landlord as a result of the holdover, including any liability to a succeeding tenant.</w:t>
      </w:r>
    </w:p>
    <w:p>
      <w:pPr>
        <w:spacing w:before="280" w:after="140"/>
        <w:keepNext/>
      </w:pPr>
      <w:r>
        <w:rPr>
          <w:b/>
          <w:bCs/>
          <w:sz w:val="28"/>
          <w:szCs w:val="28"/>
        </w:rPr>
        <w:t xml:space="preserve">ARTICLE 22.   EVENTS OF DEFAULT</w:t>
      </w:r>
    </w:p>
    <w:p>
      <w:pPr>
        <w:spacing w:before="0" w:after="120"/>
      </w:pPr>
      <w:r>
        <w:t xml:space="preserve">Each of the following is an Event of Default: (a) failure to pay any Rent within five (5) days after written notice that the same is past due; (b) failure to maintain required insurance; (c) abandonment of the Premises; (d) an unauthorized transfer in violation of Article 8; (e) failure to deliver an estoppel certificate, subordination instrument, or other required document within the time specified, with such failure continuing for five (5) business days after a second notice; (f) any liens not released or bonded within thirty (30) days after notice; (g) a material misrepresentation; (h) insolvency, assignment for the benefit of creditors, or a bankruptcy filing not dismissed within sixty (60) days; (i) a material violation of Article 9 (Environmental); and (j) failure to perform any other covenant within thirty (30) days after written notice, subject to extension for matters that cannot reasonably be cured within that period if Tenant diligently pursues cure.</w:t>
      </w:r>
    </w:p>
    <w:p>
      <w:pPr>
        <w:spacing w:before="280" w:after="140"/>
        <w:keepNext/>
      </w:pPr>
      <w:r>
        <w:rPr>
          <w:b/>
          <w:bCs/>
          <w:sz w:val="28"/>
          <w:szCs w:val="28"/>
        </w:rPr>
        <w:t xml:space="preserve">ARTICLE 23.   REMEDIES</w:t>
      </w:r>
    </w:p>
    <w:p>
      <w:pPr>
        <w:spacing w:before="0" w:after="120"/>
      </w:pPr>
      <w:r>
        <w:rPr>
          <w:b/>
          <w:bCs/>
        </w:rPr>
        <w:t xml:space="preserve">23.1   Landlord Remedies. </w:t>
      </w:r>
      <w:r>
        <w:t xml:space="preserve">Upon an Event of Default, Landlord may exercise all rights and remedies available at law or in equity, including (a) terminating this Lease or Tenant's right of possession, (b) recovering all unpaid Rent and damages, (c) reletting the Premises and recovering the difference between the Rent due and the rent received, (d) curing the Default at Tenant's expense, (e) drawing on or applying the Security Deposit, and (f) seeking injunctive relief. Landlord shall use commercially reasonable efforts to mitigate damages to the extent required by Utah law.</w:t>
      </w:r>
    </w:p>
    <w:p>
      <w:pPr>
        <w:spacing w:before="0" w:after="120"/>
      </w:pPr>
      <w:r>
        <w:rPr>
          <w:b/>
          <w:bCs/>
        </w:rPr>
        <w:t xml:space="preserve">23.2   Cumulative; No Waiver. </w:t>
      </w:r>
      <w:r>
        <w:t xml:space="preserve">Landlord's rights and remedies are cumulative and not exclusive. No waiver of any Default shall waive any other Default. Acceptance of partial payment shall not waive Landlord's right to recover the balance.</w:t>
      </w:r>
    </w:p>
    <w:p>
      <w:pPr>
        <w:spacing w:before="0" w:after="120"/>
      </w:pPr>
      <w:r>
        <w:rPr>
          <w:b/>
          <w:bCs/>
        </w:rPr>
        <w:t xml:space="preserve">23.3   Attorneys' Fees. </w:t>
      </w:r>
      <w:r>
        <w:t xml:space="preserve">In any action arising out of this Lease, the prevailing party shall be entitled to recover its reasonable attorneys' fees and costs.</w:t>
      </w:r>
    </w:p>
    <w:p>
      <w:pPr>
        <w:spacing w:before="280" w:after="140"/>
        <w:keepNext/>
      </w:pPr>
      <w:r>
        <w:rPr>
          <w:b/>
          <w:bCs/>
          <w:sz w:val="28"/>
          <w:szCs w:val="28"/>
        </w:rPr>
        <w:t xml:space="preserve">ARTICLE 24.   BROKERS</w:t>
      </w:r>
    </w:p>
    <w:p>
      <w:pPr>
        <w:spacing w:before="0" w:after="120"/>
      </w:pPr>
      <w:r>
        <w:t xml:space="preserve">Landlord and Tenant represent that they have dealt with no brokers in connection with this Lease except the Brokers identified in Article 1. Each party shall indemnify the other from claims by any other broker claiming through the indemnifying party. Landlord shall pay the Tenant Broker pursuant to a separate written commission agreement.</w:t>
      </w:r>
    </w:p>
    <w:p>
      <w:pPr>
        <w:spacing w:before="280" w:after="140"/>
        <w:keepNext/>
      </w:pPr>
      <w:r>
        <w:rPr>
          <w:b/>
          <w:bCs/>
          <w:sz w:val="28"/>
          <w:szCs w:val="28"/>
        </w:rPr>
        <w:t xml:space="preserve">ARTICLE 25.   MISCELLANEOUS</w:t>
      </w:r>
    </w:p>
    <w:p>
      <w:pPr>
        <w:spacing w:before="0" w:after="120"/>
      </w:pPr>
      <w:r>
        <w:rPr>
          <w:b/>
          <w:bCs/>
        </w:rPr>
        <w:t xml:space="preserve">25.1   Governing Law; Venue. </w:t>
      </w:r>
      <w:r>
        <w:t xml:space="preserve">This Lease is governed by Utah law, without regard to conflict-of-laws principles. Venue for any action shall lie exclusively in the state and federal courts located in Salt Lake County, Utah.</w:t>
      </w:r>
    </w:p>
    <w:p>
      <w:pPr>
        <w:spacing w:before="0" w:after="120"/>
      </w:pPr>
      <w:r>
        <w:rPr>
          <w:b/>
          <w:bCs/>
        </w:rPr>
        <w:t xml:space="preserve">25.2   Notices. </w:t>
      </w:r>
      <w:r>
        <w:t xml:space="preserve">All notices required or permitted under this Lease shall be in writing and delivered to the addresses in Article 1 by personal delivery, certified mail (return receipt requested), or recognized overnight courier. Courtesy email copies do not constitute notice. Notice is effective on receipt or refusal of delivery.</w:t>
      </w:r>
    </w:p>
    <w:p>
      <w:pPr>
        <w:spacing w:before="0" w:after="120"/>
      </w:pPr>
      <w:r>
        <w:rPr>
          <w:b/>
          <w:bCs/>
        </w:rPr>
        <w:t xml:space="preserve">25.3   Entire Agreement; Amendment. </w:t>
      </w:r>
      <w:r>
        <w:t xml:space="preserve">This Lease (including the Exhibits) is the entire agreement of the parties with respect to its subject matter and supersedes all prior negotiations, term sheets, and letters of intent. This Lease may be amended only by a writing signed by both parties.</w:t>
      </w:r>
    </w:p>
    <w:p>
      <w:pPr>
        <w:spacing w:before="0" w:after="120"/>
      </w:pPr>
      <w:r>
        <w:rPr>
          <w:b/>
          <w:bCs/>
        </w:rPr>
        <w:t xml:space="preserve">25.4   Authority. </w:t>
      </w:r>
      <w:r>
        <w:t xml:space="preserve">Each party represents that the individual executing this Lease on its behalf is duly authorized to bind it.</w:t>
      </w:r>
    </w:p>
    <w:p>
      <w:pPr>
        <w:spacing w:before="0" w:after="120"/>
      </w:pPr>
      <w:r>
        <w:rPr>
          <w:b/>
          <w:bCs/>
        </w:rPr>
        <w:t xml:space="preserve">25.5   Counterparts; Electronic Signatures. </w:t>
      </w:r>
      <w:r>
        <w:t xml:space="preserve">This Lease may be executed in counterparts, each of which is an original and all of which together constitute one instrument. Signatures delivered by PDF, DocuSign, or other electronic means have the same force and effect as original signatures.</w:t>
      </w:r>
    </w:p>
    <w:p>
      <w:pPr>
        <w:spacing w:before="0" w:after="120"/>
      </w:pPr>
      <w:r>
        <w:rPr>
          <w:b/>
          <w:bCs/>
        </w:rPr>
        <w:t xml:space="preserve">25.6   Severability. </w:t>
      </w:r>
      <w:r>
        <w:t xml:space="preserve">If any provision of this Lease is held unenforceable, the remaining provisions shall remain in full force and effect.</w:t>
      </w:r>
    </w:p>
    <w:p>
      <w:pPr>
        <w:spacing w:before="0" w:after="120"/>
      </w:pPr>
      <w:r>
        <w:rPr>
          <w:b/>
          <w:bCs/>
        </w:rPr>
        <w:t xml:space="preserve">25.7   Waiver of Jury Trial. </w:t>
      </w:r>
      <w:r>
        <w:t xml:space="preserve">To the maximum extent permitted by law, Landlord and Tenant waive trial by jury in any action arising out of this Lease.</w:t>
      </w:r>
    </w:p>
    <w:p>
      <w:pPr>
        <w:spacing w:before="0" w:after="120"/>
      </w:pPr>
      <w:r>
        <w:rPr>
          <w:b/>
          <w:bCs/>
        </w:rPr>
        <w:t xml:space="preserve">25.8   Time of the Essence. </w:t>
      </w:r>
      <w:r>
        <w:t xml:space="preserve">Time is of the essence with respect to all obligations under this Lease.</w:t>
      </w:r>
    </w:p>
    <w:p>
      <w:pPr>
        <w:spacing w:before="0" w:after="120"/>
      </w:pPr>
      <w:r>
        <w:rPr>
          <w:b/>
          <w:bCs/>
        </w:rPr>
        <w:t xml:space="preserve">25.9   OFAC; Anti-Corruption. </w:t>
      </w:r>
      <w:r>
        <w:t xml:space="preserve">Each party represents that neither it nor any of its principals is on any U.S. government list of prohibited or restricted parties.</w:t>
      </w:r>
    </w:p>
    <w:p>
      <w:pPr>
        <w:spacing w:before="0" w:after="120"/>
      </w:pPr>
      <w:r>
        <w:rPr>
          <w:b/>
          <w:bCs/>
        </w:rPr>
        <w:t xml:space="preserve">25.10   Survival. </w:t>
      </w:r>
      <w:r>
        <w:t xml:space="preserve">Obligations relating to indemnity, environmental matters, surrender, holdover, attorneys' fees, and reconciliation of Operating Expenses survive expiration or termination of this Lease.</w:t>
      </w:r>
    </w:p>
    <w:p>
      <w:pPr>
        <w:spacing w:before="0" w:after="120"/>
      </w:pPr>
      <w:r>
        <w:rPr>
          <w:b/>
          <w:bCs/>
        </w:rPr>
        <w:t xml:space="preserve">25.11   Confidentiality. </w:t>
      </w:r>
      <w:r>
        <w:t xml:space="preserve">Each party shall keep the economic terms of this Lease confidential, except for disclosures to accountants, attorneys, lenders, investors, or as required by law.</w:t>
      </w:r>
    </w:p>
    <w:p>
      <w:pPr>
        <w:spacing w:before="0" w:after="120"/>
      </w:pPr>
      <w:r>
        <w:rPr>
          <w:b/>
          <w:bCs/>
        </w:rPr>
        <w:t xml:space="preserve">25.12   Recording. </w:t>
      </w:r>
      <w:r>
        <w:t xml:space="preserve">Neither party shall record this Lease, but the parties may record a short-form memorandum in a form mutually approved.</w:t>
      </w:r>
    </w:p>
    <w:p>
      <w:pPr>
        <w:spacing w:before="240" w:after="120"/>
      </w:pPr>
      <w:r>
        <w:rPr>
          <w:b/>
          <w:bCs/>
        </w:rPr>
        <w:t xml:space="preserve">IN WITNESS WHEREOF, </w:t>
      </w:r>
      <w:r>
        <w:t xml:space="preserve">Landlord and Tenant have executed this Lease as of the Effective Date.</w:t>
      </w:r>
    </w:p>
    <w:p>
      <w:pPr>
        <w:spacing w:before="0" w:after="120"/>
      </w:pPr>
      <w:r>
        <w:t xml:space="preserve"> </w:t>
      </w:r>
    </w:p>
    <w:p>
      <w:pPr>
        <w:spacing w:before="0" w:after="120"/>
      </w:pPr>
      <w:r>
        <w:rPr>
          <w:b/>
          <w:bCs/>
        </w:rPr>
        <w:t xml:space="preserve">LANDLORD:</w:t>
      </w:r>
    </w:p>
    <w:p>
      <w:pPr>
        <w:spacing w:before="0" w:after="120"/>
      </w:pPr>
      <w:r>
        <w:rPr>
          <w:b/>
          <w:bCs/>
        </w:rPr>
        <w:t xml:space="preserve">BEEHIVE REALTY TRUST,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Cordelia P. Whitcombe</w:t>
      </w:r>
    </w:p>
    <w:p>
      <w:pPr>
        <w:spacing w:before="0" w:after="120"/>
      </w:pPr>
      <w:r>
        <w:t xml:space="preserve">Title: Managing Director, Leasing</w:t>
      </w:r>
    </w:p>
    <w:p>
      <w:pPr>
        <w:spacing w:before="0" w:after="120"/>
      </w:pPr>
      <w:r>
        <w:t xml:space="preserve"> </w:t>
      </w:r>
    </w:p>
    <w:p>
      <w:pPr>
        <w:spacing w:before="0" w:after="120"/>
      </w:pPr>
      <w:r>
        <w:rPr>
          <w:b/>
          <w:bCs/>
        </w:rPr>
        <w:t xml:space="preserve">TENANT:</w:t>
      </w:r>
    </w:p>
    <w:p>
      <w:pPr>
        <w:spacing w:before="0" w:after="120"/>
      </w:pPr>
      <w:r>
        <w:rPr>
          <w:b/>
          <w:bCs/>
        </w:rPr>
        <w:t xml:space="preserve">BRIGHTLINE ACTUARIAL GROUP, LLC,</w:t>
      </w:r>
      <w:r>
        <w:t xml:space="preserve"> a Utah limited liability company</w:t>
      </w:r>
    </w:p>
    <w:p>
      <w:pPr>
        <w:spacing w:before="0" w:after="120"/>
      </w:pPr>
      <w:r>
        <w:t xml:space="preserve"> </w:t>
      </w:r>
    </w:p>
    <w:p>
      <w:pPr>
        <w:spacing w:before="0" w:after="120"/>
      </w:pPr>
      <w:r>
        <w:t xml:space="preserve">By: ___________________________________</w:t>
      </w:r>
    </w:p>
    <w:p>
      <w:pPr>
        <w:spacing w:before="0" w:after="120"/>
      </w:pPr>
      <w:r>
        <w:t xml:space="preserve">Name:  Theodore A. Renwick</w:t>
      </w:r>
    </w:p>
    <w:p>
      <w:pPr>
        <w:spacing w:before="0" w:after="120"/>
      </w:pPr>
      <w:r>
        <w:t xml:space="preserve">Title: President &amp; CEO</w:t>
      </w:r>
    </w:p>
    <w:p>
      <w:r>
        <w:br w:type="page"/>
      </w:r>
    </w:p>
    <w:p>
      <w:pPr>
        <w:jc w:val="center"/>
        <w:spacing w:before="0" w:after="40"/>
      </w:pPr>
      <w:r>
        <w:rPr>
          <w:b/>
          <w:bCs/>
          <w:sz w:val="32"/>
          <w:szCs w:val="32"/>
        </w:rPr>
        <w:t xml:space="preserve">EXHIBIT A</w:t>
      </w:r>
    </w:p>
    <w:p>
      <w:pPr>
        <w:jc w:val="center"/>
        <w:spacing w:before="0" w:after="160"/>
      </w:pPr>
      <w:r>
        <w:rPr>
          <w:b/>
          <w:bCs/>
          <w:sz w:val="26"/>
          <w:szCs w:val="26"/>
        </w:rPr>
        <w:t xml:space="preserve">Depiction of Premises</w:t>
      </w:r>
    </w:p>
    <w:p>
      <w:pPr>
        <w:spacing w:before="0" w:after="120"/>
      </w:pPr>
      <w:r>
        <w:t xml:space="preserve">The Premises consist of Suite 410 on the fourth floor of the Cobalt Pines Building, located at 9425 South Quarry Bend Road, Sandy, Utah 84070, containing approximately 4,820 rentable square feet, as depicted below. The depiction is illustrative and not a survey; in the event of a measurable discrepancy, the rentable square footage in Article 1 controls.</w:t>
      </w:r>
    </w:p>
    <w:p>
      <w:pPr>
        <w:jc w:val="center"/>
        <w:spacing w:before="120" w:after="120"/>
      </w:pPr>
      <w:r>
        <w:drawing>
          <wp:inline distT="0" distB="0" distL="0" distR="0">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Pic1"/>
                    <a:stretch>
                      <a:fillRect/>
                    </a:stretch>
                  </pic:blipFill>
                  <pic:spPr>
                    <a:xfrm>
                      <a:off x="0" y="0"/>
                      <a:ext cx="5943600" cy="3962400"/>
                    </a:xfrm>
                    <a:prstGeom prst="rect">
                      <a:avLst/>
                    </a:prstGeom>
                  </pic:spPr>
                </pic:pic>
              </a:graphicData>
            </a:graphic>
          </wp:inline>
        </w:drawing>
      </w:r>
    </w:p>
    <w:p>
      <w:r>
        <w:br w:type="page"/>
      </w:r>
    </w:p>
    <w:p>
      <w:pPr>
        <w:jc w:val="center"/>
        <w:spacing w:before="0" w:after="40"/>
      </w:pPr>
      <w:r>
        <w:rPr>
          <w:b/>
          <w:bCs/>
          <w:sz w:val="32"/>
          <w:szCs w:val="32"/>
        </w:rPr>
        <w:t xml:space="preserve">EXHIBIT B</w:t>
      </w:r>
    </w:p>
    <w:p>
      <w:pPr>
        <w:jc w:val="center"/>
        <w:spacing w:before="0" w:after="160"/>
      </w:pPr>
      <w:r>
        <w:rPr>
          <w:b/>
          <w:bCs/>
          <w:sz w:val="26"/>
          <w:szCs w:val="26"/>
        </w:rPr>
        <w:t xml:space="preserve">Surrender Requirements</w:t>
      </w:r>
    </w:p>
    <w:p>
      <w:pPr>
        <w:spacing w:before="0" w:after="120"/>
      </w:pPr>
      <w:r>
        <w:t xml:space="preserve">On or before the Expiration Date, Tenant shall, at its sole cost:</w:t>
      </w:r>
    </w:p>
    <w:p>
      <w:pPr>
        <w:spacing w:before="0" w:after="120"/>
      </w:pPr>
      <w:r>
        <w:t xml:space="preserve">1.   Remove all personal property, equipment, supplies, signage, and any alterations Landlord required Tenant to remove at the time consent was granted.</w:t>
      </w:r>
    </w:p>
    <w:p>
      <w:pPr>
        <w:spacing w:before="0" w:after="120"/>
      </w:pPr>
      <w:r>
        <w:t xml:space="preserve">2.   Remove all low-voltage cabling, data and telecom cabling, and any wireless access points installed by or for Tenant, including cabling above the ceiling grid and in vertical risers serving the Premises.</w:t>
      </w:r>
    </w:p>
    <w:p>
      <w:pPr>
        <w:spacing w:before="0" w:after="120"/>
      </w:pPr>
      <w:r>
        <w:t xml:space="preserve">3.   Patch and paint all wall penetrations caused by Tenant's use, including monitor mounts, shelving, and signage anchors.</w:t>
      </w:r>
    </w:p>
    <w:p>
      <w:pPr>
        <w:spacing w:before="0" w:after="120"/>
      </w:pPr>
      <w:r>
        <w:t xml:space="preserve">4.   Repair any damage to flooring, ceilings, doors, and finishes caused by Tenant's installation, use, or removal.</w:t>
      </w:r>
    </w:p>
    <w:p>
      <w:pPr>
        <w:spacing w:before="0" w:after="120"/>
      </w:pPr>
      <w:r>
        <w:t xml:space="preserve">5.   Deliver the Premises broom-clean, free of trash and debris.</w:t>
      </w:r>
    </w:p>
    <w:p>
      <w:pPr>
        <w:spacing w:before="0" w:after="120"/>
      </w:pPr>
      <w:r>
        <w:t xml:space="preserve">6.   Surrender all keys, key cards, fobs, access codes, and alarm credentials.</w:t>
      </w:r>
    </w:p>
    <w:p>
      <w:pPr>
        <w:spacing w:before="0" w:after="120"/>
      </w:pPr>
      <w:r>
        <w:t xml:space="preserve">7.   Terminate all utility accounts in Tenant's name and provide copies of final-statement confirmations.</w:t>
      </w:r>
    </w:p>
    <w:p>
      <w:pPr>
        <w:spacing w:before="0" w:after="120"/>
      </w:pPr>
      <w:r>
        <w:t xml:space="preserve">8.   Provide Landlord with copies of as-built drawings, equipment manuals, and warranty assignments for any Tenant-installed systems that remain in the Premises.</w:t>
      </w:r>
    </w:p>
    <w:p>
      <w:r>
        <w:br w:type="page"/>
      </w:r>
    </w:p>
    <w:p>
      <w:pPr>
        <w:jc w:val="center"/>
        <w:spacing w:before="0" w:after="40"/>
      </w:pPr>
      <w:r>
        <w:rPr>
          <w:b/>
          <w:bCs/>
          <w:sz w:val="32"/>
          <w:szCs w:val="32"/>
        </w:rPr>
        <w:t xml:space="preserve">EXHIBIT C</w:t>
      </w:r>
    </w:p>
    <w:p>
      <w:pPr>
        <w:jc w:val="center"/>
        <w:spacing w:before="0" w:after="160"/>
      </w:pPr>
      <w:r>
        <w:rPr>
          <w:b/>
          <w:bCs/>
          <w:sz w:val="26"/>
          <w:szCs w:val="26"/>
        </w:rPr>
        <w:t xml:space="preserve">Rules and Regulations</w:t>
      </w:r>
    </w:p>
    <w:p>
      <w:pPr>
        <w:spacing w:before="0" w:after="120"/>
      </w:pPr>
      <w:r>
        <w:t xml:space="preserve">1.   Common areas shall be used only for their intended purposes. Tenant shall not store items, place furniture, or conduct business in lobbies, corridors, stairwells, or elevators.</w:t>
      </w:r>
    </w:p>
    <w:p>
      <w:pPr>
        <w:spacing w:before="0" w:after="120"/>
      </w:pPr>
      <w:r>
        <w:t xml:space="preserve">2.   Smoking, vaping, and the use of cannabis products are prohibited on the Property, except in designated outdoor smoking areas (if any).</w:t>
      </w:r>
    </w:p>
    <w:p>
      <w:pPr>
        <w:spacing w:before="0" w:after="120"/>
      </w:pPr>
      <w:r>
        <w:t xml:space="preserve">3.   Building hours are 7:00 a.m. to 7:00 p.m. Monday through Friday and 8:00 a.m. to 1:00 p.m. Saturday, excluding Building holidays. Access outside Building hours is by card key only.</w:t>
      </w:r>
    </w:p>
    <w:p>
      <w:pPr>
        <w:spacing w:before="0" w:after="120"/>
      </w:pPr>
      <w:r>
        <w:t xml:space="preserve">4.   After-hours HVAC may be requested with at least four (4) hours' notice at the then-current Building-standard rate (currently $45 per hour per zone).</w:t>
      </w:r>
    </w:p>
    <w:p>
      <w:pPr>
        <w:spacing w:before="0" w:after="120"/>
      </w:pPr>
      <w:r>
        <w:t xml:space="preserve">5.   Parking is on a first-come basis in designated tenant areas. Vehicles shall not be parked overnight without Landlord's consent. Bicycles shall be stored only in designated racks.</w:t>
      </w:r>
    </w:p>
    <w:p>
      <w:pPr>
        <w:spacing w:before="0" w:after="120"/>
      </w:pPr>
      <w:r>
        <w:t xml:space="preserve">6.   Deliveries of furniture, large equipment, and bulk supplies shall be scheduled through Building management and made via the service elevator.</w:t>
      </w:r>
    </w:p>
    <w:p>
      <w:pPr>
        <w:spacing w:before="0" w:after="120"/>
      </w:pPr>
      <w:r>
        <w:t xml:space="preserve">7.   Pets are not permitted in the Building, except (a) service animals as required by Law and (b) leashed dogs in tenant-only outdoor patio areas.</w:t>
      </w:r>
    </w:p>
    <w:p>
      <w:pPr>
        <w:spacing w:before="0" w:after="120"/>
      </w:pPr>
      <w:r>
        <w:t xml:space="preserve">8.   Tenant shall not install space heaters, residential-style appliances, or any equipment that would overload the Building's electrical capacity without Landlord's consent.</w:t>
      </w:r>
    </w:p>
    <w:p>
      <w:pPr>
        <w:spacing w:before="0" w:after="120"/>
      </w:pPr>
      <w:r>
        <w:t xml:space="preserve">9.   Trash shall be deposited only in designated receptacles. Recycling and confidential-document shredding bins shall be used as labeled.</w:t>
      </w:r>
    </w:p>
    <w:p>
      <w:pPr>
        <w:spacing w:before="0" w:after="120"/>
      </w:pPr>
      <w:r>
        <w:t xml:space="preserve">10.   Tenant shall not place signs, lettering, or window coverings visible from outside the Premises without Landlord's consent.</w:t>
      </w:r>
    </w:p>
    <w:p>
      <w:r>
        <w:br w:type="page"/>
      </w:r>
    </w:p>
    <w:p>
      <w:pPr>
        <w:jc w:val="center"/>
        <w:spacing w:before="0" w:after="40"/>
      </w:pPr>
      <w:r>
        <w:rPr>
          <w:b/>
          <w:bCs/>
          <w:sz w:val="32"/>
          <w:szCs w:val="32"/>
        </w:rPr>
        <w:t xml:space="preserve">EXHIBIT D</w:t>
      </w:r>
    </w:p>
    <w:p>
      <w:pPr>
        <w:jc w:val="center"/>
        <w:spacing w:before="0" w:after="160"/>
      </w:pPr>
      <w:r>
        <w:rPr>
          <w:b/>
          <w:bCs/>
          <w:sz w:val="26"/>
          <w:szCs w:val="26"/>
        </w:rPr>
        <w:t xml:space="preserve">Tenant Contact Information</w:t>
      </w:r>
    </w:p>
    <w:p>
      <w:pPr>
        <w:spacing w:before="0" w:after="120"/>
      </w:pPr>
      <w:r>
        <w:t xml:space="preserve">Tenant shall maintain the following primary contact for all operational, emergency, insurance, and accounting matters under this Lease, and shall provide written notice of any change within ten (10) business days.</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000"/>
        <w:gridCol w:w="6500"/>
      </w:tblGrid>
      <w:tr>
        <w:tc>
          <w:tcPr>
            <w:tcW w:w="3000" w:type="dxa"/>
            <w:shd w:val="clear" w:color="auto" w:fill="E5E7EB"/>
          </w:tcPr>
          <w:p>
            <w:pPr>
              <w:spacing w:before="0" w:after="60"/>
            </w:pPr>
            <w:r>
              <w:rPr>
                <w:b/>
                <w:bCs/>
              </w:rPr>
              <w:t xml:space="preserve">Field</w:t>
            </w:r>
          </w:p>
        </w:tc>
        <w:tc>
          <w:tcPr>
            <w:tcW w:w="6500" w:type="dxa"/>
            <w:shd w:val="clear" w:color="auto" w:fill="E5E7EB"/>
          </w:tcPr>
          <w:p>
            <w:pPr>
              <w:spacing w:before="0" w:after="60"/>
            </w:pPr>
            <w:r>
              <w:rPr>
                <w:b/>
                <w:bCs/>
              </w:rPr>
              <w:t xml:space="preserve">Information</w:t>
            </w:r>
          </w:p>
        </w:tc>
      </w:tr>
      <w:tr>
        <w:tc>
          <w:tcPr>
            <w:tcW w:w="3000" w:type="dxa"/>
          </w:tcPr>
          <w:p>
            <w:pPr>
              <w:spacing w:before="0" w:after="60"/>
            </w:pPr>
            <w:r>
              <w:t xml:space="preserve">Name</w:t>
            </w:r>
          </w:p>
        </w:tc>
        <w:tc>
          <w:tcPr>
            <w:tcW w:w="6500" w:type="dxa"/>
          </w:tcPr>
          <w:p>
            <w:pPr>
              <w:spacing w:before="0" w:after="60"/>
            </w:pPr>
            <w:r>
              <w:t xml:space="preserve">Maren K. Holloway</w:t>
            </w:r>
          </w:p>
        </w:tc>
      </w:tr>
      <w:tr>
        <w:tc>
          <w:tcPr>
            <w:tcW w:w="3000" w:type="dxa"/>
          </w:tcPr>
          <w:p>
            <w:pPr>
              <w:spacing w:before="0" w:after="60"/>
            </w:pPr>
            <w:r>
              <w:t xml:space="preserve">Title</w:t>
            </w:r>
          </w:p>
        </w:tc>
        <w:tc>
          <w:tcPr>
            <w:tcW w:w="6500" w:type="dxa"/>
          </w:tcPr>
          <w:p>
            <w:pPr>
              <w:spacing w:before="0" w:after="60"/>
            </w:pPr>
            <w:r>
              <w:t xml:space="preserve">Director of Operations</w:t>
            </w:r>
          </w:p>
        </w:tc>
      </w:tr>
      <w:tr>
        <w:tc>
          <w:tcPr>
            <w:tcW w:w="3000" w:type="dxa"/>
          </w:tcPr>
          <w:p>
            <w:pPr>
              <w:spacing w:before="0" w:after="60"/>
            </w:pPr>
            <w:r>
              <w:t xml:space="preserve">Business Phone</w:t>
            </w:r>
          </w:p>
        </w:tc>
        <w:tc>
          <w:tcPr>
            <w:tcW w:w="6500" w:type="dxa"/>
          </w:tcPr>
          <w:p>
            <w:pPr>
              <w:spacing w:before="0" w:after="60"/>
            </w:pPr>
            <w:r>
              <w:t xml:space="preserve">(801) 555-0142</w:t>
            </w:r>
          </w:p>
        </w:tc>
      </w:tr>
      <w:tr>
        <w:tc>
          <w:tcPr>
            <w:tcW w:w="3000" w:type="dxa"/>
          </w:tcPr>
          <w:p>
            <w:pPr>
              <w:spacing w:before="0" w:after="60"/>
            </w:pPr>
            <w:r>
              <w:t xml:space="preserve">Mobile / After-Hours Phone</w:t>
            </w:r>
          </w:p>
        </w:tc>
        <w:tc>
          <w:tcPr>
            <w:tcW w:w="6500" w:type="dxa"/>
          </w:tcPr>
          <w:p>
            <w:pPr>
              <w:spacing w:before="0" w:after="60"/>
            </w:pPr>
            <w:r>
              <w:t xml:space="preserve">(801) 555-0188</w:t>
            </w:r>
          </w:p>
        </w:tc>
      </w:tr>
      <w:tr>
        <w:tc>
          <w:tcPr>
            <w:tcW w:w="3000" w:type="dxa"/>
          </w:tcPr>
          <w:p>
            <w:pPr>
              <w:spacing w:before="0" w:after="60"/>
            </w:pPr>
            <w:r>
              <w:t xml:space="preserve">Email</w:t>
            </w:r>
          </w:p>
        </w:tc>
        <w:tc>
          <w:tcPr>
            <w:tcW w:w="6500" w:type="dxa"/>
          </w:tcPr>
          <w:p>
            <w:pPr>
              <w:spacing w:before="0" w:after="60"/>
            </w:pPr>
            <w:r>
              <w:t xml:space="preserve">mholloway@brightlineactuarial.example</w:t>
            </w:r>
          </w:p>
        </w:tc>
      </w:tr>
      <w:tr>
        <w:tc>
          <w:tcPr>
            <w:tcW w:w="3000" w:type="dxa"/>
          </w:tcPr>
          <w:p>
            <w:pPr>
              <w:spacing w:before="0" w:after="60"/>
            </w:pPr>
            <w:r>
              <w:t xml:space="preserve">Mailing Address</w:t>
            </w:r>
          </w:p>
        </w:tc>
        <w:tc>
          <w:tcPr>
            <w:tcW w:w="6500" w:type="dxa"/>
          </w:tcPr>
          <w:p>
            <w:pPr>
              <w:spacing w:before="0" w:after="60"/>
            </w:pPr>
            <w:r>
              <w:t xml:space="preserve">Brightline Actuarial Group, LLC, Suite 410, 9425 South Quarry Bend Road, Sandy, UT 84070</w:t>
            </w:r>
          </w:p>
        </w:tc>
      </w:tr>
      <w:tr>
        <w:tc>
          <w:tcPr>
            <w:tcW w:w="3000" w:type="dxa"/>
          </w:tcPr>
          <w:p>
            <w:pPr>
              <w:spacing w:before="0" w:after="60"/>
            </w:pPr>
            <w:r>
              <w:t xml:space="preserve">Backup Contact (informational only)</w:t>
            </w:r>
          </w:p>
        </w:tc>
        <w:tc>
          <w:tcPr>
            <w:tcW w:w="6500" w:type="dxa"/>
          </w:tcPr>
          <w:p>
            <w:pPr>
              <w:spacing w:before="0" w:after="60"/>
            </w:pPr>
            <w:r>
              <w:t xml:space="preserve">Operations general line: (801) 555-0140; ops@brightlineactuarial.example</w:t>
            </w:r>
          </w:p>
        </w:tc>
      </w:tr>
    </w:tbl>
    <w:p>
      <w:pPr>
        <w:spacing w:before="0" w:after="80"/>
      </w:pPr>
    </w:p>
    <w:p>
      <w:r>
        <w:br w:type="page"/>
      </w:r>
    </w:p>
    <w:p>
      <w:pPr>
        <w:jc w:val="center"/>
        <w:spacing w:before="0" w:after="40"/>
      </w:pPr>
      <w:r>
        <w:rPr>
          <w:b/>
          <w:bCs/>
          <w:sz w:val="32"/>
          <w:szCs w:val="32"/>
        </w:rPr>
        <w:t xml:space="preserve">EXHIBIT E</w:t>
      </w:r>
    </w:p>
    <w:p>
      <w:pPr>
        <w:jc w:val="center"/>
        <w:spacing w:before="0" w:after="160"/>
      </w:pPr>
      <w:r>
        <w:rPr>
          <w:b/>
          <w:bCs/>
          <w:sz w:val="26"/>
          <w:szCs w:val="26"/>
        </w:rPr>
        <w:t xml:space="preserve">Sign Specifications</w:t>
      </w:r>
    </w:p>
    <w:p>
      <w:pPr>
        <w:spacing w:before="0" w:after="120"/>
      </w:pPr>
      <w:r>
        <w:rPr>
          <w:b/>
          <w:bCs/>
        </w:rPr>
        <w:t xml:space="preserve">Suite-Entry Sign. </w:t>
      </w:r>
      <w:r>
        <w:t xml:space="preserve">One (1) Building-standard suite-entry plaque located at the primary Premises entry door, 8" × 14", brushed-aluminum face with charcoal vinyl lettering, displaying Tenant's legal name or approved trade name. Landlord fabricates and installs; Tenant pays the actual cost (currently $385).</w:t>
      </w:r>
    </w:p>
    <w:p>
      <w:pPr>
        <w:spacing w:before="0" w:after="120"/>
      </w:pPr>
      <w:r>
        <w:rPr>
          <w:b/>
          <w:bCs/>
        </w:rPr>
        <w:t xml:space="preserve">Lobby Directory. </w:t>
      </w:r>
      <w:r>
        <w:t xml:space="preserve">One (1) line on the main-lobby electronic directory, displaying Tenant's legal name and suite number. No charge.</w:t>
      </w:r>
    </w:p>
    <w:p>
      <w:pPr>
        <w:spacing w:before="0" w:after="120"/>
      </w:pPr>
      <w:r>
        <w:rPr>
          <w:b/>
          <w:bCs/>
        </w:rPr>
        <w:t xml:space="preserve">Exterior Signage. </w:t>
      </w:r>
      <w:r>
        <w:t xml:space="preserve">Not permitted under this Lease.</w:t>
      </w:r>
    </w:p>
    <w:p>
      <w:pPr>
        <w:spacing w:before="0" w:after="120"/>
      </w:pPr>
      <w:r>
        <w:rPr>
          <w:b/>
          <w:bCs/>
        </w:rPr>
        <w:t xml:space="preserve">Removal. </w:t>
      </w:r>
      <w:r>
        <w:t xml:space="preserve">Tenant shall remove all suite-entry signage and any approved interior signage visible from common areas on or before the Expiration Date and shall repair any damage caused by such removal.</w:t>
      </w:r>
    </w:p>
    <w:p>
      <w:r>
        <w:br w:type="page"/>
      </w:r>
    </w:p>
    <w:p>
      <w:pPr>
        <w:jc w:val="center"/>
        <w:spacing w:before="0" w:after="40"/>
      </w:pPr>
      <w:r>
        <w:rPr>
          <w:b/>
          <w:bCs/>
          <w:sz w:val="32"/>
          <w:szCs w:val="32"/>
        </w:rPr>
        <w:t xml:space="preserve">EXHIBIT F</w:t>
      </w:r>
    </w:p>
    <w:p>
      <w:pPr>
        <w:jc w:val="center"/>
        <w:spacing w:before="0" w:after="160"/>
      </w:pPr>
      <w:r>
        <w:rPr>
          <w:b/>
          <w:bCs/>
          <w:sz w:val="26"/>
          <w:szCs w:val="26"/>
        </w:rPr>
        <w:t xml:space="preserve">Confirmation of Commencement Date</w:t>
      </w:r>
    </w:p>
    <w:p>
      <w:pPr>
        <w:spacing w:before="0" w:after="120"/>
      </w:pPr>
      <w:r>
        <w:t xml:space="preserve">Reference is made to that certain Office Lease dated September 18, 2026 (the "Lease") between Beehive Realty Trust, LLC, as Landlord, and Brightline Actuarial Group, LLC, as Tenant, covering Suite 410 of the Cobalt Pines Building, 9425 South Quarry Bend Road, Sandy, Utah 84070. Landlord and Tenant confirm:</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3500"/>
        <w:gridCol w:w="6000"/>
      </w:tblGrid>
      <w:tr>
        <w:tc>
          <w:tcPr>
            <w:tcW w:w="3500" w:type="dxa"/>
            <w:shd w:val="clear" w:color="auto" w:fill="E5E7EB"/>
          </w:tcPr>
          <w:p>
            <w:pPr>
              <w:spacing w:before="0" w:after="60"/>
            </w:pPr>
            <w:r>
              <w:rPr>
                <w:b/>
                <w:bCs/>
              </w:rPr>
              <w:t xml:space="preserve">Item</w:t>
            </w:r>
          </w:p>
        </w:tc>
        <w:tc>
          <w:tcPr>
            <w:tcW w:w="6000" w:type="dxa"/>
            <w:shd w:val="clear" w:color="auto" w:fill="E5E7EB"/>
          </w:tcPr>
          <w:p>
            <w:pPr>
              <w:spacing w:before="0" w:after="60"/>
            </w:pPr>
            <w:r>
              <w:rPr>
                <w:b/>
                <w:bCs/>
              </w:rPr>
              <w:t xml:space="preserve">Confirmed</w:t>
            </w:r>
          </w:p>
        </w:tc>
      </w:tr>
      <w:tr>
        <w:tc>
          <w:tcPr>
            <w:tcW w:w="3500" w:type="dxa"/>
          </w:tcPr>
          <w:p>
            <w:pPr>
              <w:spacing w:before="0" w:after="60"/>
            </w:pPr>
            <w:r>
              <w:t xml:space="preserve">Commencement Date</w:t>
            </w:r>
          </w:p>
        </w:tc>
        <w:tc>
          <w:tcPr>
            <w:tcW w:w="6000" w:type="dxa"/>
          </w:tcPr>
          <w:p>
            <w:pPr>
              <w:spacing w:before="0" w:after="60"/>
            </w:pPr>
            <w:r>
              <w:t xml:space="preserve">______________, 2026</w:t>
            </w:r>
          </w:p>
        </w:tc>
      </w:tr>
      <w:tr>
        <w:tc>
          <w:tcPr>
            <w:tcW w:w="3500" w:type="dxa"/>
          </w:tcPr>
          <w:p>
            <w:pPr>
              <w:spacing w:before="0" w:after="60"/>
            </w:pPr>
            <w:r>
              <w:t xml:space="preserve">Rent Commencement Date</w:t>
            </w:r>
          </w:p>
        </w:tc>
        <w:tc>
          <w:tcPr>
            <w:tcW w:w="6000" w:type="dxa"/>
          </w:tcPr>
          <w:p>
            <w:pPr>
              <w:spacing w:before="0" w:after="60"/>
            </w:pPr>
            <w:r>
              <w:t xml:space="preserve">December 1, 2026</w:t>
            </w:r>
          </w:p>
        </w:tc>
      </w:tr>
      <w:tr>
        <w:tc>
          <w:tcPr>
            <w:tcW w:w="3500" w:type="dxa"/>
          </w:tcPr>
          <w:p>
            <w:pPr>
              <w:spacing w:before="0" w:after="60"/>
            </w:pPr>
            <w:r>
              <w:t xml:space="preserve">Expiration Date</w:t>
            </w:r>
          </w:p>
        </w:tc>
        <w:tc>
          <w:tcPr>
            <w:tcW w:w="6000" w:type="dxa"/>
          </w:tcPr>
          <w:p>
            <w:pPr>
              <w:spacing w:before="0" w:after="60"/>
            </w:pPr>
            <w:r>
              <w:t xml:space="preserve">______________, 2031</w:t>
            </w:r>
          </w:p>
        </w:tc>
      </w:tr>
      <w:tr>
        <w:tc>
          <w:tcPr>
            <w:tcW w:w="3500" w:type="dxa"/>
          </w:tcPr>
          <w:p>
            <w:pPr>
              <w:spacing w:before="0" w:after="60"/>
            </w:pPr>
            <w:r>
              <w:t xml:space="preserve">Premises RSF</w:t>
            </w:r>
          </w:p>
        </w:tc>
        <w:tc>
          <w:tcPr>
            <w:tcW w:w="6000" w:type="dxa"/>
          </w:tcPr>
          <w:p>
            <w:pPr>
              <w:spacing w:before="0" w:after="60"/>
            </w:pPr>
            <w:r>
              <w:t xml:space="preserve">4,820</w:t>
            </w:r>
          </w:p>
        </w:tc>
      </w:tr>
      <w:tr>
        <w:tc>
          <w:tcPr>
            <w:tcW w:w="3500" w:type="dxa"/>
          </w:tcPr>
          <w:p>
            <w:pPr>
              <w:spacing w:before="0" w:after="60"/>
            </w:pPr>
            <w:r>
              <w:t xml:space="preserve">Tenant Proportionate Share</w:t>
            </w:r>
          </w:p>
        </w:tc>
        <w:tc>
          <w:tcPr>
            <w:tcW w:w="6000" w:type="dxa"/>
          </w:tcPr>
          <w:p>
            <w:pPr>
              <w:spacing w:before="0" w:after="60"/>
            </w:pPr>
            <w:r>
              <w:t xml:space="preserve">6.14%</w:t>
            </w:r>
          </w:p>
        </w:tc>
      </w:tr>
      <w:tr>
        <w:tc>
          <w:tcPr>
            <w:tcW w:w="3500" w:type="dxa"/>
          </w:tcPr>
          <w:p>
            <w:pPr>
              <w:spacing w:before="0" w:after="60"/>
            </w:pPr>
            <w:r>
              <w:t xml:space="preserve">Landlord Turnover Work Complete</w:t>
            </w:r>
          </w:p>
        </w:tc>
        <w:tc>
          <w:tcPr>
            <w:tcW w:w="6000" w:type="dxa"/>
          </w:tcPr>
          <w:p>
            <w:pPr>
              <w:spacing w:before="0" w:after="60"/>
            </w:pPr>
            <w:r>
              <w:t xml:space="preserve">☐ Yes   ☐ Yes, subject to attached punch list   ☐ No</w:t>
            </w:r>
          </w:p>
        </w:tc>
      </w:tr>
    </w:tbl>
    <w:p>
      <w:pPr>
        <w:spacing w:before="0" w:after="80"/>
      </w:pPr>
    </w:p>
    <w:p>
      <w:pPr>
        <w:spacing w:before="0" w:after="120"/>
      </w:pPr>
      <w:r>
        <w:t xml:space="preserve">Tenant accepts the Premises in their delivered condition, subject only to any attached punch-list items, and confirms that the Lease is in full force and effect, with no Defaults known to Tenant as of the date of this Confirmation.</w:t>
      </w:r>
    </w:p>
    <w:p>
      <w:pPr>
        <w:spacing w:before="0" w:after="120"/>
      </w:pPr>
      <w:r>
        <w:t xml:space="preserve"> </w:t>
      </w:r>
    </w:p>
    <w:p>
      <w:pPr>
        <w:spacing w:before="0" w:after="120"/>
      </w:pPr>
      <w:r>
        <w:t xml:space="preserve">LANDLORD:  Beehive Realty Trust, LLC</w:t>
      </w:r>
    </w:p>
    <w:p>
      <w:pPr>
        <w:spacing w:before="0" w:after="120"/>
      </w:pPr>
      <w:r>
        <w:t xml:space="preserve">By: ___________________________  Date: ____________</w:t>
      </w:r>
    </w:p>
    <w:p>
      <w:pPr>
        <w:spacing w:before="0" w:after="120"/>
      </w:pPr>
      <w:r>
        <w:t xml:space="preserve"> </w:t>
      </w:r>
    </w:p>
    <w:p>
      <w:pPr>
        <w:spacing w:before="0" w:after="120"/>
      </w:pPr>
      <w:r>
        <w:t xml:space="preserve">TENANT:  Brightline Actuarial Group, LLC</w:t>
      </w:r>
    </w:p>
    <w:p>
      <w:pPr>
        <w:spacing w:before="0" w:after="120"/>
      </w:pPr>
      <w:r>
        <w:t xml:space="preserve">By: ___________________________  Date: ____________</w:t>
      </w:r>
    </w:p>
    <w:p>
      <w:r>
        <w:br w:type="page"/>
      </w:r>
    </w:p>
    <w:p>
      <w:pPr>
        <w:jc w:val="center"/>
        <w:spacing w:before="0" w:after="40"/>
      </w:pPr>
      <w:r>
        <w:rPr>
          <w:b/>
          <w:bCs/>
          <w:sz w:val="32"/>
          <w:szCs w:val="32"/>
        </w:rPr>
        <w:t xml:space="preserve">EXHIBIT I</w:t>
      </w:r>
    </w:p>
    <w:p>
      <w:pPr>
        <w:jc w:val="center"/>
        <w:spacing w:before="0" w:after="160"/>
      </w:pPr>
      <w:r>
        <w:rPr>
          <w:b/>
          <w:bCs/>
          <w:sz w:val="26"/>
          <w:szCs w:val="26"/>
        </w:rPr>
        <w:t xml:space="preserve">Utah-Specific Provisions</w:t>
      </w:r>
    </w:p>
    <w:p>
      <w:pPr>
        <w:spacing w:before="0" w:after="120"/>
      </w:pPr>
      <w:r>
        <w:rPr>
          <w:b/>
          <w:bCs/>
        </w:rPr>
        <w:t xml:space="preserve">I.1   Governing Law. </w:t>
      </w:r>
      <w:r>
        <w:t xml:space="preserve">This Lease is governed by, and shall be construed under, the laws of the State of Utah. The parties acknowledge that Utah does not impose a state-level sales or rent tax on the lease of commercial real property as of the Effective Date; if any such tax is hereafter imposed and is required by Law to be paid by tenants, Tenant shall pay such tax with respect to Rent payable under this Lease.</w:t>
      </w:r>
    </w:p>
    <w:p>
      <w:pPr>
        <w:spacing w:before="0" w:after="120"/>
      </w:pPr>
      <w:r>
        <w:rPr>
          <w:b/>
          <w:bCs/>
        </w:rPr>
        <w:t xml:space="preserve">I.2   Mechanics' Liens. </w:t>
      </w:r>
      <w:r>
        <w:t xml:space="preserve">Tenant shall keep the Premises and the Property free from any mechanics', materialmen's, or similar liens arising out of work performed for or at the request of Tenant. Tenant shall cause any such lien to be released or bonded within thirty (30) days after notice or filing in accordance with Utah Code §38-1a et seq. Landlord may post and maintain on the Property notices of non-responsibility as permitted by Utah law.</w:t>
      </w:r>
    </w:p>
    <w:p>
      <w:pPr>
        <w:spacing w:before="0" w:after="120"/>
      </w:pPr>
      <w:r>
        <w:rPr>
          <w:b/>
          <w:bCs/>
        </w:rPr>
        <w:t xml:space="preserve">I.3   Security Deposit. </w:t>
      </w:r>
      <w:r>
        <w:t xml:space="preserve">Landlord may commingle the Security Deposit with its other funds and is not required to pay interest on the Security Deposit, in accordance with Utah law as applied to commercial leases.</w:t>
      </w:r>
    </w:p>
    <w:p>
      <w:pPr>
        <w:spacing w:before="0" w:after="120"/>
      </w:pPr>
      <w:r>
        <w:rPr>
          <w:b/>
          <w:bCs/>
        </w:rPr>
        <w:t xml:space="preserve">I.4   Service of Process. </w:t>
      </w:r>
      <w:r>
        <w:t xml:space="preserve">Tenant consents to service of process by certified mail at the Tenant Notice Address in Article 1 in any action arising out of this Lease.</w:t>
      </w:r>
    </w:p>
    <w:p>
      <w:pPr>
        <w:spacing w:before="0" w:after="120"/>
      </w:pPr>
      <w:r>
        <w:rPr>
          <w:b/>
          <w:bCs/>
        </w:rPr>
        <w:t xml:space="preserve">I.5   Reference Proceedings; Jury Trial. </w:t>
      </w:r>
      <w:r>
        <w:t xml:space="preserve">The waiver of jury trial in Section 25.7 is intended to be enforceable to the maximum extent permitted by Utah law.</w:t>
      </w:r>
    </w:p>
    <w:p>
      <w:pPr>
        <w:spacing w:before="0" w:after="120"/>
      </w:pPr>
      <w:r>
        <w:rPr>
          <w:b/>
          <w:bCs/>
        </w:rPr>
        <w:t xml:space="preserve">I.6   Broker Disclosure. </w:t>
      </w:r>
      <w:r>
        <w:t xml:space="preserve">Landlord and Tenant acknowledge that the Tenant Broker represents Tenant's interests and that the Landlord Broker (Beehive Realty Trust, LLC, acting in-house) represents Landlord's interests, consistent with the agency disclosures required by the Utah Division of Real Estate.</w:t>
      </w:r>
    </w:p>
    <w:p>
      <w:pPr>
        <w:spacing w:before="0" w:after="120"/>
      </w:pPr>
      <w:r>
        <w:rPr>
          <w:b/>
          <w:bCs/>
        </w:rPr>
        <w:t xml:space="preserve">I.7   Snow and Ice. </w:t>
      </w:r>
      <w:r>
        <w:t xml:space="preserve">Landlord shall be responsible, as an Operating Expense, for snow and ice removal in the Building's parking areas, sidewalks, and primary points of entry, in accordance with applicable Sandy City ordinances.</w:t>
      </w:r>
    </w:p>
    <w:p>
      <w:pPr>
        <w:spacing w:before="0" w:after="120"/>
      </w:pPr>
      <w:r>
        <w:rPr>
          <w:b/>
          <w:bCs/>
        </w:rPr>
        <w:t xml:space="preserve">I.8   Accessibility. </w:t>
      </w:r>
      <w:r>
        <w:t xml:space="preserve">Landlord shall be responsible for ADA and Utah accessibility compliance in the Building's common areas. Tenant shall be responsible for ADA and Utah accessibility compliance with respect to the interior of the Premises, including alterations performed by or for Tenant.</w:t>
      </w:r>
    </w:p>
    <w:p>
      <w:r>
        <w:br w:type="page"/>
      </w:r>
    </w:p>
    <w:p>
      <w:pPr>
        <w:jc w:val="center"/>
        <w:spacing w:before="0" w:after="40"/>
      </w:pPr>
      <w:r>
        <w:rPr>
          <w:b/>
          <w:bCs/>
          <w:sz w:val="32"/>
          <w:szCs w:val="32"/>
        </w:rPr>
        <w:t xml:space="preserve">APPENDIX 1</w:t>
      </w:r>
    </w:p>
    <w:p>
      <w:pPr>
        <w:jc w:val="center"/>
        <w:spacing w:before="0" w:after="160"/>
      </w:pPr>
      <w:r>
        <w:rPr>
          <w:b/>
          <w:bCs/>
          <w:sz w:val="26"/>
          <w:szCs w:val="26"/>
        </w:rPr>
        <w:t xml:space="preserve">Deal Summary and Drafting Notes</w:t>
      </w:r>
    </w:p>
    <w:p>
      <w:pPr>
        <w:spacing w:before="0" w:after="120"/>
      </w:pPr>
      <w:r>
        <w:rPr>
          <w:b/>
          <w:bCs/>
          <w:sz w:val="24"/>
          <w:szCs w:val="24"/>
        </w:rPr>
        <w:t xml:space="preserve">Description. </w:t>
      </w:r>
    </w:p>
    <w:p>
      <w:pPr>
        <w:spacing w:before="0" w:after="120"/>
      </w:pPr>
      <w:r>
        <w:t xml:space="preserve">This Lease is a five-year, multi-tenant office lease for Suite 410 of the Cobalt Pines Building, a four-story Class B office property owned by Beehive Realty Trust, LLC and located in Sandy, Utah. The Tenant, Brightline Actuarial Group, LLC, is a Utah-based professional services firm engaged in actuarial consulting. The transaction is straightforward: as-is delivery with limited Landlord Turnover Work; two months of free Base Rent; 3% annual escalations; a cash security deposit; and Tenant pays its proportionate share of Operating Expenses with a 5% cap on Controllable Operating Expenses after the base year.</w:t>
      </w:r>
    </w:p>
    <w:p>
      <w:pPr>
        <w:spacing w:before="0" w:after="120"/>
      </w:pPr>
      <w:r>
        <w:rPr>
          <w:b/>
          <w:bCs/>
          <w:sz w:val="24"/>
          <w:szCs w:val="24"/>
        </w:rPr>
        <w:t xml:space="preserve">Archetype. </w:t>
      </w:r>
    </w:p>
    <w:p>
      <w:pPr>
        <w:spacing w:before="0" w:after="120"/>
      </w:pPr>
      <w:r>
        <w:t xml:space="preserve">Standard multi-tenant office lease with modest tenant-side protections (audit right, controllable cap, capital exclusions, SNDA condition, mitigation acknowledgment). No letter of credit, guaranty, landlord work letter, renewal option, or relocation right is included; these are noted as intentionally omitted.</w:t>
      </w:r>
    </w:p>
    <w:p>
      <w:pPr>
        <w:spacing w:before="0" w:after="120"/>
      </w:pPr>
      <w:r>
        <w:rPr>
          <w:b/>
          <w:bCs/>
          <w:sz w:val="24"/>
          <w:szCs w:val="24"/>
        </w:rPr>
        <w:t xml:space="preserve">Key Drafting Notes. </w:t>
      </w:r>
    </w:p>
    <w:p>
      <w:pPr>
        <w:spacing w:before="0" w:after="120"/>
      </w:pPr>
      <w:r>
        <w:t xml:space="preserve">•   Rent schedule reconciles arithmetically across the Term.</w:t>
      </w:r>
    </w:p>
    <w:p>
      <w:pPr>
        <w:spacing w:before="0" w:after="120"/>
      </w:pPr>
      <w:r>
        <w:t xml:space="preserve">•   Abatement is Base Rent only; Operating Expenses and utilities continue during the Abatement Period.</w:t>
      </w:r>
    </w:p>
    <w:p>
      <w:pPr>
        <w:spacing w:before="0" w:after="120"/>
      </w:pPr>
      <w:r>
        <w:t xml:space="preserve">•   Operating Expense exclusions and the 5% controllable cap are tenant-favorable but consistent with Beehive's approved standard for office tenants of this size.</w:t>
      </w:r>
    </w:p>
    <w:p>
      <w:pPr>
        <w:spacing w:before="0" w:after="120"/>
      </w:pPr>
      <w:r>
        <w:t xml:space="preserve">•   Permitted Use is narrow (actuarial consulting and ancillary back-office) to align with insurance and the Building's certificate of occupancy.</w:t>
      </w:r>
    </w:p>
    <w:p>
      <w:pPr>
        <w:spacing w:before="0" w:after="120"/>
      </w:pPr>
      <w:r>
        <w:t xml:space="preserve">•   Article 9 (Environmental) is intentionally light because the tenant operations are pure office; if Tenant's operations change, the disclosure obligation in Section 9.4 is triggered.</w:t>
      </w:r>
    </w:p>
    <w:p>
      <w:pPr>
        <w:spacing w:before="0" w:after="120"/>
      </w:pPr>
      <w:r>
        <w:t xml:space="preserve">•   Utah-specific items are addressed in Exhibit I; no state sales or rent tax currently applies, but the catch-all language preserves Landlord's position if Law changes.</w:t>
      </w:r>
    </w:p>
    <w:p>
      <w:pPr>
        <w:spacing w:before="0" w:after="120"/>
      </w:pPr>
      <w:r>
        <w:t xml:space="preserve">•   No guaranty was required given the Tenant's credit profile; security is a two-month cash Security Deposit only.</w:t>
      </w:r>
    </w:p>
    <w:p>
      <w:pPr>
        <w:spacing w:before="0" w:after="120"/>
      </w:pPr>
      <w:r>
        <w:rPr>
          <w:b/>
          <w:bCs/>
          <w:sz w:val="24"/>
          <w:szCs w:val="24"/>
        </w:rPr>
        <w:t xml:space="preserve">Items Intentionally Omitted. </w:t>
      </w:r>
    </w:p>
    <w:p>
      <w:pPr>
        <w:spacing w:before="0" w:after="120"/>
      </w:pPr>
      <w:r>
        <w:t xml:space="preserve">Letter of credit; corporate guaranty; landlord work letter / construction allowance; relocation right; renewal option; ROFO/ROFR; outside storage; signage on building exterior or monument; LEED/sustainability addendum; landlord lien waiver; co-occupant rights; expansion option.</w:t>
      </w:r>
    </w:p>
    <w:p>
      <w:pPr>
        <w:spacing w:before="0" w:after="120"/>
      </w:pPr>
      <w:r>
        <w:rPr>
          <w:b/>
          <w:bCs/>
          <w:sz w:val="24"/>
          <w:szCs w:val="24"/>
        </w:rPr>
        <w:t xml:space="preserve">Post-Execution Calendar. </w:t>
      </w:r>
    </w:p>
    <w:tbl>
      <w:tblPr>
        <w:tblW w:w="9500" w:type="dxa"/>
        <w:tblBorders>
          <w:top w:val="single" w:sz="4" w:color="9CA3AF"/>
          <w:left w:val="single" w:sz="4" w:color="9CA3AF"/>
          <w:bottom w:val="single" w:sz="4" w:color="9CA3AF"/>
          <w:right w:val="single" w:sz="4" w:color="9CA3AF"/>
          <w:insideH w:val="single" w:sz="4" w:color="9CA3AF"/>
          <w:insideV w:val="single" w:sz="4" w:color="9CA3AF"/>
        </w:tblBorders>
      </w:tblPr>
      <w:tblGrid>
        <w:gridCol w:w="2500"/>
        <w:gridCol w:w="7000"/>
      </w:tblGrid>
      <w:tr>
        <w:tc>
          <w:tcPr>
            <w:tcW w:w="2500" w:type="dxa"/>
            <w:shd w:val="clear" w:color="auto" w:fill="E5E7EB"/>
          </w:tcPr>
          <w:p>
            <w:pPr>
              <w:spacing w:before="0" w:after="60"/>
            </w:pPr>
            <w:r>
              <w:rPr>
                <w:b/>
                <w:bCs/>
              </w:rPr>
              <w:t xml:space="preserve">Date</w:t>
            </w:r>
          </w:p>
        </w:tc>
        <w:tc>
          <w:tcPr>
            <w:tcW w:w="7000" w:type="dxa"/>
            <w:shd w:val="clear" w:color="auto" w:fill="E5E7EB"/>
          </w:tcPr>
          <w:p>
            <w:pPr>
              <w:spacing w:before="0" w:after="60"/>
            </w:pPr>
            <w:r>
              <w:rPr>
                <w:b/>
                <w:bCs/>
              </w:rPr>
              <w:t xml:space="preserve">Action</w:t>
            </w:r>
          </w:p>
        </w:tc>
      </w:tr>
      <w:tr>
        <w:tc>
          <w:tcPr>
            <w:tcW w:w="2500" w:type="dxa"/>
          </w:tcPr>
          <w:p>
            <w:pPr>
              <w:spacing w:before="0" w:after="60"/>
            </w:pPr>
            <w:r>
              <w:t xml:space="preserve">Sep 18, 2026</w:t>
            </w:r>
          </w:p>
        </w:tc>
        <w:tc>
          <w:tcPr>
            <w:tcW w:w="7000" w:type="dxa"/>
          </w:tcPr>
          <w:p>
            <w:pPr>
              <w:spacing w:before="0" w:after="60"/>
            </w:pPr>
            <w:r>
              <w:t xml:space="preserve">Lease fully executed; first payments and COI due within 2 business days.</w:t>
            </w:r>
          </w:p>
        </w:tc>
      </w:tr>
      <w:tr>
        <w:tc>
          <w:tcPr>
            <w:tcW w:w="2500" w:type="dxa"/>
          </w:tcPr>
          <w:p>
            <w:pPr>
              <w:spacing w:before="0" w:after="60"/>
            </w:pPr>
            <w:r>
              <w:t xml:space="preserve">Sep 21, 2026</w:t>
            </w:r>
          </w:p>
        </w:tc>
        <w:tc>
          <w:tcPr>
            <w:tcW w:w="7000" w:type="dxa"/>
          </w:tcPr>
          <w:p>
            <w:pPr>
              <w:spacing w:before="0" w:after="60"/>
            </w:pPr>
            <w:r>
              <w:t xml:space="preserve">Tenant may begin early access for FF&amp;E install.</w:t>
            </w:r>
          </w:p>
        </w:tc>
      </w:tr>
      <w:tr>
        <w:tc>
          <w:tcPr>
            <w:tcW w:w="2500" w:type="dxa"/>
          </w:tcPr>
          <w:p>
            <w:pPr>
              <w:spacing w:before="0" w:after="60"/>
            </w:pPr>
            <w:r>
              <w:t xml:space="preserve">Oct 1, 2026</w:t>
            </w:r>
          </w:p>
        </w:tc>
        <w:tc>
          <w:tcPr>
            <w:tcW w:w="7000" w:type="dxa"/>
          </w:tcPr>
          <w:p>
            <w:pPr>
              <w:spacing w:before="0" w:after="60"/>
            </w:pPr>
            <w:r>
              <w:t xml:space="preserve">Commencement Date; Abatement Period begins.</w:t>
            </w:r>
          </w:p>
        </w:tc>
      </w:tr>
      <w:tr>
        <w:tc>
          <w:tcPr>
            <w:tcW w:w="2500" w:type="dxa"/>
          </w:tcPr>
          <w:p>
            <w:pPr>
              <w:spacing w:before="0" w:after="60"/>
            </w:pPr>
            <w:r>
              <w:t xml:space="preserve">Oct 1, 2026</w:t>
            </w:r>
          </w:p>
        </w:tc>
        <w:tc>
          <w:tcPr>
            <w:tcW w:w="7000" w:type="dxa"/>
          </w:tcPr>
          <w:p>
            <w:pPr>
              <w:spacing w:before="0" w:after="60"/>
            </w:pPr>
            <w:r>
              <w:t xml:space="preserve">Execute Confirmation of Commencement Date (Exhibit F) within 10 days.</w:t>
            </w:r>
          </w:p>
        </w:tc>
      </w:tr>
      <w:tr>
        <w:tc>
          <w:tcPr>
            <w:tcW w:w="2500" w:type="dxa"/>
          </w:tcPr>
          <w:p>
            <w:pPr>
              <w:spacing w:before="0" w:after="60"/>
            </w:pPr>
            <w:r>
              <w:t xml:space="preserve">Dec 1, 2026</w:t>
            </w:r>
          </w:p>
        </w:tc>
        <w:tc>
          <w:tcPr>
            <w:tcW w:w="7000" w:type="dxa"/>
          </w:tcPr>
          <w:p>
            <w:pPr>
              <w:spacing w:before="0" w:after="60"/>
            </w:pPr>
            <w:r>
              <w:t xml:space="preserve">Rent Commencement Date; first $9,840.83 Base Rent installment due.</w:t>
            </w:r>
          </w:p>
        </w:tc>
      </w:tr>
      <w:tr>
        <w:tc>
          <w:tcPr>
            <w:tcW w:w="2500" w:type="dxa"/>
          </w:tcPr>
          <w:p>
            <w:pPr>
              <w:spacing w:before="0" w:after="60"/>
            </w:pPr>
            <w:r>
              <w:t xml:space="preserve">Apr 30, 2027</w:t>
            </w:r>
          </w:p>
        </w:tc>
        <w:tc>
          <w:tcPr>
            <w:tcW w:w="7000" w:type="dxa"/>
          </w:tcPr>
          <w:p>
            <w:pPr>
              <w:spacing w:before="0" w:after="60"/>
            </w:pPr>
            <w:r>
              <w:t xml:space="preserve">Latest delivery of 2026 Operating Expense reconciliation (150 days).</w:t>
            </w:r>
          </w:p>
        </w:tc>
      </w:tr>
      <w:tr>
        <w:tc>
          <w:tcPr>
            <w:tcW w:w="2500" w:type="dxa"/>
          </w:tcPr>
          <w:p>
            <w:pPr>
              <w:spacing w:before="0" w:after="60"/>
            </w:pPr>
            <w:r>
              <w:t xml:space="preserve">Sep 30, 2031</w:t>
            </w:r>
          </w:p>
        </w:tc>
        <w:tc>
          <w:tcPr>
            <w:tcW w:w="7000" w:type="dxa"/>
          </w:tcPr>
          <w:p>
            <w:pPr>
              <w:spacing w:before="0" w:after="60"/>
            </w:pPr>
            <w:r>
              <w:t xml:space="preserve">Expiration Date; surrender per Exhibit B.</w:t>
            </w:r>
          </w:p>
        </w:tc>
      </w:tr>
    </w:tbl>
    <w:p>
      <w:pPr>
        <w:spacing w:before="0" w:after="80"/>
      </w:pPr>
    </w:p>
    <w:sectPr>
      <w:pgSz w:w="12240" w:h="15840"/>
      <w:pgMar w:top="1080" w:right="1080" w:bottom="1080" w:left="1080" w:header="720" w:footer="720" w:gutter="0"/>
      <w:cols w:space="720"/>
      <w:docGrid w:linePitch="360"/>
    </w:sectPr>
  </w:body>
</w:document>
</file>

<file path=word/styles.xml><?xml version="1.0" encoding="utf-8"?>
<w:styles xmlns:w="http://schemas.openxmlformats.org/wordprocessingml/2006/main">
  <w:docDefaults>
    <w:rPrDefault>
      <w:rPr>
        <w:rFonts w:ascii="Calibri" w:hAnsi="Calibri" w:cs="Calibri"/>
        <w:sz w:val="22"/>
        <w:szCs w:val="22"/>
      </w:rPr>
    </w:rPrDefault>
    <w:pPrDefault>
      <w:pPr>
        <w:spacing w:after="160" w:line="276" w:lineRule="auto"/>
      </w:pPr>
    </w:pPrDefault>
  </w:docDefaults>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Pic1" Type="http://schemas.openxmlformats.org/officeDocument/2006/relationships/image" Target="media/image1.png"/>
</Relationships>
</file>