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4"/>
          <w:szCs w:val="34"/>
        </w:rPr>
        <w:t xml:space="preserve">OFFICE LEASE — COWORKING / FLEX-OPERATOR</w:t>
      </w:r>
    </w:p>
    <w:p>
      <w:pPr>
        <w:jc w:val="center"/>
        <w:spacing w:before="0" w:after="80"/>
      </w:pPr>
      <w:r>
        <w:rPr>
          <w:b/>
          <w:bCs/>
          <w:sz w:val="24"/>
          <w:szCs w:val="24"/>
        </w:rPr>
        <w:t xml:space="preserve">Confluence Tower — Entire Floor 7</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CONFLUX WORKSPACES OPERATING, LLC, as Tenant</w:t>
      </w:r>
    </w:p>
    <w:p>
      <w:pPr>
        <w:spacing w:before="0" w:after="120"/>
      </w:pPr>
      <w:r>
        <w:t xml:space="preserve">This Office Lease — Coworking / Flex-Operator (the "Lease") is entered into as of the Effective Date set forth in Article 1. Tenant is in the business of operating shared workspaces for member companies and individual members under member agreements (each a "Member Agreement," and each user thereunder a "Member"). The parties acknowledge that this Lease accommodates that operating model, with the modifications, restrictions, and protections set forth herein.</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August 28,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Conflux Workspaces Operating, LLC, a Delaware limited liability company, authorized to do business in Utah.</w:t>
            </w:r>
          </w:p>
        </w:tc>
      </w:tr>
      <w:tr>
        <w:tc>
          <w:tcPr>
            <w:tcW w:w="3000" w:type="dxa"/>
          </w:tcPr>
          <w:p>
            <w:pPr>
              <w:spacing w:before="0" w:after="60"/>
            </w:pPr>
            <w:r>
              <w:t xml:space="preserve">Building</w:t>
            </w:r>
          </w:p>
        </w:tc>
        <w:tc>
          <w:tcPr>
            <w:tcW w:w="6500" w:type="dxa"/>
          </w:tcPr>
          <w:p>
            <w:pPr>
              <w:spacing w:before="0" w:after="60"/>
            </w:pPr>
            <w:r>
              <w:t xml:space="preserve">The twelve-story Class A office tower known as Confluence Tower, located at 222 South Main Street, Salt Lake City, Utah 84101, consisting of approximately 240,000 rentable square feet.</w:t>
            </w:r>
          </w:p>
        </w:tc>
      </w:tr>
      <w:tr>
        <w:tc>
          <w:tcPr>
            <w:tcW w:w="3000" w:type="dxa"/>
          </w:tcPr>
          <w:p>
            <w:pPr>
              <w:spacing w:before="0" w:after="60"/>
            </w:pPr>
            <w:r>
              <w:t xml:space="preserve">Premises</w:t>
            </w:r>
          </w:p>
        </w:tc>
        <w:tc>
          <w:tcPr>
            <w:tcW w:w="6500" w:type="dxa"/>
          </w:tcPr>
          <w:p>
            <w:pPr>
              <w:spacing w:before="0" w:after="60"/>
            </w:pPr>
            <w:r>
              <w:t xml:space="preserve">The entire seventh (7th) floor of the Building, consisting of approximately 18,400 rentable square feet, as depicted on Exhibit A.</w:t>
            </w:r>
          </w:p>
        </w:tc>
      </w:tr>
      <w:tr>
        <w:tc>
          <w:tcPr>
            <w:tcW w:w="3000" w:type="dxa"/>
          </w:tcPr>
          <w:p>
            <w:pPr>
              <w:spacing w:before="0" w:after="60"/>
            </w:pPr>
            <w:r>
              <w:t xml:space="preserve">Property</w:t>
            </w:r>
          </w:p>
        </w:tc>
        <w:tc>
          <w:tcPr>
            <w:tcW w:w="6500" w:type="dxa"/>
          </w:tcPr>
          <w:p>
            <w:pPr>
              <w:spacing w:before="0" w:after="60"/>
            </w:pPr>
            <w:r>
              <w:t xml:space="preserve">The Building and the related land, parking, lobbies, drives, sidewalks, and common areas.</w:t>
            </w:r>
          </w:p>
        </w:tc>
      </w:tr>
      <w:tr>
        <w:tc>
          <w:tcPr>
            <w:tcW w:w="3000" w:type="dxa"/>
          </w:tcPr>
          <w:p>
            <w:pPr>
              <w:spacing w:before="0" w:after="60"/>
            </w:pPr>
            <w:r>
              <w:t xml:space="preserve">Commencement Date</w:t>
            </w:r>
          </w:p>
        </w:tc>
        <w:tc>
          <w:tcPr>
            <w:tcW w:w="6500" w:type="dxa"/>
          </w:tcPr>
          <w:p>
            <w:pPr>
              <w:spacing w:before="0" w:after="60"/>
            </w:pPr>
            <w:r>
              <w:t xml:space="preserve">October 1, 2026.</w:t>
            </w:r>
          </w:p>
        </w:tc>
      </w:tr>
      <w:tr>
        <w:tc>
          <w:tcPr>
            <w:tcW w:w="3000" w:type="dxa"/>
          </w:tcPr>
          <w:p>
            <w:pPr>
              <w:spacing w:before="0" w:after="60"/>
            </w:pPr>
            <w:r>
              <w:t xml:space="preserve">Term</w:t>
            </w:r>
          </w:p>
        </w:tc>
        <w:tc>
          <w:tcPr>
            <w:tcW w:w="6500" w:type="dxa"/>
          </w:tcPr>
          <w:p>
            <w:pPr>
              <w:spacing w:before="0" w:after="60"/>
            </w:pPr>
            <w:r>
              <w:t xml:space="preserve">Ninety-six (96) full calendar months, expiring September 30, 2034 (the "Expiration Date"), unless sooner terminated or extended as provided herein.</w:t>
            </w:r>
          </w:p>
        </w:tc>
      </w:tr>
      <w:tr>
        <w:tc>
          <w:tcPr>
            <w:tcW w:w="3000" w:type="dxa"/>
          </w:tcPr>
          <w:p>
            <w:pPr>
              <w:spacing w:before="0" w:after="60"/>
            </w:pPr>
            <w:r>
              <w:t xml:space="preserve">Rent Structure</w:t>
            </w:r>
          </w:p>
        </w:tc>
        <w:tc>
          <w:tcPr>
            <w:tcW w:w="6500" w:type="dxa"/>
          </w:tcPr>
          <w:p>
            <w:pPr>
              <w:spacing w:before="0" w:after="60"/>
            </w:pPr>
            <w:r>
              <w:t xml:space="preserve">Modified gross with a 2027 calendar-year operating-expense base year ("Base Year").</w:t>
            </w:r>
          </w:p>
        </w:tc>
      </w:tr>
      <w:tr>
        <w:tc>
          <w:tcPr>
            <w:tcW w:w="3000" w:type="dxa"/>
          </w:tcPr>
          <w:p>
            <w:pPr>
              <w:spacing w:before="0" w:after="60"/>
            </w:pPr>
            <w:r>
              <w:t xml:space="preserve">Base Rent</w:t>
            </w:r>
          </w:p>
        </w:tc>
        <w:tc>
          <w:tcPr>
            <w:tcW w:w="6500" w:type="dxa"/>
          </w:tcPr>
          <w:p>
            <w:pPr>
              <w:spacing w:before="0" w:after="60"/>
            </w:pPr>
            <w:r>
              <w:t xml:space="preserve">As set forth in the schedule in Section 2.2.</w:t>
            </w:r>
          </w:p>
        </w:tc>
      </w:tr>
      <w:tr>
        <w:tc>
          <w:tcPr>
            <w:tcW w:w="3000" w:type="dxa"/>
          </w:tcPr>
          <w:p>
            <w:pPr>
              <w:spacing w:before="0" w:after="60"/>
            </w:pPr>
            <w:r>
              <w:t xml:space="preserve">Membership Percentage Rent</w:t>
            </w:r>
          </w:p>
        </w:tc>
        <w:tc>
          <w:tcPr>
            <w:tcW w:w="6500" w:type="dxa"/>
          </w:tcPr>
          <w:p>
            <w:pPr>
              <w:spacing w:before="0" w:after="60"/>
            </w:pPr>
            <w:r>
              <w:t xml:space="preserve">Three percent (3%) of Net Member Revenue (defined in Section 2.4) for each Lease Year in excess of the Natural Breakpoint, payable quarterly in arrears.</w:t>
            </w:r>
          </w:p>
        </w:tc>
      </w:tr>
      <w:tr>
        <w:tc>
          <w:tcPr>
            <w:tcW w:w="3000" w:type="dxa"/>
          </w:tcPr>
          <w:p>
            <w:pPr>
              <w:spacing w:before="0" w:after="60"/>
            </w:pPr>
            <w:r>
              <w:t xml:space="preserve">Abatement Period</w:t>
            </w:r>
          </w:p>
        </w:tc>
        <w:tc>
          <w:tcPr>
            <w:tcW w:w="6500" w:type="dxa"/>
          </w:tcPr>
          <w:p>
            <w:pPr>
              <w:spacing w:before="0" w:after="60"/>
            </w:pPr>
            <w:r>
              <w:t xml:space="preserve">October 1, 2026 through February 28, 2027 (Base Rent only — five (5) months), to accommodate Tenant's build-out and member ramp-up.</w:t>
            </w:r>
          </w:p>
        </w:tc>
      </w:tr>
      <w:tr>
        <w:tc>
          <w:tcPr>
            <w:tcW w:w="3000" w:type="dxa"/>
          </w:tcPr>
          <w:p>
            <w:pPr>
              <w:spacing w:before="0" w:after="60"/>
            </w:pPr>
            <w:r>
              <w:t xml:space="preserve">Estimated NNN/Operating Expenses</w:t>
            </w:r>
          </w:p>
        </w:tc>
        <w:tc>
          <w:tcPr>
            <w:tcW w:w="6500" w:type="dxa"/>
          </w:tcPr>
          <w:p>
            <w:pPr>
              <w:spacing w:before="0" w:after="60"/>
            </w:pPr>
            <w:r>
              <w:t xml:space="preserve">$13.50 per RSF per year (Base Year estimate) — Base-Year stop applies under Article 3.</w:t>
            </w:r>
          </w:p>
        </w:tc>
      </w:tr>
      <w:tr>
        <w:tc>
          <w:tcPr>
            <w:tcW w:w="3000" w:type="dxa"/>
          </w:tcPr>
          <w:p>
            <w:pPr>
              <w:spacing w:before="0" w:after="60"/>
            </w:pPr>
            <w:r>
              <w:t xml:space="preserve">Permitted Use</w:t>
            </w:r>
          </w:p>
        </w:tc>
        <w:tc>
          <w:tcPr>
            <w:tcW w:w="6500" w:type="dxa"/>
          </w:tcPr>
          <w:p>
            <w:pPr>
              <w:spacing w:before="0" w:after="60"/>
            </w:pPr>
            <w:r>
              <w:t xml:space="preserve">Operation of a flexible office and coworking facility, including (a) provision of dedicated and shared workspaces to Members under Member Agreements; (b) on-site community amenities for Members (café, beverage service, lockers, mail/package services, printing, podcast/video studio if installed, wellness room); (c) event programming (member-only, daytime member-guest, and evening community events open to non-Members consistent with Exhibit W); and (d) ancillary office for Tenant's on-site staff and for the daily operation of the facility. No other use is permitted without Landlord's prior written consent.</w:t>
            </w:r>
          </w:p>
        </w:tc>
      </w:tr>
      <w:tr>
        <w:tc>
          <w:tcPr>
            <w:tcW w:w="3000" w:type="dxa"/>
          </w:tcPr>
          <w:p>
            <w:pPr>
              <w:spacing w:before="0" w:after="60"/>
            </w:pPr>
            <w:r>
              <w:t xml:space="preserve">Tenant Proportionate Share</w:t>
            </w:r>
          </w:p>
        </w:tc>
        <w:tc>
          <w:tcPr>
            <w:tcW w:w="6500" w:type="dxa"/>
          </w:tcPr>
          <w:p>
            <w:pPr>
              <w:spacing w:before="0" w:after="60"/>
            </w:pPr>
            <w:r>
              <w:t xml:space="preserve">7.67% (18,400 / 240,000).</w:t>
            </w:r>
          </w:p>
        </w:tc>
      </w:tr>
      <w:tr>
        <w:tc>
          <w:tcPr>
            <w:tcW w:w="3000" w:type="dxa"/>
          </w:tcPr>
          <w:p>
            <w:pPr>
              <w:spacing w:before="0" w:after="60"/>
            </w:pPr>
            <w:r>
              <w:t xml:space="preserve">Headcount Density Cap</w:t>
            </w:r>
          </w:p>
        </w:tc>
        <w:tc>
          <w:tcPr>
            <w:tcW w:w="6500" w:type="dxa"/>
          </w:tcPr>
          <w:p>
            <w:pPr>
              <w:spacing w:before="0" w:after="60"/>
            </w:pPr>
            <w:r>
              <w:t xml:space="preserve">Concurrent occupancy of the Premises by Members, Member guests, and Tenant's staff shall not exceed one (1) person per ninety (90) RSF (≈ 204 persons), provided that during permitted evening events under Exhibit W the cap may be temporarily exceeded subject to the certificate-of-occupancy limit and Exhibit W.</w:t>
            </w:r>
          </w:p>
        </w:tc>
      </w:tr>
      <w:tr>
        <w:tc>
          <w:tcPr>
            <w:tcW w:w="3000" w:type="dxa"/>
          </w:tcPr>
          <w:p>
            <w:pPr>
              <w:spacing w:before="0" w:after="60"/>
            </w:pPr>
            <w:r>
              <w:t xml:space="preserve">Letter of Credit</w:t>
            </w:r>
          </w:p>
        </w:tc>
        <w:tc>
          <w:tcPr>
            <w:tcW w:w="6500" w:type="dxa"/>
          </w:tcPr>
          <w:p>
            <w:pPr>
              <w:spacing w:before="0" w:after="60"/>
            </w:pPr>
            <w:r>
              <w:t xml:space="preserve">$525,000.00 irrevocable standby letter of credit in the form attached as Exhibit H, subject to burn-down under Section 2.7. No cash security deposit.</w:t>
            </w:r>
          </w:p>
        </w:tc>
      </w:tr>
      <w:tr>
        <w:tc>
          <w:tcPr>
            <w:tcW w:w="3000" w:type="dxa"/>
          </w:tcPr>
          <w:p>
            <w:pPr>
              <w:spacing w:before="0" w:after="60"/>
            </w:pPr>
            <w:r>
              <w:t xml:space="preserve">Parent Guaranty</w:t>
            </w:r>
          </w:p>
        </w:tc>
        <w:tc>
          <w:tcPr>
            <w:tcW w:w="6500" w:type="dxa"/>
          </w:tcPr>
          <w:p>
            <w:pPr>
              <w:spacing w:before="0" w:after="60"/>
            </w:pPr>
            <w:r>
              <w:t xml:space="preserve">Limited Parent Guaranty from Conflux Workspaces Holdings, Inc. in the form attached as Exhibit X (rolling twelve (12) months of Rent, burning off at month 60 if no Default).</w:t>
            </w:r>
          </w:p>
        </w:tc>
      </w:tr>
      <w:tr>
        <w:tc>
          <w:tcPr>
            <w:tcW w:w="3000" w:type="dxa"/>
          </w:tcPr>
          <w:p>
            <w:pPr>
              <w:spacing w:before="0" w:after="60"/>
            </w:pPr>
            <w:r>
              <w:t xml:space="preserve">Tenant Improvement Allowance</w:t>
            </w:r>
          </w:p>
        </w:tc>
        <w:tc>
          <w:tcPr>
            <w:tcW w:w="6500" w:type="dxa"/>
          </w:tcPr>
          <w:p>
            <w:pPr>
              <w:spacing w:before="0" w:after="60"/>
            </w:pPr>
            <w:r>
              <w:t xml:space="preserve">$70.00 per RSF ($1,288,000.00) for Tenant's build-out under Exhibit G, payable in arrears against lien-waiver-supported invoices.</w:t>
            </w:r>
          </w:p>
        </w:tc>
      </w:tr>
      <w:tr>
        <w:tc>
          <w:tcPr>
            <w:tcW w:w="3000" w:type="dxa"/>
          </w:tcPr>
          <w:p>
            <w:pPr>
              <w:spacing w:before="0" w:after="60"/>
            </w:pPr>
            <w:r>
              <w:t xml:space="preserve">Renewal Option</w:t>
            </w:r>
          </w:p>
        </w:tc>
        <w:tc>
          <w:tcPr>
            <w:tcW w:w="6500" w:type="dxa"/>
          </w:tcPr>
          <w:p>
            <w:pPr>
              <w:spacing w:before="0" w:after="60"/>
            </w:pPr>
            <w:r>
              <w:t xml:space="preserve">One (1) option to renew for five (5) years at Fair Market Rent, per Article 27.</w:t>
            </w:r>
          </w:p>
        </w:tc>
      </w:tr>
      <w:tr>
        <w:tc>
          <w:tcPr>
            <w:tcW w:w="3000" w:type="dxa"/>
          </w:tcPr>
          <w:p>
            <w:pPr>
              <w:spacing w:before="0" w:after="60"/>
            </w:pPr>
            <w:r>
              <w:t xml:space="preserve">Brokers</w:t>
            </w:r>
          </w:p>
        </w:tc>
        <w:tc>
          <w:tcPr>
            <w:tcW w:w="6500" w:type="dxa"/>
          </w:tcPr>
          <w:p>
            <w:pPr>
              <w:spacing w:before="0" w:after="60"/>
            </w:pPr>
            <w:r>
              <w:t xml:space="preserve">Tenant Broker: Crestmont Office Advisors,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Conflux Workspaces Operating, LLC, Attn: Imogen S. Whitaker, Chief Operating Officer, 222 South Main Street, Floor 7, Salt Lake City, UT 84101; courtesy email copy to iwhitaker@confluxworkspaces.example, with copy to legal@confluxworkspaces.example.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Exhibits</w:t>
            </w:r>
          </w:p>
        </w:tc>
        <w:tc>
          <w:tcPr>
            <w:tcW w:w="6500" w:type="dxa"/>
          </w:tcPr>
          <w:p>
            <w:pPr>
              <w:spacing w:before="0" w:after="60"/>
            </w:pPr>
            <w:r>
              <w:t xml:space="preserve">Exhibit A (Depiction of Premises); Exhibit B (Surrender Requirements); Exhibit C (Rules and Regulations); Exhibit D (Tenant Contact Information); Exhibit E (Sign Specifications); Exhibit F (Confirmation of Commencement Date); Exhibit G (Work Letter &amp; Tenant Improvement Allowance); Exhibit H (Form of Letter of Credit); Exhibit I (Utah-Specific Provisions); Exhibit W (Member Agreements, Density &amp; Events); Exhibit X (Form of Limited Parent Guaranty).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LEASE OF PREMISES; RENT; MEMBERSHIP PERCENTAGE RENT</w:t>
      </w:r>
    </w:p>
    <w:p>
      <w:pPr>
        <w:spacing w:before="0" w:after="120"/>
      </w:pPr>
      <w:r>
        <w:rPr>
          <w:b/>
          <w:bCs/>
        </w:rPr>
        <w:t xml:space="preserve">2.1   Grant. </w:t>
      </w:r>
      <w:r>
        <w:t xml:space="preserve">Landlord leases the Premises to Tenant for the Term, subject to this Lease.</w:t>
      </w:r>
    </w:p>
    <w:p>
      <w:pPr>
        <w:spacing w:before="0" w:after="120"/>
      </w:pPr>
      <w:r>
        <w:rPr>
          <w:b/>
          <w:bCs/>
        </w:rPr>
        <w:t xml:space="preserve">2.2   Base Rent Schedule.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1800"/>
        <w:gridCol w:w="2300"/>
        <w:gridCol w:w="2400"/>
      </w:tblGrid>
      <w:tr>
        <w:tc>
          <w:tcPr>
            <w:tcW w:w="3000" w:type="dxa"/>
            <w:shd w:val="clear" w:color="auto" w:fill="E5E7EB"/>
          </w:tcPr>
          <w:p>
            <w:pPr>
              <w:spacing w:before="0" w:after="60"/>
            </w:pPr>
            <w:r>
              <w:rPr>
                <w:b/>
                <w:bCs/>
              </w:rPr>
              <w:t xml:space="preserve">Period</w:t>
            </w:r>
          </w:p>
        </w:tc>
        <w:tc>
          <w:tcPr>
            <w:tcW w:w="1800" w:type="dxa"/>
            <w:shd w:val="clear" w:color="auto" w:fill="E5E7EB"/>
          </w:tcPr>
          <w:p>
            <w:pPr>
              <w:spacing w:before="0" w:after="60"/>
            </w:pPr>
            <w:r>
              <w:rPr>
                <w:b/>
                <w:bCs/>
              </w:rPr>
              <w:t xml:space="preserve">Rate per RSF</w:t>
            </w:r>
          </w:p>
        </w:tc>
        <w:tc>
          <w:tcPr>
            <w:tcW w:w="2300" w:type="dxa"/>
            <w:shd w:val="clear" w:color="auto" w:fill="E5E7EB"/>
          </w:tcPr>
          <w:p>
            <w:pPr>
              <w:spacing w:before="0" w:after="60"/>
            </w:pPr>
            <w:r>
              <w:rPr>
                <w:b/>
                <w:bCs/>
              </w:rPr>
              <w:t xml:space="preserve">Monthly Base Rent</w:t>
            </w:r>
          </w:p>
        </w:tc>
        <w:tc>
          <w:tcPr>
            <w:tcW w:w="2400" w:type="dxa"/>
            <w:shd w:val="clear" w:color="auto" w:fill="E5E7EB"/>
          </w:tcPr>
          <w:p>
            <w:pPr>
              <w:spacing w:before="0" w:after="60"/>
            </w:pPr>
            <w:r>
              <w:rPr>
                <w:b/>
                <w:bCs/>
              </w:rPr>
              <w:t xml:space="preserve">Annual Base Rent</w:t>
            </w:r>
          </w:p>
        </w:tc>
      </w:tr>
      <w:tr>
        <w:tc>
          <w:tcPr>
            <w:tcW w:w="3000" w:type="dxa"/>
          </w:tcPr>
          <w:p>
            <w:pPr>
              <w:spacing w:before="0" w:after="60"/>
            </w:pPr>
            <w:r>
              <w:t xml:space="preserve">Oct 1, 2026 – Feb 28, 2027</w:t>
            </w:r>
          </w:p>
        </w:tc>
        <w:tc>
          <w:tcPr>
            <w:tcW w:w="1800" w:type="dxa"/>
          </w:tcPr>
          <w:p>
            <w:pPr>
              <w:spacing w:before="0" w:after="60"/>
            </w:pPr>
            <w:r>
              <w:t xml:space="preserve">$36.00 (abated)</w:t>
            </w:r>
          </w:p>
        </w:tc>
        <w:tc>
          <w:tcPr>
            <w:tcW w:w="2300" w:type="dxa"/>
          </w:tcPr>
          <w:p>
            <w:pPr>
              <w:spacing w:before="0" w:after="60"/>
            </w:pPr>
            <w:r>
              <w:t xml:space="preserve">$0.00 (abated)</w:t>
            </w:r>
          </w:p>
        </w:tc>
        <w:tc>
          <w:tcPr>
            <w:tcW w:w="2400" w:type="dxa"/>
          </w:tcPr>
          <w:p>
            <w:pPr>
              <w:spacing w:before="0" w:after="60"/>
            </w:pPr>
            <w:r>
              <w:t xml:space="preserve">—</w:t>
            </w:r>
          </w:p>
        </w:tc>
      </w:tr>
      <w:tr>
        <w:tc>
          <w:tcPr>
            <w:tcW w:w="3000" w:type="dxa"/>
          </w:tcPr>
          <w:p>
            <w:pPr>
              <w:spacing w:before="0" w:after="60"/>
            </w:pPr>
            <w:r>
              <w:t xml:space="preserve">Mar 1, 2027 – Sep 30, 2027</w:t>
            </w:r>
          </w:p>
        </w:tc>
        <w:tc>
          <w:tcPr>
            <w:tcW w:w="1800" w:type="dxa"/>
          </w:tcPr>
          <w:p>
            <w:pPr>
              <w:spacing w:before="0" w:after="60"/>
            </w:pPr>
            <w:r>
              <w:t xml:space="preserve">$36.00</w:t>
            </w:r>
          </w:p>
        </w:tc>
        <w:tc>
          <w:tcPr>
            <w:tcW w:w="2300" w:type="dxa"/>
          </w:tcPr>
          <w:p>
            <w:pPr>
              <w:spacing w:before="0" w:after="60"/>
            </w:pPr>
            <w:r>
              <w:t xml:space="preserve">$55,200.00</w:t>
            </w:r>
          </w:p>
        </w:tc>
        <w:tc>
          <w:tcPr>
            <w:tcW w:w="2400" w:type="dxa"/>
          </w:tcPr>
          <w:p>
            <w:pPr>
              <w:spacing w:before="0" w:after="60"/>
            </w:pPr>
            <w:r>
              <w:t xml:space="preserve">$662,400.00</w:t>
            </w:r>
          </w:p>
        </w:tc>
      </w:tr>
      <w:tr>
        <w:tc>
          <w:tcPr>
            <w:tcW w:w="3000" w:type="dxa"/>
          </w:tcPr>
          <w:p>
            <w:pPr>
              <w:spacing w:before="0" w:after="60"/>
            </w:pPr>
            <w:r>
              <w:t xml:space="preserve">Oct 1, 2027 – Sep 30, 2028</w:t>
            </w:r>
          </w:p>
        </w:tc>
        <w:tc>
          <w:tcPr>
            <w:tcW w:w="1800" w:type="dxa"/>
          </w:tcPr>
          <w:p>
            <w:pPr>
              <w:spacing w:before="0" w:after="60"/>
            </w:pPr>
            <w:r>
              <w:t xml:space="preserve">$37.08</w:t>
            </w:r>
          </w:p>
        </w:tc>
        <w:tc>
          <w:tcPr>
            <w:tcW w:w="2300" w:type="dxa"/>
          </w:tcPr>
          <w:p>
            <w:pPr>
              <w:spacing w:before="0" w:after="60"/>
            </w:pPr>
            <w:r>
              <w:t xml:space="preserve">$56,856.00</w:t>
            </w:r>
          </w:p>
        </w:tc>
        <w:tc>
          <w:tcPr>
            <w:tcW w:w="2400" w:type="dxa"/>
          </w:tcPr>
          <w:p>
            <w:pPr>
              <w:spacing w:before="0" w:after="60"/>
            </w:pPr>
            <w:r>
              <w:t xml:space="preserve">$682,272.00</w:t>
            </w:r>
          </w:p>
        </w:tc>
      </w:tr>
      <w:tr>
        <w:tc>
          <w:tcPr>
            <w:tcW w:w="3000" w:type="dxa"/>
          </w:tcPr>
          <w:p>
            <w:pPr>
              <w:spacing w:before="0" w:after="60"/>
            </w:pPr>
            <w:r>
              <w:t xml:space="preserve">Oct 1, 2028 – Sep 30, 2029</w:t>
            </w:r>
          </w:p>
        </w:tc>
        <w:tc>
          <w:tcPr>
            <w:tcW w:w="1800" w:type="dxa"/>
          </w:tcPr>
          <w:p>
            <w:pPr>
              <w:spacing w:before="0" w:after="60"/>
            </w:pPr>
            <w:r>
              <w:t xml:space="preserve">$38.19</w:t>
            </w:r>
          </w:p>
        </w:tc>
        <w:tc>
          <w:tcPr>
            <w:tcW w:w="2300" w:type="dxa"/>
          </w:tcPr>
          <w:p>
            <w:pPr>
              <w:spacing w:before="0" w:after="60"/>
            </w:pPr>
            <w:r>
              <w:t xml:space="preserve">$58,558.00</w:t>
            </w:r>
          </w:p>
        </w:tc>
        <w:tc>
          <w:tcPr>
            <w:tcW w:w="2400" w:type="dxa"/>
          </w:tcPr>
          <w:p>
            <w:pPr>
              <w:spacing w:before="0" w:after="60"/>
            </w:pPr>
            <w:r>
              <w:t xml:space="preserve">$702,696.00</w:t>
            </w:r>
          </w:p>
        </w:tc>
      </w:tr>
      <w:tr>
        <w:tc>
          <w:tcPr>
            <w:tcW w:w="3000" w:type="dxa"/>
          </w:tcPr>
          <w:p>
            <w:pPr>
              <w:spacing w:before="0" w:after="60"/>
            </w:pPr>
            <w:r>
              <w:t xml:space="preserve">Oct 1, 2029 – Sep 30, 2030</w:t>
            </w:r>
          </w:p>
        </w:tc>
        <w:tc>
          <w:tcPr>
            <w:tcW w:w="1800" w:type="dxa"/>
          </w:tcPr>
          <w:p>
            <w:pPr>
              <w:spacing w:before="0" w:after="60"/>
            </w:pPr>
            <w:r>
              <w:t xml:space="preserve">$39.34</w:t>
            </w:r>
          </w:p>
        </w:tc>
        <w:tc>
          <w:tcPr>
            <w:tcW w:w="2300" w:type="dxa"/>
          </w:tcPr>
          <w:p>
            <w:pPr>
              <w:spacing w:before="0" w:after="60"/>
            </w:pPr>
            <w:r>
              <w:t xml:space="preserve">$60,321.33</w:t>
            </w:r>
          </w:p>
        </w:tc>
        <w:tc>
          <w:tcPr>
            <w:tcW w:w="2400" w:type="dxa"/>
          </w:tcPr>
          <w:p>
            <w:pPr>
              <w:spacing w:before="0" w:after="60"/>
            </w:pPr>
            <w:r>
              <w:t xml:space="preserve">$723,856.00</w:t>
            </w:r>
          </w:p>
        </w:tc>
      </w:tr>
      <w:tr>
        <w:tc>
          <w:tcPr>
            <w:tcW w:w="3000" w:type="dxa"/>
          </w:tcPr>
          <w:p>
            <w:pPr>
              <w:spacing w:before="0" w:after="60"/>
            </w:pPr>
            <w:r>
              <w:t xml:space="preserve">Oct 1, 2030 – Sep 30, 2031</w:t>
            </w:r>
          </w:p>
        </w:tc>
        <w:tc>
          <w:tcPr>
            <w:tcW w:w="1800" w:type="dxa"/>
          </w:tcPr>
          <w:p>
            <w:pPr>
              <w:spacing w:before="0" w:after="60"/>
            </w:pPr>
            <w:r>
              <w:t xml:space="preserve">$40.52</w:t>
            </w:r>
          </w:p>
        </w:tc>
        <w:tc>
          <w:tcPr>
            <w:tcW w:w="2300" w:type="dxa"/>
          </w:tcPr>
          <w:p>
            <w:pPr>
              <w:spacing w:before="0" w:after="60"/>
            </w:pPr>
            <w:r>
              <w:t xml:space="preserve">$62,130.67</w:t>
            </w:r>
          </w:p>
        </w:tc>
        <w:tc>
          <w:tcPr>
            <w:tcW w:w="2400" w:type="dxa"/>
          </w:tcPr>
          <w:p>
            <w:pPr>
              <w:spacing w:before="0" w:after="60"/>
            </w:pPr>
            <w:r>
              <w:t xml:space="preserve">$745,568.00</w:t>
            </w:r>
          </w:p>
        </w:tc>
      </w:tr>
      <w:tr>
        <w:tc>
          <w:tcPr>
            <w:tcW w:w="3000" w:type="dxa"/>
          </w:tcPr>
          <w:p>
            <w:pPr>
              <w:spacing w:before="0" w:after="60"/>
            </w:pPr>
            <w:r>
              <w:t xml:space="preserve">Oct 1, 2031 – Sep 30, 2032</w:t>
            </w:r>
          </w:p>
        </w:tc>
        <w:tc>
          <w:tcPr>
            <w:tcW w:w="1800" w:type="dxa"/>
          </w:tcPr>
          <w:p>
            <w:pPr>
              <w:spacing w:before="0" w:after="60"/>
            </w:pPr>
            <w:r>
              <w:t xml:space="preserve">$41.74</w:t>
            </w:r>
          </w:p>
        </w:tc>
        <w:tc>
          <w:tcPr>
            <w:tcW w:w="2300" w:type="dxa"/>
          </w:tcPr>
          <w:p>
            <w:pPr>
              <w:spacing w:before="0" w:after="60"/>
            </w:pPr>
            <w:r>
              <w:t xml:space="preserve">$63,997.33</w:t>
            </w:r>
          </w:p>
        </w:tc>
        <w:tc>
          <w:tcPr>
            <w:tcW w:w="2400" w:type="dxa"/>
          </w:tcPr>
          <w:p>
            <w:pPr>
              <w:spacing w:before="0" w:after="60"/>
            </w:pPr>
            <w:r>
              <w:t xml:space="preserve">$767,968.00</w:t>
            </w:r>
          </w:p>
        </w:tc>
      </w:tr>
      <w:tr>
        <w:tc>
          <w:tcPr>
            <w:tcW w:w="3000" w:type="dxa"/>
          </w:tcPr>
          <w:p>
            <w:pPr>
              <w:spacing w:before="0" w:after="60"/>
            </w:pPr>
            <w:r>
              <w:t xml:space="preserve">Oct 1, 2032 – Sep 30, 2033</w:t>
            </w:r>
          </w:p>
        </w:tc>
        <w:tc>
          <w:tcPr>
            <w:tcW w:w="1800" w:type="dxa"/>
          </w:tcPr>
          <w:p>
            <w:pPr>
              <w:spacing w:before="0" w:after="60"/>
            </w:pPr>
            <w:r>
              <w:t xml:space="preserve">$42.99</w:t>
            </w:r>
          </w:p>
        </w:tc>
        <w:tc>
          <w:tcPr>
            <w:tcW w:w="2300" w:type="dxa"/>
          </w:tcPr>
          <w:p>
            <w:pPr>
              <w:spacing w:before="0" w:after="60"/>
            </w:pPr>
            <w:r>
              <w:t xml:space="preserve">$65,918.00</w:t>
            </w:r>
          </w:p>
        </w:tc>
        <w:tc>
          <w:tcPr>
            <w:tcW w:w="2400" w:type="dxa"/>
          </w:tcPr>
          <w:p>
            <w:pPr>
              <w:spacing w:before="0" w:after="60"/>
            </w:pPr>
            <w:r>
              <w:t xml:space="preserve">$791,016.00</w:t>
            </w:r>
          </w:p>
        </w:tc>
      </w:tr>
      <w:tr>
        <w:tc>
          <w:tcPr>
            <w:tcW w:w="3000" w:type="dxa"/>
          </w:tcPr>
          <w:p>
            <w:pPr>
              <w:spacing w:before="0" w:after="60"/>
            </w:pPr>
            <w:r>
              <w:t xml:space="preserve">Oct 1, 2033 – Sep 30, 2034</w:t>
            </w:r>
          </w:p>
        </w:tc>
        <w:tc>
          <w:tcPr>
            <w:tcW w:w="1800" w:type="dxa"/>
          </w:tcPr>
          <w:p>
            <w:pPr>
              <w:spacing w:before="0" w:after="60"/>
            </w:pPr>
            <w:r>
              <w:t xml:space="preserve">$44.28</w:t>
            </w:r>
          </w:p>
        </w:tc>
        <w:tc>
          <w:tcPr>
            <w:tcW w:w="2300" w:type="dxa"/>
          </w:tcPr>
          <w:p>
            <w:pPr>
              <w:spacing w:before="0" w:after="60"/>
            </w:pPr>
            <w:r>
              <w:t xml:space="preserve">$67,896.00</w:t>
            </w:r>
          </w:p>
        </w:tc>
        <w:tc>
          <w:tcPr>
            <w:tcW w:w="2400" w:type="dxa"/>
          </w:tcPr>
          <w:p>
            <w:pPr>
              <w:spacing w:before="0" w:after="60"/>
            </w:pPr>
            <w:r>
              <w:t xml:space="preserve">$814,752.00</w:t>
            </w:r>
          </w:p>
        </w:tc>
      </w:tr>
    </w:tbl>
    <w:p>
      <w:pPr>
        <w:spacing w:before="0" w:after="80"/>
      </w:pPr>
    </w:p>
    <w:p>
      <w:pPr>
        <w:spacing w:before="0" w:after="120"/>
      </w:pPr>
      <w:r>
        <w:rPr>
          <w:b/>
          <w:bCs/>
        </w:rPr>
        <w:t xml:space="preserve">2.3   Operating Expenses (Base-Year Stop). </w:t>
      </w:r>
      <w:r>
        <w:t xml:space="preserve">Beginning January 1, 2028, Tenant shall pay Tenant Proportionate Share of the excess of Operating Expenses over the Base Year amount, as Additional Rent, per Article 3.</w:t>
      </w:r>
    </w:p>
    <w:p>
      <w:pPr>
        <w:spacing w:before="0" w:after="120"/>
      </w:pPr>
      <w:r>
        <w:rPr>
          <w:b/>
          <w:bCs/>
        </w:rPr>
        <w:t xml:space="preserve">2.4   Membership Percentage Rent. </w:t>
      </w:r>
      <w:r>
        <w:t xml:space="preserve">Tenant shall pay Percentage Rent equal to three percent (3%) of Net Member Revenue for each Lease Year in excess of the Natural Breakpoint. The "Natural Breakpoint" is the annual Base Rent then in effect divided by 0.03 (e.g., for Lease Year 1 (full), the Natural Breakpoint is $22,080,000 of Net Member Revenue, recognizing that Lease Year 1 begins with the Rent Commencement Date). "Net Member Revenue" means the gross dollar amount of all recurring and ancillary revenue collected by Tenant from Members for use of, and services provided at, the Premises (including dedicated desk fees, hot-desk fees, private-office fees, meeting-room/conference fees, event-space rentals, mailbox fees, parking referrals, printing, and revenue-share to Tenant from on-site food/beverage operators), less (a) Utah and local sales, lodging, and other taxes collected from Members; (b) bona fide refunds, credits, and discounts; (c) revenue allocated to enterprise-wide membership packages used at other Conflux locations and not attributable to the Premises (allocated on Tenant's good-faith basis); and (d) one-time origination and transfer fees that do not exceed five percent (5%) of Net Member Revenue in any Lease Year. Tenant remits Percentage Rent quarterly within thirty (30) days after each quarter end, with annual reconciliation within ninety (90) days after each Lease Year. Tenant maintains customary financial records for at least three (3) years and shall provide Landlord access for audit not more than once per Lease Year by a CPA on a non-contingency basis; if the audit shows an understatement greater than three percent (3%), Tenant shall pay the deficiency plus Landlord's reasonable audit costs up to $7,500.</w:t>
      </w:r>
    </w:p>
    <w:p>
      <w:pPr>
        <w:spacing w:before="0" w:after="120"/>
      </w:pPr>
      <w:r>
        <w:rPr>
          <w:b/>
          <w:bCs/>
        </w:rPr>
        <w:t xml:space="preserve">2.5   Abatement. </w:t>
      </w:r>
      <w:r>
        <w:t xml:space="preserve">During the Abatement Period, Base Rent (only) is abated. All Additional Rent (including any Operating Expense pass-throughs that become payable after the Base Year), utilities directly billed to Tenant, and any other charges remain payable.</w:t>
      </w:r>
    </w:p>
    <w:p>
      <w:pPr>
        <w:spacing w:before="0" w:after="120"/>
      </w:pPr>
      <w:r>
        <w:rPr>
          <w:b/>
          <w:bCs/>
        </w:rPr>
        <w:t xml:space="preserve">2.6   Required Payments at Execution. </w:t>
      </w:r>
      <w:r>
        <w:t xml:space="preserve">Within five (5) business days after the Effective Date, Tenant shall deliver (a) the first monthly installment of Base Rent due after the Abatement Period ($55,200.00); (b) the Letter of Credit ($525,000.00) in the form of Exhibit H; (c) the executed Parent Guaranty in the form of Exhibit X; and (d) certificates of insurance compliant with Article 11.</w:t>
      </w:r>
    </w:p>
    <w:p>
      <w:pPr>
        <w:spacing w:before="0" w:after="120"/>
      </w:pPr>
      <w:r>
        <w:rPr>
          <w:b/>
          <w:bCs/>
        </w:rPr>
        <w:t xml:space="preserve">2.7   Letter of Credit; Burn-Down. </w:t>
      </w:r>
      <w:r>
        <w:t xml:space="preserve">Tenant shall maintain the Letter of Credit per Exhibit H throughout the Term. Provided no Event of Default has occurred during the prior twelve months and Tenant's parent entity (and Guarantor) maintains a consolidated tangible net worth (audited) of not less than $40,000,000 and trailing-twelve-months consolidated EBITDA of not less than $0 (i.e., not loss-making at the consolidated level), the face amount shall reduce as follows: (a) to $400,000.00 effective on the second anniversary of the Rent Commencement Date; and (b) to $275,000.00 on the fifth anniversary. The Letter of Credit shall not reduce further. Upon Lease expiration and full performance, Landlord shall return the Letter of Credit (or unapplied balance) within thirty (30) days.</w:t>
      </w:r>
    </w:p>
    <w:p>
      <w:pPr>
        <w:spacing w:before="280" w:after="140"/>
        <w:keepNext/>
      </w:pPr>
      <w:r>
        <w:rPr>
          <w:b/>
          <w:bCs/>
          <w:sz w:val="28"/>
          <w:szCs w:val="28"/>
        </w:rPr>
        <w:t xml:space="preserve">ARTICLE 3.   OPERATING EXPENSES (BASE-YEAR STOP)</w:t>
      </w:r>
    </w:p>
    <w:p>
      <w:pPr>
        <w:spacing w:before="0" w:after="120"/>
      </w:pPr>
      <w:r>
        <w:rPr>
          <w:b/>
          <w:bCs/>
        </w:rPr>
        <w:t xml:space="preserve">3.1   Definition. </w:t>
      </w:r>
      <w:r>
        <w:t xml:space="preserve">"Operating Expenses" means all reasonable costs paid or incurred by Landlord during the applicable year in connection with the ownership, operation, management, repair, replacement, and maintenance of the Property, including common-area maintenance, common-area utilities, base-building HVAC, common-area janitorial, base-building life-safety, elevator service, parking-structure maintenance, real property taxes, property insurance, management fees, snow and ice removal, landscaping, and permitted capital improvements.</w:t>
      </w:r>
    </w:p>
    <w:p>
      <w:pPr>
        <w:spacing w:before="0" w:after="120"/>
      </w:pPr>
      <w:r>
        <w:rPr>
          <w:b/>
          <w:bCs/>
        </w:rPr>
        <w:t xml:space="preserve">3.2   Base Year; Pass-Through. </w:t>
      </w:r>
      <w:r>
        <w:t xml:space="preserve">The Base Year is calendar year 2027. Beginning January 1, 2028, Tenant shall pay Tenant Proportionate Share of the excess of Operating Expenses for each calendar year over the Base Year amount, paid as monthly estimates and reconciled annually. If the Building is less than ninety-five percent (95%) occupied during any calendar year (including the Base Year), variable Operating Expenses shall be grossed-up as if ninety-five percent (95%) occupied, applied uniformly to the Base Year and all subsequent years.</w:t>
      </w:r>
    </w:p>
    <w:p>
      <w:pPr>
        <w:spacing w:before="0" w:after="120"/>
      </w:pPr>
      <w:r>
        <w:rPr>
          <w:b/>
          <w:bCs/>
        </w:rPr>
        <w:t xml:space="preserve">3.3   Permitted Capital Items. </w:t>
      </w:r>
      <w:r>
        <w:t xml:space="preserve">Capital items pass through only if (a) intended to reduce Operating Expenses, (b) required by Laws first enacted or first applicable to the Property after the Base Year, or (c) for energy efficiency, in each case amortized over their useful lives.</w:t>
      </w:r>
    </w:p>
    <w:p>
      <w:pPr>
        <w:spacing w:before="0" w:after="120"/>
      </w:pPr>
      <w:r>
        <w:rPr>
          <w:b/>
          <w:bCs/>
        </w:rPr>
        <w:t xml:space="preserve">3.4   Exclusions. </w:t>
      </w:r>
      <w:r>
        <w:t xml:space="preserve">Operating Expenses exclude leasing commissions; marketing costs; tenant improvement allowances or build-out costs for other tenants; principal, interest, and financing costs on debt; depreciation; costs reimbursed by insurance or third parties; costs caused by Landlord's gross negligence or willful misconduct; costs to remediate hazardous materials present before the Effective Date and not caused by Tenant; capital items other than those permitted by Section 3.3; and Landlord's general corporate overhead.</w:t>
      </w:r>
    </w:p>
    <w:p>
      <w:pPr>
        <w:spacing w:before="0" w:after="120"/>
      </w:pPr>
      <w:r>
        <w:rPr>
          <w:b/>
          <w:bCs/>
        </w:rPr>
        <w:t xml:space="preserve">3.5   Management Fee. </w:t>
      </w:r>
      <w:r>
        <w:t xml:space="preserve">Operating Expenses may include a management fee not to exceed four percent (4%) of gross rents from the Property.</w:t>
      </w:r>
    </w:p>
    <w:p>
      <w:pPr>
        <w:spacing w:before="0" w:after="120"/>
      </w:pPr>
      <w:r>
        <w:rPr>
          <w:b/>
          <w:bCs/>
        </w:rPr>
        <w:t xml:space="preserve">3.6   Reconciliation; Audit. </w:t>
      </w:r>
      <w:r>
        <w:t xml:space="preserve">Within one hundred fifty (150) days after each calendar year, Landlord shall deliver a statement showing Base Year amount and current-year amount. Underpayments are due within thirty (30) days; overpayments are credited or refunded. Tenant may audit within sixty (60) days, by a CPA on a non-contingency basis. If overcharge exceeds five percent (5%), Landlord reimburses Tenant's audit costs up to $5,000.</w:t>
      </w:r>
    </w:p>
    <w:p>
      <w:pPr>
        <w:spacing w:before="0" w:after="120"/>
      </w:pPr>
      <w:r>
        <w:rPr>
          <w:b/>
          <w:bCs/>
        </w:rPr>
        <w:t xml:space="preserve">3.7   Controllable Expense Cap. </w:t>
      </w:r>
      <w:r>
        <w:t xml:space="preserve">Controllable Operating Expenses for any calendar year after the Base Year shall not increase by more than five percent (5%) per year on a cumulative, compounded basis. Controllable Operating Expenses exclude utilities, taxes, insurance, snow/ice, security, costs to comply with Laws, casualty/Force Majeure costs, and permitted capital items.</w:t>
      </w:r>
    </w:p>
    <w:p>
      <w:pPr>
        <w:spacing w:before="280" w:after="140"/>
        <w:keepNext/>
      </w:pPr>
      <w:r>
        <w:rPr>
          <w:b/>
          <w:bCs/>
          <w:sz w:val="28"/>
          <w:szCs w:val="28"/>
        </w:rPr>
        <w:t xml:space="preserve">ARTICLE 4.   UTILITIES; AFTER-HOURS HVAC; ELEVATED LOAD</w:t>
      </w:r>
    </w:p>
    <w:p>
      <w:pPr>
        <w:spacing w:before="0" w:after="120"/>
      </w:pPr>
      <w:r>
        <w:rPr>
          <w:b/>
          <w:bCs/>
        </w:rPr>
        <w:t xml:space="preserve">4.1   Base Services. </w:t>
      </w:r>
      <w:r>
        <w:t xml:space="preserve">Landlord furnishes, as Operating Expenses subject to the base-year stop, (a) HVAC, lighting, and electrical to the Premises during Building Standard Hours (Monday–Friday 6:00 a.m. to 8:00 p.m., Saturday 8:00 a.m. to 2:00 p.m., excluding Building holidays); (b) common-area janitorial; (c) common-area utilities; (d) base-building life-safety; (e) elevator service; and (f) common-area trash removal.</w:t>
      </w:r>
    </w:p>
    <w:p>
      <w:pPr>
        <w:spacing w:before="0" w:after="120"/>
      </w:pPr>
      <w:r>
        <w:rPr>
          <w:b/>
          <w:bCs/>
        </w:rPr>
        <w:t xml:space="preserve">4.2   Submetering; Elevated Load. </w:t>
      </w:r>
      <w:r>
        <w:t xml:space="preserve">Tenant's electricity consumption at the Premises shall be submetered to a check-meter installed by Tenant under Exhibit G, with consumption above a baseline equal to a typical full-floor single-tenant office (six (6) watts per RSF connected load, including HVAC fan energy attributable to the Premises) billed directly to Tenant at the utility's applicable tariff plus the Landlord administrative cost referenced in Article 3 (capped at 5%). The parties acknowledge that coworking operations typically generate higher people-density and ancillary load (audio/video equipment, kitchen, café equipment, printer/copier banks) than conventional office and that this Section 4.2 is intended to allocate that elevated load to Tenant equitably.</w:t>
      </w:r>
    </w:p>
    <w:p>
      <w:pPr>
        <w:spacing w:before="0" w:after="120"/>
      </w:pPr>
      <w:r>
        <w:rPr>
          <w:b/>
          <w:bCs/>
        </w:rPr>
        <w:t xml:space="preserve">4.3   After-Hours HVAC and Events. </w:t>
      </w:r>
      <w:r>
        <w:t xml:space="preserve">After-hours HVAC outside Building Standard Hours is available on request at the then-current Building rate (currently $50 per hour per zone, with a two-hour minimum). Tenant's evening event programming under Exhibit W is expected to use after-hours HVAC, and Tenant shall book and pay for it.</w:t>
      </w:r>
    </w:p>
    <w:p>
      <w:pPr>
        <w:spacing w:before="0" w:after="120"/>
      </w:pPr>
      <w:r>
        <w:rPr>
          <w:b/>
          <w:bCs/>
        </w:rPr>
        <w:t xml:space="preserve">4.4   In-Suite Janitorial; Trash. </w:t>
      </w:r>
      <w:r>
        <w:t xml:space="preserve">Tenant shall arrange and pay for janitorial within the Premises by a vendor experienced in coworking environments (typically once-daily clean plus evening reset and event turn-overs). Tenant shall manage member trash, recycling, and compost, with trash compacted and removed via the freight elevator and common-area receptacles consistent with Building rules.</w:t>
      </w:r>
    </w:p>
    <w:p>
      <w:pPr>
        <w:spacing w:before="0" w:after="120"/>
      </w:pPr>
      <w:r>
        <w:rPr>
          <w:b/>
          <w:bCs/>
        </w:rPr>
        <w:t xml:space="preserve">4.5   Interruption. </w:t>
      </w:r>
      <w:r>
        <w:t xml:space="preserve">No interruption of utility service caused by a utility provider or outside Landlord's reasonable control constitutes eviction or relieves Tenant of payment. If an interruption caused by Landlord's negligence continues more than three (3) consecutive business days and materially prevents Tenant from operating the affected portion of the Premises, Tenant's sole remedy is a proportionate Base Rent abatement for actual loss of use.</w:t>
      </w:r>
    </w:p>
    <w:p>
      <w:pPr>
        <w:spacing w:before="280" w:after="140"/>
        <w:keepNext/>
      </w:pPr>
      <w:r>
        <w:rPr>
          <w:b/>
          <w:bCs/>
          <w:sz w:val="28"/>
          <w:szCs w:val="28"/>
        </w:rPr>
        <w:t xml:space="preserve">ARTICLE 5.   USE; MEMBER AGREEMENTS; DENSITY; EVENTS; COMMON AREAS</w:t>
      </w:r>
    </w:p>
    <w:p>
      <w:pPr>
        <w:spacing w:before="0" w:after="120"/>
      </w:pPr>
      <w:r>
        <w:rPr>
          <w:b/>
          <w:bCs/>
        </w:rPr>
        <w:t xml:space="preserve">5.1   Permitted Use. </w:t>
      </w:r>
      <w:r>
        <w:t xml:space="preserve">Tenant shall use the Premises only for the Permitted Use and shall comply with all Laws, the certificate of occupancy, Salt Lake City zoning, Building rules, and recorded restrictions.</w:t>
      </w:r>
    </w:p>
    <w:p>
      <w:pPr>
        <w:spacing w:before="0" w:after="120"/>
      </w:pPr>
      <w:r>
        <w:rPr>
          <w:b/>
          <w:bCs/>
        </w:rPr>
        <w:t xml:space="preserve">5.2   Member Agreements as Subleases. </w:t>
      </w:r>
      <w:r>
        <w:t xml:space="preserve">Tenant may license, rent, and provide office services to Members under written Member Agreements consistent with Exhibit W. Member Agreements are sub-leases for the limited purpose of Tenant's right to grant such occupancy under Article 8 (and are deemed pre-approved by Landlord), but are not subleases requiring further Landlord consent under Section 8.1, provided that (a) each Member Agreement is on a month-to-month or short-term basis (initial term not exceeding twelve (12) months) or otherwise consistent with Exhibit W; (b) the Member Agreement is in a form consistent with Tenant's standard operating practices and includes the subordination, waiver, and surrender provisions required by Exhibit W; and (c) the Member's rights are subject and subordinate to this Lease and terminate automatically upon termination of this Lease.</w:t>
      </w:r>
    </w:p>
    <w:p>
      <w:pPr>
        <w:spacing w:before="0" w:after="120"/>
      </w:pPr>
      <w:r>
        <w:rPr>
          <w:b/>
          <w:bCs/>
        </w:rPr>
        <w:t xml:space="preserve">5.3   Headcount Density Cap. </w:t>
      </w:r>
      <w:r>
        <w:t xml:space="preserve">Concurrent occupancy of the Premises shall not exceed the Headcount Density Cap in Article 1, except as expressly permitted by Exhibit W. Tenant shall maintain reasonable systems (key-card entry, sign-in protocols) to monitor occupancy and shall provide Landlord with concurrent-occupancy summary data on Landlord's reasonable request (not more than quarterly), subject to confidentiality and member-privacy considerations.</w:t>
      </w:r>
    </w:p>
    <w:p>
      <w:pPr>
        <w:spacing w:before="0" w:after="120"/>
      </w:pPr>
      <w:r>
        <w:rPr>
          <w:b/>
          <w:bCs/>
        </w:rPr>
        <w:t xml:space="preserve">5.4   Member Verification; Anti-Money-Laundering. </w:t>
      </w:r>
      <w:r>
        <w:t xml:space="preserve">Tenant shall maintain commercially reasonable member-verification procedures, including identity verification, and shall not knowingly enter into a Member Agreement with any person or entity (a) on any U.S. government prohibited-party list (OFAC SDN, Specially Designated Persons, or similar); (b) using the Premises primarily for criminal, fraudulent, or money-laundering purposes; or (c) using the Premises as a residential address or for residential occupancy. Use of the Premises as a Member's "registered office" or "business address" is permitted to the extent customary for shared-workspace operations.</w:t>
      </w:r>
    </w:p>
    <w:p>
      <w:pPr>
        <w:spacing w:before="0" w:after="120"/>
      </w:pPr>
      <w:r>
        <w:rPr>
          <w:b/>
          <w:bCs/>
        </w:rPr>
        <w:t xml:space="preserve">5.5   Events; Liquor Service. </w:t>
      </w:r>
      <w:r>
        <w:t xml:space="preserve">Tenant may host events at the Premises consistent with Exhibit W, including periodic evening community events. Service of beer and wine at events is permitted with Landlord's prior written consent (which is granted, conditionally, in Exhibit W) and only by a third-party caterer holding the appropriate DABS Single-Event Permit or other applicable DABS license. Tenant shall not maintain a Tasting Room or other ongoing alcohol-licensed operation at the Premises without Landlord's further written consent.</w:t>
      </w:r>
    </w:p>
    <w:p>
      <w:pPr>
        <w:spacing w:before="0" w:after="120"/>
      </w:pPr>
      <w:r>
        <w:rPr>
          <w:b/>
          <w:bCs/>
        </w:rPr>
        <w:t xml:space="preserve">5.6   Operating Standard. </w:t>
      </w:r>
      <w:r>
        <w:t xml:space="preserve">Tenant shall operate the facility consistently with industry-leading practices for institutional coworking operators, including cleanliness, IT performance, member service responsiveness, programming quality, and brand presentation.</w:t>
      </w:r>
    </w:p>
    <w:p>
      <w:pPr>
        <w:spacing w:before="0" w:after="120"/>
      </w:pPr>
      <w:r>
        <w:rPr>
          <w:b/>
          <w:bCs/>
        </w:rPr>
        <w:t xml:space="preserve">5.7   No Use as Residential or Solely Mailing. </w:t>
      </w:r>
      <w:r>
        <w:t xml:space="preserve">No portion of the Premises shall be used as residential occupancy; no Member or other person shall sleep, shower, or reside at the Premises overnight. Tenant may provide mail/package services to Members consistent with Exhibit W; "virtual office" memberships are permitted but shall not constitute the primary revenue source for the Premises.</w:t>
      </w:r>
    </w:p>
    <w:p>
      <w:pPr>
        <w:spacing w:before="0" w:after="120"/>
      </w:pPr>
      <w:r>
        <w:rPr>
          <w:b/>
          <w:bCs/>
        </w:rPr>
        <w:t xml:space="preserve">5.8   Common Areas. </w:t>
      </w:r>
      <w:r>
        <w:t xml:space="preserve">Tenant's and Members' use of the Building's common areas (lobby, elevators, restrooms) is on a non-exclusive basis, subject to the Rules. Members shall comply with Building Rules; Tenant shall enforce.</w:t>
      </w:r>
    </w:p>
    <w:p>
      <w:pPr>
        <w:spacing w:before="0" w:after="120"/>
      </w:pPr>
      <w:r>
        <w:rPr>
          <w:b/>
          <w:bCs/>
        </w:rPr>
        <w:t xml:space="preserve">5.9   Member Front-Door Access. </w:t>
      </w:r>
      <w:r>
        <w:t xml:space="preserve">Tenant shall use a key-card or mobile-credential system for Member access to the Premises consistent with Building security; Tenant shall coordinate with Landlord's base-building security and shall not bypass base-building access controls. Tenant may permit 24/7 Member access subject to base-building access protocols.</w:t>
      </w:r>
    </w:p>
    <w:p>
      <w:pPr>
        <w:spacing w:before="0" w:after="120"/>
      </w:pPr>
      <w:r>
        <w:rPr>
          <w:b/>
          <w:bCs/>
        </w:rPr>
        <w:t xml:space="preserve">5.10   Signage. </w:t>
      </w:r>
      <w:r>
        <w:t xml:space="preserve">Tenant shall be entitled to (a) one (1) suite-entry sign in Building-standard format at the elevator lobby on Floor 7, (b) two (2) lines on the Building lobby directory, and (c) interior signage within the Premises. Tenant shall not place exterior building signage or signage in common-area corridors not used for Tenant's suite access. Branded signage in lobby spaces is permitted only in Tenant's reception area within the Premises.</w:t>
      </w:r>
    </w:p>
    <w:p>
      <w:pPr>
        <w:spacing w:before="280" w:after="140"/>
        <w:keepNext/>
      </w:pPr>
      <w:r>
        <w:rPr>
          <w:b/>
          <w:bCs/>
          <w:sz w:val="28"/>
          <w:szCs w:val="28"/>
        </w:rPr>
        <w:t xml:space="preserve">ARTICLE 6.   CONDITION AND DELIVERY</w:t>
      </w:r>
    </w:p>
    <w:p>
      <w:pPr>
        <w:spacing w:before="0" w:after="120"/>
      </w:pPr>
      <w:r>
        <w:rPr>
          <w:b/>
          <w:bCs/>
        </w:rPr>
        <w:t xml:space="preserve">6.1   Delivery. </w:t>
      </w:r>
      <w:r>
        <w:t xml:space="preserve">Subject to Landlord Work in Exhibit G, Tenant accepts the Premises in their "AS IS, WHERE IS" condition. Landlord's delivery includes Building-standard demising elements, base-building HVAC, base electrical, plumbing connections, life-safety stub-outs, the current Certificate of Occupancy for the Building shell, and the "warm shell" base-building items listed in Exhibit G.</w:t>
      </w:r>
    </w:p>
    <w:p>
      <w:pPr>
        <w:spacing w:before="0" w:after="120"/>
      </w:pPr>
      <w:r>
        <w:rPr>
          <w:b/>
          <w:bCs/>
        </w:rPr>
        <w:t xml:space="preserve">6.2   Tenant's Build-Out. </w:t>
      </w:r>
      <w:r>
        <w:t xml:space="preserve">Tenant shall perform Tenant's build-out at its sole cost (subject to the TI Allowance), including private office demising, glass fronts, member desking, phone booths, meeting room AV, café and pantry, reception, security/access-control, low-voltage cabling, supplemental HVAC for IDF/equipment rooms, signage, and FF&amp;E.</w:t>
      </w:r>
    </w:p>
    <w:p>
      <w:pPr>
        <w:spacing w:before="0" w:after="120"/>
      </w:pPr>
      <w:r>
        <w:rPr>
          <w:b/>
          <w:bCs/>
        </w:rPr>
        <w:t xml:space="preserve">6.3   Permits. </w:t>
      </w:r>
      <w:r>
        <w:t xml:space="preserve">Tenant shall obtain all building, fire, mechanical, electrical, plumbing, and accessibility permits for its build-out. Landlord shall reasonably cooperate without cost.</w:t>
      </w:r>
    </w:p>
    <w:p>
      <w:pPr>
        <w:spacing w:before="0" w:after="120"/>
      </w:pPr>
      <w:r>
        <w:rPr>
          <w:b/>
          <w:bCs/>
        </w:rPr>
        <w:t xml:space="preserve">6.4   Early Access. </w:t>
      </w:r>
      <w:r>
        <w:t xml:space="preserve">Beginning September 4, 2026, Tenant may enter the Premises solely for Tenant's build-out work, with insurance certificates and Landlord coordination. Early access does not advance the Commencement Date.</w:t>
      </w:r>
    </w:p>
    <w:p>
      <w:pPr>
        <w:spacing w:before="0" w:after="120"/>
      </w:pPr>
      <w:r>
        <w:rPr>
          <w:b/>
          <w:bCs/>
        </w:rPr>
        <w:t xml:space="preserve">6.5   Confirmation. </w:t>
      </w:r>
      <w:r>
        <w:t xml:space="preserve">Within ten (10) days after Landlord's delivery, the parties shall execute Exhibit F.</w:t>
      </w:r>
    </w:p>
    <w:p>
      <w:pPr>
        <w:spacing w:before="0" w:after="120"/>
      </w:pPr>
      <w:r>
        <w:rPr>
          <w:b/>
          <w:bCs/>
        </w:rPr>
        <w:t xml:space="preserve">6.6   Outside Date. </w:t>
      </w:r>
      <w:r>
        <w:t xml:space="preserve">If Landlord fails to deliver in the required condition by November 15, 2026 for reasons other than Tenant Delay or Force Majeure, Tenant may terminate within thirty (30) days after the outside date, and Landlord shall refund prepaid sums.</w:t>
      </w:r>
    </w:p>
    <w:p>
      <w:pPr>
        <w:spacing w:before="280" w:after="140"/>
        <w:keepNext/>
      </w:pPr>
      <w:r>
        <w:rPr>
          <w:b/>
          <w:bCs/>
          <w:sz w:val="28"/>
          <w:szCs w:val="28"/>
        </w:rPr>
        <w:t xml:space="preserve">ARTICLE 7.   SUBORDINATION; SNDA; ESTOPPEL</w:t>
      </w:r>
    </w:p>
    <w:p>
      <w:pPr>
        <w:spacing w:before="0" w:after="120"/>
      </w:pPr>
      <w:r>
        <w:rPr>
          <w:b/>
          <w:bCs/>
        </w:rPr>
        <w:t xml:space="preserve">7.1   Subordination. </w:t>
      </w:r>
      <w:r>
        <w:t xml:space="preserve">Subject to receipt of a commercially reasonable SNDA from any future superior interest, this Lease is subordinate to all mortgages, deeds of trust, and ground leases now or hereafter affecting the Property.</w:t>
      </w:r>
    </w:p>
    <w:p>
      <w:pPr>
        <w:spacing w:before="0" w:after="120"/>
      </w:pPr>
      <w:r>
        <w:rPr>
          <w:b/>
          <w:bCs/>
        </w:rPr>
        <w:t xml:space="preserve">7.2   Estoppel. </w:t>
      </w:r>
      <w:r>
        <w:t xml:space="preserve">Tenant shall deliver estoppel certificates within ten (10) business days after request.</w:t>
      </w:r>
    </w:p>
    <w:p>
      <w:pPr>
        <w:spacing w:before="280" w:after="140"/>
        <w:keepNext/>
      </w:pPr>
      <w:r>
        <w:rPr>
          <w:b/>
          <w:bCs/>
          <w:sz w:val="28"/>
          <w:szCs w:val="28"/>
        </w:rPr>
        <w:t xml:space="preserve">ARTICLE 8.   ASSIGNMENT, SUBLETTING, AND MEMBER AGREEMENTS</w:t>
      </w:r>
    </w:p>
    <w:p>
      <w:pPr>
        <w:spacing w:before="0" w:after="120"/>
      </w:pPr>
      <w:r>
        <w:rPr>
          <w:b/>
          <w:bCs/>
        </w:rPr>
        <w:t xml:space="preserve">8.1   Consent. </w:t>
      </w:r>
      <w:r>
        <w:t xml:space="preserve">Except as provided in Sections 5.2 and 8.4, Tenant shall not assign this Lease, sublet any portion of the Premises (other than to Members under compliant Member Agreements), mortgage or pledge its leasehold interest, or permit any transfer by operation of law, merger, change of control, or sale of substantially all assets, without Landlord's prior written consent, not to be unreasonably withheld.</w:t>
      </w:r>
    </w:p>
    <w:p>
      <w:pPr>
        <w:spacing w:before="0" w:after="120"/>
      </w:pPr>
      <w:r>
        <w:rPr>
          <w:b/>
          <w:bCs/>
        </w:rPr>
        <w:t xml:space="preserve">8.2   Member Agreements Pre-Approved. </w:t>
      </w:r>
      <w:r>
        <w:t xml:space="preserve">Per Section 5.2, Tenant's grant of occupancy to Members under Member Agreements complying with Exhibit W does not require Landlord's further consent and is not subject to the recapture, profit-sharing, or other restrictions in Sections 8.3 or 8.5.</w:t>
      </w:r>
    </w:p>
    <w:p>
      <w:pPr>
        <w:spacing w:before="0" w:after="120"/>
      </w:pPr>
      <w:r>
        <w:rPr>
          <w:b/>
          <w:bCs/>
        </w:rPr>
        <w:t xml:space="preserve">8.3   Recapture; Excess Consideration. </w:t>
      </w:r>
      <w:r>
        <w:t xml:space="preserve">If Tenant requests consent to assign this Lease or sublet more than fifty percent (50%) of the Premises (outside of Member Agreements), Landlord may instead elect to recapture on the proposed effective date; Tenant may rescind the request within ten (10) business days after recapture notice. After deducting reasonable and customary transfer costs, fifty percent (50%) of any excess transfer consideration is payable to Landlord; this Section 8.3 does not apply to Member Agreements or Permitted Transfers.</w:t>
      </w:r>
    </w:p>
    <w:p>
      <w:pPr>
        <w:spacing w:before="0" w:after="120"/>
      </w:pPr>
      <w:r>
        <w:rPr>
          <w:b/>
          <w:bCs/>
        </w:rPr>
        <w:t xml:space="preserve">8.4   Permitted Transfers. </w:t>
      </w:r>
      <w:r>
        <w:t xml:space="preserve">Tenant may transfer to (a) an Affiliate; (b) a surviving entity in a merger or sale of substantially all assets; or (c) a successor in a recapitalization, financing round, or initial public offering, without Landlord's consent, upon at least fifteen (15) days' prior written notice, provided (i) the use, operating model, and member-service standards are maintained; (ii) the transferee (or the parent providing the Guaranty under Section 2.7 / Exhibit X) has consolidated tangible net worth not less than $40,000,000; and (iii) the original Tenant and any Guarantor (subject to burn-off under Exhibit X) remain liable. A change of branding (e.g., from "Conflux" to a different brand owned by the surviving entity) is permitted provided the operating model continues to comply with this Lease.</w:t>
      </w:r>
    </w:p>
    <w:p>
      <w:pPr>
        <w:spacing w:before="0" w:after="120"/>
      </w:pPr>
      <w:r>
        <w:rPr>
          <w:b/>
          <w:bCs/>
        </w:rPr>
        <w:t xml:space="preserve">8.5   Operator-Stress Trigger. </w:t>
      </w:r>
      <w:r>
        <w:t xml:space="preserve">If Tenant's parent entity files for relief under the Bankruptcy Code, or publicly announces a workout, restructuring, or reorganization of its lease portfolio, Tenant shall promptly notify Landlord; Landlord and Tenant shall meet in good faith to discuss the impact at the Premises. Notwithstanding any other Article, Landlord shall have the right to draw on the Letter of Credit per its terms upon such filing.</w:t>
      </w:r>
    </w:p>
    <w:p>
      <w:pPr>
        <w:spacing w:before="0" w:after="120"/>
      </w:pPr>
      <w:r>
        <w:rPr>
          <w:b/>
          <w:bCs/>
        </w:rPr>
        <w:t xml:space="preserve">8.6   No Release. </w:t>
      </w:r>
      <w:r>
        <w:t xml:space="preserve">No transfer releases Tenant unless Landlord expressly agrees in writing.</w:t>
      </w:r>
    </w:p>
    <w:p>
      <w:pPr>
        <w:spacing w:before="280" w:after="140"/>
        <w:keepNext/>
      </w:pPr>
      <w:r>
        <w:rPr>
          <w:b/>
          <w:bCs/>
          <w:sz w:val="28"/>
          <w:szCs w:val="28"/>
        </w:rPr>
        <w:t xml:space="preserve">ARTICLE 9.   ENVIRONMENTAL</w:t>
      </w:r>
    </w:p>
    <w:p>
      <w:pPr>
        <w:spacing w:before="0" w:after="120"/>
      </w:pPr>
      <w:r>
        <w:rPr>
          <w:b/>
          <w:bCs/>
        </w:rPr>
        <w:t xml:space="preserve">9.1   Restriction. </w:t>
      </w:r>
      <w:r>
        <w:t xml:space="preserve">Tenant shall not generate, store, use, treat, transport, release, or dispose of Hazardous Materials at the Property except (a) de minimis office and cleaning supplies; (b) sanitation and pantry supplies customarily used in coworking and food/beverage service; (c) refrigerants in customary office and pantry refrigeration; and (d) low-quantity printer/copier toner and consumables.</w:t>
      </w:r>
    </w:p>
    <w:p>
      <w:pPr>
        <w:spacing w:before="0" w:after="120"/>
      </w:pPr>
      <w:r>
        <w:rPr>
          <w:b/>
          <w:bCs/>
        </w:rPr>
        <w:t xml:space="preserve">9.2   Notice; Compliance. </w:t>
      </w:r>
      <w:r>
        <w:t xml:space="preserve">Tenant shall comply with Environmental Laws and notify Landlord of any spill, release, or regulatory notice.</w:t>
      </w:r>
    </w:p>
    <w:p>
      <w:pPr>
        <w:spacing w:before="0" w:after="120"/>
      </w:pPr>
      <w:r>
        <w:rPr>
          <w:b/>
          <w:bCs/>
        </w:rPr>
        <w:t xml:space="preserve">9.3   Remediation. </w:t>
      </w:r>
      <w:r>
        <w:t xml:space="preserve">Tenant shall, at its sole cost, remediate any release caused, contributed to, or exacerbated by Tenant.</w:t>
      </w:r>
    </w:p>
    <w:p>
      <w:pPr>
        <w:spacing w:before="280" w:after="140"/>
        <w:keepNext/>
      </w:pPr>
      <w:r>
        <w:rPr>
          <w:b/>
          <w:bCs/>
          <w:sz w:val="28"/>
          <w:szCs w:val="28"/>
        </w:rPr>
        <w:t xml:space="preserve">ARTICLE 10.   LANDLORD INSURANCE</w:t>
      </w:r>
    </w:p>
    <w:p>
      <w:pPr>
        <w:spacing w:before="0" w:after="120"/>
      </w:pPr>
      <w:r>
        <w:t xml:space="preserve">Landlord shall maintain commercial property insurance for the Building (special form, replacement cost), commercial general liability, rental value, and such other insurance as Landlord or its lender deems appropriate. Cost is included in Operating Expenses subject to Article 3. Landlord's property insurance does not cover Tenant's FF&amp;E, member property, or leasehold improvements after the initial build-out.</w:t>
      </w:r>
    </w:p>
    <w:p>
      <w:pPr>
        <w:spacing w:before="280" w:after="140"/>
        <w:keepNext/>
      </w:pPr>
      <w:r>
        <w:rPr>
          <w:b/>
          <w:bCs/>
          <w:sz w:val="28"/>
          <w:szCs w:val="28"/>
        </w:rPr>
        <w:t xml:space="preserve">ARTICLE 11.   TENANT INSURANCE</w:t>
      </w:r>
    </w:p>
    <w:p>
      <w:pPr>
        <w:spacing w:before="0" w:after="120"/>
      </w:pPr>
      <w:r>
        <w:rPr>
          <w:b/>
          <w:bCs/>
        </w:rPr>
        <w:t xml:space="preserve">11.1   Required Policies.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$3,000,000 per occurrence / $6,000,000 aggregate (umbrella may be used).</w:t>
            </w:r>
          </w:p>
        </w:tc>
      </w:tr>
      <w:tr>
        <w:tc>
          <w:tcPr>
            <w:tcW w:w="3600" w:type="dxa"/>
          </w:tcPr>
          <w:p>
            <w:pPr>
              <w:spacing w:before="0" w:after="60"/>
            </w:pPr>
            <w:r>
              <w:t xml:space="preserve">Liquor Liability / Host Liquor</w:t>
            </w:r>
          </w:p>
        </w:tc>
        <w:tc>
          <w:tcPr>
            <w:tcW w:w="5900" w:type="dxa"/>
          </w:tcPr>
          <w:p>
            <w:pPr>
              <w:spacing w:before="0" w:after="60"/>
            </w:pPr>
            <w:r>
              <w:t xml:space="preserve">$2,000,000 per occurrence (dedicated and non-eroding) — applicable to events where alcohol is served (whether by third-party caterer or by Tenant under a Single-Event Permit).</w:t>
            </w:r>
          </w:p>
        </w:tc>
      </w:tr>
      <w:tr>
        <w:tc>
          <w:tcPr>
            <w:tcW w:w="3600" w:type="dxa"/>
          </w:tcPr>
          <w:p>
            <w:pPr>
              <w:spacing w:before="0" w:after="60"/>
            </w:pPr>
            <w:r>
              <w:t xml:space="preserve">Commercial Property (Special Form)</w:t>
            </w:r>
          </w:p>
        </w:tc>
        <w:tc>
          <w:tcPr>
            <w:tcW w:w="5900" w:type="dxa"/>
          </w:tcPr>
          <w:p>
            <w:pPr>
              <w:spacing w:before="0" w:after="60"/>
            </w:pPr>
            <w:r>
              <w:t xml:space="preserve">Full replacement cost of Tenant's FF&amp;E, AV, IT, leasehold improvements, and inventory.</w:t>
            </w:r>
          </w:p>
        </w:tc>
      </w:tr>
      <w:tr>
        <w:tc>
          <w:tcPr>
            <w:tcW w:w="3600" w:type="dxa"/>
          </w:tcPr>
          <w:p>
            <w:pPr>
              <w:spacing w:before="0" w:after="60"/>
            </w:pPr>
            <w:r>
              <w:t xml:space="preserve">Business Interruption / Extra Expense</w:t>
            </w:r>
          </w:p>
        </w:tc>
        <w:tc>
          <w:tcPr>
            <w:tcW w:w="5900" w:type="dxa"/>
          </w:tcPr>
          <w:p>
            <w:pPr>
              <w:spacing w:before="0" w:after="60"/>
            </w:pPr>
            <w:r>
              <w:t xml:space="preserve">Twelve (12) months of fixed and variable expenses.</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EL $1,000,000.</w:t>
            </w:r>
          </w:p>
        </w:tc>
      </w:tr>
      <w:tr>
        <w:tc>
          <w:tcPr>
            <w:tcW w:w="3600" w:type="dxa"/>
          </w:tcPr>
          <w:p>
            <w:pPr>
              <w:spacing w:before="0" w:after="60"/>
            </w:pPr>
            <w:r>
              <w:t xml:space="preserve">Cyber Liability</w:t>
            </w:r>
          </w:p>
        </w:tc>
        <w:tc>
          <w:tcPr>
            <w:tcW w:w="5900" w:type="dxa"/>
          </w:tcPr>
          <w:p>
            <w:pPr>
              <w:spacing w:before="0" w:after="60"/>
            </w:pPr>
            <w:r>
              <w:t xml:space="preserve">$3,000,000, including third-party member-data breach.</w:t>
            </w:r>
          </w:p>
        </w:tc>
      </w:tr>
      <w:tr>
        <w:tc>
          <w:tcPr>
            <w:tcW w:w="3600" w:type="dxa"/>
          </w:tcPr>
          <w:p>
            <w:pPr>
              <w:spacing w:before="0" w:after="60"/>
            </w:pPr>
            <w:r>
              <w:t xml:space="preserve">Employment Practices Liability</w:t>
            </w:r>
          </w:p>
        </w:tc>
        <w:tc>
          <w:tcPr>
            <w:tcW w:w="5900" w:type="dxa"/>
          </w:tcPr>
          <w:p>
            <w:pPr>
              <w:spacing w:before="0" w:after="60"/>
            </w:pPr>
            <w:r>
              <w:t xml:space="preserve">$2,000,000.</w:t>
            </w:r>
          </w:p>
        </w:tc>
      </w:tr>
      <w:tr>
        <w:tc>
          <w:tcPr>
            <w:tcW w:w="3600" w:type="dxa"/>
          </w:tcPr>
          <w:p>
            <w:pPr>
              <w:spacing w:before="0" w:after="60"/>
            </w:pPr>
            <w:r>
              <w:t xml:space="preserve">Crime / Fidelity</w:t>
            </w:r>
          </w:p>
        </w:tc>
        <w:tc>
          <w:tcPr>
            <w:tcW w:w="5900" w:type="dxa"/>
          </w:tcPr>
          <w:p>
            <w:pPr>
              <w:spacing w:before="0" w:after="60"/>
            </w:pPr>
            <w:r>
              <w:t xml:space="preserve">$1,000,000 (employee dishonesty, member funds in trust if applicable).</w:t>
            </w:r>
          </w:p>
        </w:tc>
      </w:tr>
      <w:tr>
        <w:tc>
          <w:tcPr>
            <w:tcW w:w="3600" w:type="dxa"/>
          </w:tcPr>
          <w:p>
            <w:pPr>
              <w:spacing w:before="0" w:after="60"/>
            </w:pPr>
            <w:r>
              <w:t xml:space="preserve">Umbrella / Excess Liability</w:t>
            </w:r>
          </w:p>
        </w:tc>
        <w:tc>
          <w:tcPr>
            <w:tcW w:w="5900" w:type="dxa"/>
          </w:tcPr>
          <w:p>
            <w:pPr>
              <w:spacing w:before="0" w:after="60"/>
            </w:pPr>
            <w:r>
              <w:t xml:space="preserve">$10,000,000 each occurrence/aggregate.</w:t>
            </w:r>
          </w:p>
        </w:tc>
      </w:tr>
    </w:tbl>
    <w:p>
      <w:pPr>
        <w:spacing w:before="0" w:after="80"/>
      </w:pPr>
    </w:p>
    <w:p>
      <w:pPr>
        <w:spacing w:before="0" w:after="120"/>
      </w:pPr>
      <w:r>
        <w:rPr>
          <w:b/>
          <w:bCs/>
        </w:rPr>
        <w:t xml:space="preserve">11.2   Additional Insureds. </w:t>
      </w:r>
      <w:r>
        <w:t xml:space="preserve">Landlord and its lender are named as additional insureds on CGL, Liquor, Auto, and Umbrella policies on a primary and noncontributory basis.</w:t>
      </w:r>
    </w:p>
    <w:p>
      <w:pPr>
        <w:spacing w:before="0" w:after="120"/>
      </w:pPr>
      <w:r>
        <w:rPr>
          <w:b/>
          <w:bCs/>
        </w:rPr>
        <w:t xml:space="preserve">11.3   Member Waiver. </w:t>
      </w:r>
      <w:r>
        <w:t xml:space="preserve">Member Agreements shall require Members to carry their own renters'/business-personal-property insurance and shall include a release of Landlord and Tenant for damage to Member property to the extent customary in coworking Member Agreements.</w:t>
      </w:r>
    </w:p>
    <w:p>
      <w:pPr>
        <w:spacing w:before="0" w:after="120"/>
      </w:pPr>
      <w:r>
        <w:rPr>
          <w:b/>
          <w:bCs/>
        </w:rPr>
        <w:t xml:space="preserve">11.4   Certificates; Failure to Insure. </w:t>
      </w:r>
      <w:r>
        <w:t xml:space="preserve">Tenant shall deliver certificates of insurance and required endorsements before the Commencement Date and at least thirty (30) days before each policy expiration.</w:t>
      </w:r>
    </w:p>
    <w:p>
      <w:pPr>
        <w:spacing w:before="280" w:after="140"/>
        <w:keepNext/>
      </w:pPr>
      <w:r>
        <w:rPr>
          <w:b/>
          <w:bCs/>
          <w:sz w:val="28"/>
          <w:szCs w:val="28"/>
        </w:rPr>
        <w:t xml:space="preserve">ARTICLE 12.   WAIVER OF SUBROGATION</w:t>
      </w:r>
    </w:p>
    <w:p>
      <w:pPr>
        <w:spacing w:before="0" w:after="120"/>
      </w:pPr>
      <w:r>
        <w:t xml:space="preserve">Landlord and Tenant waive claims against each other for losses to the extent covered, or required to be covered, by the property insurance policies maintained or required under this Lease.</w:t>
      </w:r>
    </w:p>
    <w:p>
      <w:pPr>
        <w:spacing w:before="280" w:after="140"/>
        <w:keepNext/>
      </w:pPr>
      <w:r>
        <w:rPr>
          <w:b/>
          <w:bCs/>
          <w:sz w:val="28"/>
          <w:szCs w:val="28"/>
        </w:rPr>
        <w:t xml:space="preserve">ARTICLE 13.   ALTERATIONS</w:t>
      </w:r>
    </w:p>
    <w:p>
      <w:pPr>
        <w:spacing w:before="0" w:after="120"/>
      </w:pPr>
      <w:r>
        <w:rPr>
          <w:b/>
          <w:bCs/>
        </w:rPr>
        <w:t xml:space="preserve">13.1   Consent. </w:t>
      </w:r>
      <w:r>
        <w:t xml:space="preserve">Tenant shall not make alterations without Landlord's prior written consent, not to be unreasonably withheld for interior non-structural alterations that do not affect the roof, structure, slab, utility capacity, fire/life-safety, or base-building HVAC.</w:t>
      </w:r>
    </w:p>
    <w:p>
      <w:pPr>
        <w:spacing w:before="0" w:after="120"/>
      </w:pPr>
      <w:r>
        <w:rPr>
          <w:b/>
          <w:bCs/>
        </w:rPr>
        <w:t xml:space="preserve">13.2   Heightened-Review Alterations. </w:t>
      </w:r>
      <w:r>
        <w:t xml:space="preserve">Heightened review applies to: penetrations of structural slab; alterations affecting plumbing risers (especially if Tenant adds an in-suite kitchen with grease interceptor or significant in-suite plumbing fixtures beyond pantry-level); supplemental HVAC connecting to base-building systems; sprinkler reconfiguration; back-of-house electrical changes; and material reconfiguration of the suite that materially changes density or egress.</w:t>
      </w:r>
    </w:p>
    <w:p>
      <w:pPr>
        <w:spacing w:before="0" w:after="120"/>
      </w:pPr>
      <w:r>
        <w:rPr>
          <w:b/>
          <w:bCs/>
        </w:rPr>
        <w:t xml:space="preserve">13.3   Minor Alterations. </w:t>
      </w:r>
      <w:r>
        <w:t xml:space="preserve">Tenant may perform non-structural interior cosmetic alterations costing less than $40,000 per project and $150,000 in the aggregate per Lease Year without Landlord's consent, with ten (10) business days' prior notice.</w:t>
      </w:r>
    </w:p>
    <w:p>
      <w:pPr>
        <w:spacing w:before="0" w:after="120"/>
      </w:pPr>
      <w:r>
        <w:rPr>
          <w:b/>
          <w:bCs/>
        </w:rPr>
        <w:t xml:space="preserve">13.4   Removal at Surrender. </w:t>
      </w:r>
      <w:r>
        <w:t xml:space="preserve">At consent time, Landlord designates removal. Demountable office partitions, glass fronts, member desking, phone booths, café/pantry equipment, FF&amp;E, AV, low-voltage cabling, and Tenant property are Tenant property and shall be removed at surrender unless Landlord elects to retain at no cost. Landlord may, at its election, retain demountable office partitions and glass fronts (which are valuable to a successor coworking operator or general office tenant) and waive removal of those items.</w:t>
      </w:r>
    </w:p>
    <w:p>
      <w:pPr>
        <w:spacing w:before="280" w:after="140"/>
        <w:keepNext/>
      </w:pPr>
      <w:r>
        <w:rPr>
          <w:b/>
          <w:bCs/>
          <w:sz w:val="28"/>
          <w:szCs w:val="28"/>
        </w:rPr>
        <w:t xml:space="preserve">ARTICLE 14.   PROPERTY; TRADE FIXTURES</w:t>
      </w:r>
    </w:p>
    <w:p>
      <w:pPr>
        <w:spacing w:before="0" w:after="120"/>
      </w:pPr>
      <w:r>
        <w:t xml:space="preserve">Tenant's FF&amp;E, AV, IT systems, phone booths, café/pantry equipment, demountable partitions, low-voltage cabling, and personal property remain Tenant's property and shall be removed at surrender, subject to Section 13.4.</w:t>
      </w:r>
    </w:p>
    <w:p>
      <w:pPr>
        <w:spacing w:before="280" w:after="140"/>
        <w:keepNext/>
      </w:pPr>
      <w:r>
        <w:rPr>
          <w:b/>
          <w:bCs/>
          <w:sz w:val="28"/>
          <w:szCs w:val="28"/>
        </w:rPr>
        <w:t xml:space="preserve">ARTICLE 15.   REPAIRS AND MAINTENANCE</w:t>
      </w:r>
    </w:p>
    <w:p>
      <w:pPr>
        <w:spacing w:before="0" w:after="120"/>
      </w:pPr>
      <w:r>
        <w:rPr>
          <w:b/>
          <w:bCs/>
        </w:rPr>
        <w:t xml:space="preserve">15.1   Tenant Obligations. </w:t>
      </w:r>
      <w:r>
        <w:t xml:space="preserve">Tenant shall maintain the interior of the Premises in good condition and repair, including all FF&amp;E, IT/AV, plumbing fixtures within the Premises, supplemental HVAC for IDF/equipment rooms, lighting controls and finishes, the café/pantry equipment, member entry hardware, and signage.</w:t>
      </w:r>
    </w:p>
    <w:p>
      <w:pPr>
        <w:spacing w:before="0" w:after="120"/>
      </w:pPr>
      <w:r>
        <w:rPr>
          <w:b/>
          <w:bCs/>
        </w:rPr>
        <w:t xml:space="preserve">15.2   Landlord Obligations. </w:t>
      </w:r>
      <w:r>
        <w:t xml:space="preserve">Landlord shall maintain the structural elements, foundation, exterior load-bearing walls, roof, common areas, base-building HVAC, base electrical, plumbing risers, life-safety, elevators, and the Building exterior, with costs included in Operating Expenses subject to Article 3.</w:t>
      </w:r>
    </w:p>
    <w:p>
      <w:pPr>
        <w:spacing w:before="0" w:after="120"/>
      </w:pPr>
      <w:r>
        <w:rPr>
          <w:b/>
          <w:bCs/>
        </w:rPr>
        <w:t xml:space="preserve">15.3   Tenant-Caused Damage. </w:t>
      </w:r>
      <w:r>
        <w:t xml:space="preserve">Tenant is responsible for damage caused by negligence, misuse, or willful misconduct of Tenant, Tenant's staff, or Members, except as barred by Article 12.</w:t>
      </w:r>
    </w:p>
    <w:p>
      <w:pPr>
        <w:spacing w:before="280" w:after="140"/>
        <w:keepNext/>
      </w:pPr>
      <w:r>
        <w:rPr>
          <w:b/>
          <w:bCs/>
          <w:sz w:val="28"/>
          <w:szCs w:val="28"/>
        </w:rPr>
        <w:t xml:space="preserve">ARTICLE 16.   ACCESS</w:t>
      </w:r>
    </w:p>
    <w:p>
      <w:pPr>
        <w:spacing w:before="0" w:after="120"/>
      </w:pPr>
      <w:r>
        <w:t xml:space="preserve">Landlord and its representatives may access the Premises at reasonable times on at least twenty-four (24) hours' prior notice (except in emergencies), to inspect, perform Landlord's repairs, show the Premises to lenders, purchasers, or (during the last twelve (12) months of the Term) prospective tenants, and exercise other rights under this Lease. Access shall be coordinated with Tenant's community manager and shall observe Tenant's reasonable member-privacy and member-service requirements.</w:t>
      </w:r>
    </w:p>
    <w:p>
      <w:pPr>
        <w:spacing w:before="280" w:after="140"/>
        <w:keepNext/>
      </w:pPr>
      <w:r>
        <w:rPr>
          <w:b/>
          <w:bCs/>
          <w:sz w:val="28"/>
          <w:szCs w:val="28"/>
        </w:rPr>
        <w:t xml:space="preserve">ARTICLE 17.   INDEMNIFICATION; LIMITATION OF LIABILITY</w:t>
      </w:r>
    </w:p>
    <w:p>
      <w:pPr>
        <w:spacing w:before="0" w:after="120"/>
      </w:pPr>
      <w:r>
        <w:rPr>
          <w:b/>
          <w:bCs/>
        </w:rPr>
        <w:t xml:space="preserve">17.1   Tenant Indemnity. </w:t>
      </w:r>
      <w:r>
        <w:t xml:space="preserve">Tenant shall indemnify, defend, and hold harmless Landlord and its affiliates, members, managers, officers, employees, agents, and lenders from losses arising out of (a) Tenant's Default; (b) the negligence or willful misconduct of Tenant, Tenant's staff, Members, or Member guests; (c) Tenant's use, occupancy, or operations at the Premises (including events under Exhibit W); (d) any Hazardous Materials caused by Tenant or its Members; (e) any violation of Laws by Tenant or any Tenant party; and (f) any claim by a Member or Member guest arising out of Tenant's services or facility operations, except to the extent caused by Landlord's gross negligence or willful misconduct.</w:t>
      </w:r>
    </w:p>
    <w:p>
      <w:pPr>
        <w:spacing w:before="0" w:after="120"/>
      </w:pPr>
      <w:r>
        <w:rPr>
          <w:b/>
          <w:bCs/>
        </w:rPr>
        <w:t xml:space="preserve">17.2   Landlord Indemnity. </w:t>
      </w:r>
      <w:r>
        <w:t xml:space="preserve">Landlord shall indemnify Tenant from losses directly caused by Landlord's gross negligence or willful misconduct, subject to Section 17.3.</w:t>
      </w:r>
    </w:p>
    <w:p>
      <w:pPr>
        <w:spacing w:before="0" w:after="120"/>
      </w:pPr>
      <w:r>
        <w:rPr>
          <w:b/>
          <w:bCs/>
        </w:rPr>
        <w:t xml:space="preserve">17.3   Limitation. </w:t>
      </w:r>
      <w:r>
        <w:t xml:space="preserve">Tenant shall look solely to Landlord's interest in the Property. No member, manager, officer, employee, or agent of Landlord has personal liability. Except for Tenant's holdover, neither party is liable for consequential, punitive, or special damages.</w:t>
      </w:r>
    </w:p>
    <w:p>
      <w:pPr>
        <w:spacing w:before="280" w:after="140"/>
        <w:keepNext/>
      </w:pPr>
      <w:r>
        <w:rPr>
          <w:b/>
          <w:bCs/>
          <w:sz w:val="28"/>
          <w:szCs w:val="28"/>
        </w:rPr>
        <w:t xml:space="preserve">ARTICLE 18.   FORCE MAJEURE</w:t>
      </w:r>
    </w:p>
    <w:p>
      <w:pPr>
        <w:spacing w:before="0" w:after="120"/>
      </w:pPr>
      <w:r>
        <w:t xml:space="preserve">Except for payment of Rent, maintenance of insurance and Letter of Credit, surrender obligations, and exercise of option/notice deadlines, performance is extended for delays caused by events beyond reasonable control (labor disputes, casualty, war, terrorism, governmental action, utility failures, shortages, public-health emergencies, permit delays despite diligent pursuit).</w:t>
      </w:r>
    </w:p>
    <w:p>
      <w:pPr>
        <w:spacing w:before="280" w:after="140"/>
        <w:keepNext/>
      </w:pPr>
      <w:r>
        <w:rPr>
          <w:b/>
          <w:bCs/>
          <w:sz w:val="28"/>
          <w:szCs w:val="28"/>
        </w:rPr>
        <w:t xml:space="preserve">ARTICLE 19.   CASUALTY</w:t>
      </w:r>
    </w:p>
    <w:p>
      <w:pPr>
        <w:spacing w:before="0" w:after="120"/>
      </w:pPr>
      <w:r>
        <w:t xml:space="preserve">If restoration cannot reasonably be completed within one hundred eighty (180) days, either party may terminate on thirty (30) days' notice. Otherwise, Landlord shall restore the Building shell and Tenant shall restore the interior and FF&amp;E, with Base Rent abating proportionately during untenantability. If casualty occurs during the last twenty-four (24) months of the Term, either party may terminate. Tenant shall reasonably accommodate Members consistent with Member Agreements; the parties acknowledge that some Members may transfer to other Conflux locations during restoration and that Net Member Revenue may decline.</w:t>
      </w:r>
    </w:p>
    <w:p>
      <w:pPr>
        <w:spacing w:before="280" w:after="140"/>
        <w:keepNext/>
      </w:pPr>
      <w:r>
        <w:rPr>
          <w:b/>
          <w:bCs/>
          <w:sz w:val="28"/>
          <w:szCs w:val="28"/>
        </w:rPr>
        <w:t xml:space="preserve">ARTICLE 20.   CONDEMNATION</w:t>
      </w:r>
    </w:p>
    <w:p>
      <w:pPr>
        <w:spacing w:before="0" w:after="120"/>
      </w:pPr>
      <w:r>
        <w:t xml:space="preserve">If all or a material portion of the Premises is taken, this Lease terminates as to the taken portion with equitable rent adjustment. Landlord receives the award for real property; Tenant may pursue a separate award for moving costs, trade fixtures, FF&amp;E, and business damages to the extent permitted by law and not reducing Landlord's award.</w:t>
      </w:r>
    </w:p>
    <w:p>
      <w:pPr>
        <w:spacing w:before="280" w:after="140"/>
        <w:keepNext/>
      </w:pPr>
      <w:r>
        <w:rPr>
          <w:b/>
          <w:bCs/>
          <w:sz w:val="28"/>
          <w:szCs w:val="28"/>
        </w:rPr>
        <w:t xml:space="preserve">ARTICLE 21.   SURRENDER AND HOLDOVER</w:t>
      </w:r>
    </w:p>
    <w:p>
      <w:pPr>
        <w:spacing w:before="0" w:after="120"/>
      </w:pPr>
      <w:r>
        <w:rPr>
          <w:b/>
          <w:bCs/>
        </w:rPr>
        <w:t xml:space="preserve">21.1   Surrender. </w:t>
      </w:r>
      <w:r>
        <w:t xml:space="preserve">Tenant shall surrender per Exhibit B, having terminated or transferred all Member Agreements, removed FF&amp;E and required alterations, repaired damage, secured and removed any member-data records consistent with Tenant's privacy obligations, surrendered keys/fobs/credentials and the member-access system, and terminated Tenant-arranged utility accounts as directed.</w:t>
      </w:r>
    </w:p>
    <w:p>
      <w:pPr>
        <w:spacing w:before="0" w:after="120"/>
      </w:pPr>
      <w:r>
        <w:rPr>
          <w:b/>
          <w:bCs/>
        </w:rPr>
        <w:t xml:space="preserve">21.2   Holdover. </w:t>
      </w:r>
      <w:r>
        <w:t xml:space="preserve">Holdover rent equals one hundred fifty percent (150%) of the immediately preceding Rent for the first thirty (30) days and two hundred percent (200%) thereafter, plus all damages and costs (including liability to a succeeding tenant).</w:t>
      </w:r>
    </w:p>
    <w:p>
      <w:pPr>
        <w:spacing w:before="280" w:after="140"/>
        <w:keepNext/>
      </w:pPr>
      <w:r>
        <w:rPr>
          <w:b/>
          <w:bCs/>
          <w:sz w:val="28"/>
          <w:szCs w:val="28"/>
        </w:rPr>
        <w:t xml:space="preserve">ARTICLE 22.   EVENTS OF DEFAULT</w:t>
      </w:r>
    </w:p>
    <w:p>
      <w:pPr>
        <w:spacing w:before="0" w:after="120"/>
      </w:pPr>
      <w:r>
        <w:t xml:space="preserve">Events of Default include: (a) Rent unpaid five (5) days after written notice past due; (b) failure to maintain insurance, the Letter of Credit, or the Parent Guaranty; (c) abandonment of the Premises (defined for this Lease as the Premises ceasing to host any Members for more than thirty (30) consecutive days during ordinary operations); (d) unauthorized transfer in violation of Article 8 (excluding compliant Member Agreements); (e) liens not released within thirty (30) days; (f) failure to deliver required documents; (g) insolvency or bankruptcy of Tenant not dismissed within sixty (60) days (the parties acknowledge that the Letter of Credit is intended as bankruptcy-safe cash collateral); (h) material misrepresentation; (i) repeated material exceedance of the Headcount Density Cap without Landlord-approved Exhibit W event coverage; (j) material breach of the prohibition on residential occupancy under Section 5.7; and (k) failure to perform any other covenant within thirty (30) days after notice (subject to extension for diligent cure).</w:t>
      </w:r>
    </w:p>
    <w:p>
      <w:pPr>
        <w:spacing w:before="280" w:after="140"/>
        <w:keepNext/>
      </w:pPr>
      <w:r>
        <w:rPr>
          <w:b/>
          <w:bCs/>
          <w:sz w:val="28"/>
          <w:szCs w:val="28"/>
        </w:rPr>
        <w:t xml:space="preserve">ARTICLE 23.   REMEDIES</w:t>
      </w:r>
    </w:p>
    <w:p>
      <w:pPr>
        <w:spacing w:before="0" w:after="120"/>
      </w:pPr>
      <w:r>
        <w:rPr>
          <w:b/>
          <w:bCs/>
        </w:rPr>
        <w:t xml:space="preserve">23.1   Remedies. </w:t>
      </w:r>
      <w:r>
        <w:t xml:space="preserve">Upon an Event of Default, Landlord may exercise all rights and remedies at law or in equity, including termination, reletting, deficiency damages, drawing on the Letter of Credit and the Parent Guaranty, cure at Tenant's expense, and injunctive relief, subject to commercially reasonable mitigation as required by Utah law. The parties acknowledge that, in any reletting scenario, the existence of Member Agreements may make reletting either more efficient (the Premises remain operational for a successor operator) or more complex (Members must consent or be transitioned); Landlord shall have flexibility to elect, and Tenant shall reasonably cooperate with any orderly transition to a successor operator that Landlord may pursue.</w:t>
      </w:r>
    </w:p>
    <w:p>
      <w:pPr>
        <w:spacing w:before="0" w:after="120"/>
      </w:pPr>
      <w:r>
        <w:rPr>
          <w:b/>
          <w:bCs/>
        </w:rPr>
        <w:t xml:space="preserve">23.2   Cumulative; No Waiver. </w:t>
      </w:r>
      <w:r>
        <w:t xml:space="preserve">Remedies are cumulative.</w:t>
      </w:r>
    </w:p>
    <w:p>
      <w:pPr>
        <w:spacing w:before="0" w:after="120"/>
      </w:pPr>
      <w:r>
        <w:rPr>
          <w:b/>
          <w:bCs/>
        </w:rPr>
        <w:t xml:space="preserve">23.3   Attorneys' Fees. </w:t>
      </w:r>
      <w:r>
        <w:t xml:space="preserve">Prevailing party recovers reasonable attorneys' fees and costs.</w:t>
      </w:r>
    </w:p>
    <w:p>
      <w:pPr>
        <w:spacing w:before="280" w:after="140"/>
        <w:keepNext/>
      </w:pPr>
      <w:r>
        <w:rPr>
          <w:b/>
          <w:bCs/>
          <w:sz w:val="28"/>
          <w:szCs w:val="28"/>
        </w:rPr>
        <w:t xml:space="preserve">ARTICLE 24.   BROKERS</w:t>
      </w:r>
    </w:p>
    <w:p>
      <w:pPr>
        <w:spacing w:before="0" w:after="120"/>
      </w:pPr>
      <w:r>
        <w:t xml:space="preserve">Landlord and Tenant represent they have dealt with no brokers except those named in Article 1. Landlord shall pay Tenant Broker per a separate commission agreement.</w:t>
      </w:r>
    </w:p>
    <w:p>
      <w:pPr>
        <w:spacing w:before="280" w:after="140"/>
        <w:keepNext/>
      </w:pPr>
      <w:r>
        <w:rPr>
          <w:b/>
          <w:bCs/>
          <w:sz w:val="28"/>
          <w:szCs w:val="28"/>
        </w:rPr>
        <w:t xml:space="preserve">ARTICLE 25.   MISCELLANEOUS</w:t>
      </w:r>
    </w:p>
    <w:p>
      <w:pPr>
        <w:spacing w:before="0" w:after="120"/>
      </w:pPr>
      <w:r>
        <w:rPr>
          <w:b/>
          <w:bCs/>
        </w:rPr>
        <w:t xml:space="preserve">25.1   Governing Law; Venue. </w:t>
      </w:r>
      <w:r>
        <w:t xml:space="preserve">Utah law governs. Venue is Salt Lake County, Utah.</w:t>
      </w:r>
    </w:p>
    <w:p>
      <w:pPr>
        <w:spacing w:before="0" w:after="120"/>
      </w:pPr>
      <w:r>
        <w:rPr>
          <w:b/>
          <w:bCs/>
        </w:rPr>
        <w:t xml:space="preserve">25.2   Notices. </w:t>
      </w:r>
      <w:r>
        <w:t xml:space="preserve">In writing, by personal delivery, certified mail (return receipt requested), or overnight courier, to the Article 1 addresses.</w:t>
      </w:r>
    </w:p>
    <w:p>
      <w:pPr>
        <w:spacing w:before="0" w:after="120"/>
      </w:pPr>
      <w:r>
        <w:rPr>
          <w:b/>
          <w:bCs/>
        </w:rPr>
        <w:t xml:space="preserve">25.3   Entire Agreement; Amendment. </w:t>
      </w:r>
      <w:r>
        <w:t xml:space="preserve">Entire agreement; amendments require a writing signed by both parties.</w:t>
      </w:r>
    </w:p>
    <w:p>
      <w:pPr>
        <w:spacing w:before="0" w:after="120"/>
      </w:pPr>
      <w:r>
        <w:rPr>
          <w:b/>
          <w:bCs/>
        </w:rPr>
        <w:t xml:space="preserve">25.4   Authority. </w:t>
      </w:r>
      <w:r>
        <w:t xml:space="preserve">Each signatory is authorized to bind its party.</w:t>
      </w:r>
    </w:p>
    <w:p>
      <w:pPr>
        <w:spacing w:before="0" w:after="120"/>
      </w:pPr>
      <w:r>
        <w:rPr>
          <w:b/>
          <w:bCs/>
        </w:rPr>
        <w:t xml:space="preserve">25.5   Counterparts; Electronic Signatures. </w:t>
      </w:r>
      <w:r>
        <w:t xml:space="preserve">Permitted.</w:t>
      </w:r>
    </w:p>
    <w:p>
      <w:pPr>
        <w:spacing w:before="0" w:after="120"/>
      </w:pPr>
      <w:r>
        <w:rPr>
          <w:b/>
          <w:bCs/>
        </w:rPr>
        <w:t xml:space="preserve">25.6   Severability. </w:t>
      </w:r>
      <w:r>
        <w:t xml:space="preserve">Unenforceable provisions are severable.</w:t>
      </w:r>
    </w:p>
    <w:p>
      <w:pPr>
        <w:spacing w:before="0" w:after="120"/>
      </w:pPr>
      <w:r>
        <w:rPr>
          <w:b/>
          <w:bCs/>
        </w:rPr>
        <w:t xml:space="preserve">25.7   Waiver of Jury Trial. </w:t>
      </w:r>
      <w:r>
        <w:t xml:space="preserve">Mutual waiver to the maximum extent permitted by law.</w:t>
      </w:r>
    </w:p>
    <w:p>
      <w:pPr>
        <w:spacing w:before="0" w:after="120"/>
      </w:pPr>
      <w:r>
        <w:rPr>
          <w:b/>
          <w:bCs/>
        </w:rPr>
        <w:t xml:space="preserve">25.8   Time of the Essence. </w:t>
      </w:r>
      <w:r>
        <w:t xml:space="preserve">Time is of the essence.</w:t>
      </w:r>
    </w:p>
    <w:p>
      <w:pPr>
        <w:spacing w:before="0" w:after="120"/>
      </w:pPr>
      <w:r>
        <w:rPr>
          <w:b/>
          <w:bCs/>
        </w:rPr>
        <w:t xml:space="preserve">25.9   OFAC. </w:t>
      </w:r>
      <w:r>
        <w:t xml:space="preserve">Each party is not on any U.S. government prohibited-party list; Tenant shall apply OFAC screening to its Members per Section 5.4.</w:t>
      </w:r>
    </w:p>
    <w:p>
      <w:pPr>
        <w:spacing w:before="0" w:after="120"/>
      </w:pPr>
      <w:r>
        <w:rPr>
          <w:b/>
          <w:bCs/>
        </w:rPr>
        <w:t xml:space="preserve">25.10   Member Data; Privacy. </w:t>
      </w:r>
      <w:r>
        <w:t xml:space="preserve">Tenant maintains a privacy notice and security program consistent with industry practice for coworking operators. Landlord shall not be deemed in possession or control of Member personal data by virtue of the lease, and Landlord shall not have any data-controller responsibilities under privacy laws by virtue of this Lease.</w:t>
      </w:r>
    </w:p>
    <w:p>
      <w:pPr>
        <w:spacing w:before="0" w:after="120"/>
      </w:pPr>
      <w:r>
        <w:rPr>
          <w:b/>
          <w:bCs/>
        </w:rPr>
        <w:t xml:space="preserve">25.11   Survival. </w:t>
      </w:r>
      <w:r>
        <w:t xml:space="preserve">Indemnity, environmental, surrender, holdover, attorneys' fees, Percentage Rent reconciliation, and Operating Expense reconciliation obligations survive expiration or termination.</w:t>
      </w:r>
    </w:p>
    <w:p>
      <w:pPr>
        <w:spacing w:before="0" w:after="120"/>
      </w:pPr>
      <w:r>
        <w:rPr>
          <w:b/>
          <w:bCs/>
        </w:rPr>
        <w:t xml:space="preserve">25.12   Financial Statements. </w:t>
      </w:r>
      <w:r>
        <w:t xml:space="preserve">Tenant's parent shall deliver reviewed or audited annual consolidated financial statements within one hundred fifty (150) days after fiscal year end and, on Landlord's reasonable request, quarterly trailing-twelve-months metrics relevant to Section 2.7 (subject to confidentiality).</w:t>
      </w:r>
    </w:p>
    <w:p>
      <w:pPr>
        <w:spacing w:before="0" w:after="120"/>
      </w:pPr>
      <w:r>
        <w:rPr>
          <w:b/>
          <w:bCs/>
        </w:rPr>
        <w:t xml:space="preserve">25.13   Recording. </w:t>
      </w:r>
      <w:r>
        <w:t xml:space="preserve">Neither party shall record this Lease, but the parties may record a mutually approved short-form memorandum.</w:t>
      </w:r>
    </w:p>
    <w:p>
      <w:pPr>
        <w:spacing w:before="280" w:after="140"/>
        <w:keepNext/>
      </w:pPr>
      <w:r>
        <w:rPr>
          <w:b/>
          <w:bCs/>
          <w:sz w:val="28"/>
          <w:szCs w:val="28"/>
        </w:rPr>
        <w:t xml:space="preserve">ARTICLE 26.   SIGNATURES</w:t>
      </w:r>
    </w:p>
    <w:p>
      <w:pPr>
        <w:spacing w:before="0" w:after="120"/>
      </w:pPr>
      <w:r>
        <w:rPr>
          <w:b/>
          <w:bCs/>
        </w:rPr>
        <w:t xml:space="preserve">IN WITNESS WHEREOF, </w:t>
      </w:r>
      <w:r>
        <w:t xml:space="preserve">Landlord, Tenant, and Guarantor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CONFLUX WORKSPACES OPERATING, LLC,</w:t>
      </w:r>
      <w:r>
        <w:t xml:space="preserve"> a Delaware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Imogen S. Whitaker</w:t>
      </w:r>
    </w:p>
    <w:p>
      <w:pPr>
        <w:spacing w:before="0" w:after="120"/>
      </w:pPr>
      <w:r>
        <w:t xml:space="preserve">Title: Chief Operating Officer</w:t>
      </w:r>
    </w:p>
    <w:p>
      <w:pPr>
        <w:spacing w:before="0" w:after="120"/>
      </w:pPr>
      <w:r>
        <w:t xml:space="preserve"> </w:t>
      </w:r>
    </w:p>
    <w:p>
      <w:pPr>
        <w:spacing w:before="0" w:after="120"/>
      </w:pPr>
      <w:r>
        <w:rPr>
          <w:b/>
          <w:bCs/>
        </w:rPr>
        <w:t xml:space="preserve">GUARANTOR:</w:t>
      </w:r>
    </w:p>
    <w:p>
      <w:pPr>
        <w:spacing w:before="0" w:after="120"/>
      </w:pPr>
      <w:r>
        <w:rPr>
          <w:b/>
          <w:bCs/>
        </w:rPr>
        <w:t xml:space="preserve">CONFLUX WORKSPACES HOLDINGS, INC.,</w:t>
      </w:r>
      <w:r>
        <w:t xml:space="preserve"> a Delaware corporation</w:t>
      </w:r>
    </w:p>
    <w:p>
      <w:pPr>
        <w:spacing w:before="0" w:after="120"/>
      </w:pPr>
      <w:r>
        <w:t xml:space="preserve"> </w:t>
      </w:r>
    </w:p>
    <w:p>
      <w:pPr>
        <w:spacing w:before="0" w:after="120"/>
      </w:pPr>
      <w:r>
        <w:t xml:space="preserve">By: ___________________________________</w:t>
      </w:r>
    </w:p>
    <w:p>
      <w:pPr>
        <w:spacing w:before="0" w:after="120"/>
      </w:pPr>
      <w:r>
        <w:t xml:space="preserve">Name:  Frederick T. Yarbro</w:t>
      </w:r>
    </w:p>
    <w:p>
      <w:pPr>
        <w:spacing w:before="0" w:after="120"/>
      </w:pPr>
      <w:r>
        <w:t xml:space="preserve">Title: Chief Financial Officer</w:t>
      </w:r>
    </w:p>
    <w:p>
      <w:pPr>
        <w:spacing w:before="280" w:after="140"/>
        <w:keepNext/>
      </w:pPr>
      <w:r>
        <w:rPr>
          <w:b/>
          <w:bCs/>
          <w:sz w:val="28"/>
          <w:szCs w:val="28"/>
        </w:rPr>
        <w:t xml:space="preserve">ARTICLE 27.   RENEWAL OPTION</w:t>
      </w:r>
    </w:p>
    <w:p>
      <w:pPr>
        <w:spacing w:before="0" w:after="120"/>
      </w:pPr>
      <w:r>
        <w:rPr>
          <w:b/>
          <w:bCs/>
        </w:rPr>
        <w:t xml:space="preserve">27.1   Grant. </w:t>
      </w:r>
      <w:r>
        <w:t xml:space="preserve">Provided no uncured Event of Default exists and the original Tenant (or a Permitted Transferee) is in occupancy of and operating the Premises as a coworking facility, Tenant has one (1) option to renew for five (5) years at Fair Market Rent.</w:t>
      </w:r>
    </w:p>
    <w:p>
      <w:pPr>
        <w:spacing w:before="0" w:after="120"/>
      </w:pPr>
      <w:r>
        <w:rPr>
          <w:b/>
          <w:bCs/>
        </w:rPr>
        <w:t xml:space="preserve">27.2   Notice. </w:t>
      </w:r>
      <w:r>
        <w:t xml:space="preserve">Tenant shall exercise by written notice delivered not earlier than fifteen (15) months and not later than twelve (12) months before the Expiration Date. Time is of the essence.</w:t>
      </w:r>
    </w:p>
    <w:p>
      <w:pPr>
        <w:spacing w:before="0" w:after="120"/>
      </w:pPr>
      <w:r>
        <w:rPr>
          <w:b/>
          <w:bCs/>
        </w:rPr>
        <w:t xml:space="preserve">27.3   FMR. </w:t>
      </w:r>
      <w:r>
        <w:t xml:space="preserve">Fair Market Rent shall reflect comparable downtown Salt Lake City Class A office space, taking into account length of term, escalations, the coworking-operator use (including density and event use), tenant credit, and concessions actually offered in the market for renewals (not new leases), with a refreshed Base Year for Operating Expense purposes coinciding with the first year of the Renewal Term. The parties shall negotiate for thirty (30) days; failing agreement, each shall select a qualified MAI appraiser, the two shall jointly select a third, and FMR shall be determined by majority vote within sixty (60) days.</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Depiction of Premises</w:t>
      </w:r>
    </w:p>
    <w:p>
      <w:pPr>
        <w:spacing w:before="0" w:after="120"/>
      </w:pPr>
      <w:r>
        <w:t xml:space="preserve">The Premises consist of the entire seventh (7th) floor of Confluence Tower, located at 222 South Main Street, Salt Lake City, Utah 84101, containing approximately 18,400 RSF, as depicted below. The depiction is illustrative; in the event of a measurable discrepancy, the RSF in Article 1 controls.</w:t>
      </w:r>
    </w:p>
    <w:p>
      <w:pPr>
        <w:jc w:val="center"/>
        <w:spacing w:before="120" w:after="120"/>
      </w:pPr>
      <w:r>
        <w:drawing>
          <wp:inline distT="0" distB="0" distL="0" distR="0">
            <wp:extent cx="6248400" cy="401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248400" cy="40158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Surrender Requirements</w:t>
      </w:r>
    </w:p>
    <w:p>
      <w:pPr>
        <w:spacing w:before="0" w:after="120"/>
      </w:pPr>
      <w:r>
        <w:t xml:space="preserve">On or before the Expiration Date, Tenant shall, at its sole cost:</w:t>
      </w:r>
    </w:p>
    <w:p>
      <w:pPr>
        <w:spacing w:before="0" w:after="120"/>
      </w:pPr>
      <w:r>
        <w:t xml:space="preserve">1.   Terminate or formally transition all Member Agreements; deliver notices to Members consistent with Tenant's standard practice and applicable consumer-protection laws; provide Landlord with a roster of active Members as of the Surrender Notice Date (subject to commercial confidentiality).</w:t>
      </w:r>
    </w:p>
    <w:p>
      <w:pPr>
        <w:spacing w:before="0" w:after="120"/>
      </w:pPr>
      <w:r>
        <w:t xml:space="preserve">2.   Remove FF&amp;E, AV, IT, phone booths, café/pantry equipment, and member desking; restore base-building plumbing/electrical connections at points of removal.</w:t>
      </w:r>
    </w:p>
    <w:p>
      <w:pPr>
        <w:spacing w:before="0" w:after="120"/>
      </w:pPr>
      <w:r>
        <w:t xml:space="preserve">3.   Remove signage (suite-entry, lobby directory, monument tile if any, and interior brand signage) and repair related damage.</w:t>
      </w:r>
    </w:p>
    <w:p>
      <w:pPr>
        <w:spacing w:before="0" w:after="120"/>
      </w:pPr>
      <w:r>
        <w:t xml:space="preserve">4.   Either (at Landlord's election) remove demountable office partitions and glass fronts, or leave them in place for Landlord's benefit; Landlord shall designate at least one hundred eighty (180) days before the Expiration Date.</w:t>
      </w:r>
    </w:p>
    <w:p>
      <w:pPr>
        <w:spacing w:before="0" w:after="120"/>
      </w:pPr>
      <w:r>
        <w:t xml:space="preserve">5.   Patch and paint walls, repair flooring, replace stained ceiling tiles; deliver finishes broom-clean.</w:t>
      </w:r>
    </w:p>
    <w:p>
      <w:pPr>
        <w:spacing w:before="0" w:after="120"/>
      </w:pPr>
      <w:r>
        <w:t xml:space="preserve">6.   Decommission the member access-control system; surrender administrative credentials and any base-building integration logs.</w:t>
      </w:r>
    </w:p>
    <w:p>
      <w:pPr>
        <w:spacing w:before="0" w:after="120"/>
      </w:pPr>
      <w:r>
        <w:t xml:space="preserve">7.   Surrender keys, fobs, BMS credentials (to the extent applicable to Tenant-installed systems), and IT admin credentials for systems remaining in the Premises.</w:t>
      </w:r>
    </w:p>
    <w:p>
      <w:pPr>
        <w:spacing w:before="0" w:after="120"/>
      </w:pPr>
      <w:r>
        <w:t xml:space="preserve">8.   Terminate Tenant-arranged utility, janitorial, and member-services vendor accounts as directed; provide vendor final-statement confirmations.</w:t>
      </w:r>
    </w:p>
    <w:p>
      <w:pPr>
        <w:spacing w:before="0" w:after="120"/>
      </w:pPr>
      <w:r>
        <w:t xml:space="preserve">9.   Deliver a final-condition inspection certificate confirming compliance.</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 and Regulations</w:t>
      </w:r>
    </w:p>
    <w:p>
      <w:pPr>
        <w:spacing w:before="0" w:after="120"/>
      </w:pPr>
      <w:r>
        <w:t xml:space="preserve">1.   Members and Tenant's staff shall comply with Building Rules in common areas (lobby, elevators, restrooms), including no propping of base-building doors, no loitering, and respect of other tenants.</w:t>
      </w:r>
    </w:p>
    <w:p>
      <w:pPr>
        <w:spacing w:before="0" w:after="120"/>
      </w:pPr>
      <w:r>
        <w:t xml:space="preserve">2.   Smoking, vaping, and cannabis use are prohibited inside the Building and within 25 feet of any entry.</w:t>
      </w:r>
    </w:p>
    <w:p>
      <w:pPr>
        <w:spacing w:before="0" w:after="120"/>
      </w:pPr>
      <w:r>
        <w:t xml:space="preserve">3.   No residential occupancy or overnight sleeping at the Premises.</w:t>
      </w:r>
    </w:p>
    <w:p>
      <w:pPr>
        <w:spacing w:before="0" w:after="120"/>
      </w:pPr>
      <w:r>
        <w:t xml:space="preserve">4.   Pets are not permitted, except (a) service animals as required by Law and (b) approved facility "office dogs" at limited hours and locations, subject to Landlord's reasonable consent and Member-Agreement notice.</w:t>
      </w:r>
    </w:p>
    <w:p>
      <w:pPr>
        <w:spacing w:before="0" w:after="120"/>
      </w:pPr>
      <w:r>
        <w:t xml:space="preserve">5.   Tenant's events shall comply with Exhibit W; evening events shall not block common-area lobby seating or elevator queues; amplified music shall not be audible at the property line.</w:t>
      </w:r>
    </w:p>
    <w:p>
      <w:pPr>
        <w:spacing w:before="0" w:after="120"/>
      </w:pPr>
      <w:r>
        <w:t xml:space="preserve">6.   Tenant shall use the freight elevator for furniture, AV, and large-item deliveries; booking through Building management.</w:t>
      </w:r>
    </w:p>
    <w:p>
      <w:pPr>
        <w:spacing w:before="0" w:after="120"/>
      </w:pPr>
      <w:r>
        <w:t xml:space="preserve">7.   Tenant shall not store materials, signage, or furniture in common-area corridors or stairwells.</w:t>
      </w:r>
    </w:p>
    <w:p>
      <w:pPr>
        <w:spacing w:before="0" w:after="120"/>
      </w:pPr>
      <w:r>
        <w:t xml:space="preserve">8.   Tenant shall not use the Building exterior, façade, or windows for promotional banners or signage.</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contacts and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Operations / Notices</w:t>
            </w:r>
          </w:p>
        </w:tc>
        <w:tc>
          <w:tcPr>
            <w:tcW w:w="6500" w:type="dxa"/>
          </w:tcPr>
          <w:p>
            <w:pPr>
              <w:spacing w:before="0" w:after="60"/>
            </w:pPr>
            <w:r>
              <w:t xml:space="preserve">Imogen S. Whitaker, COO — (801) 555-0912; iwhitaker@confluxworkspaces.example</w:t>
            </w:r>
          </w:p>
        </w:tc>
      </w:tr>
      <w:tr>
        <w:tc>
          <w:tcPr>
            <w:tcW w:w="3000" w:type="dxa"/>
          </w:tcPr>
          <w:p>
            <w:pPr>
              <w:spacing w:before="0" w:after="60"/>
            </w:pPr>
            <w:r>
              <w:t xml:space="preserve">Community Manager (on site)</w:t>
            </w:r>
          </w:p>
        </w:tc>
        <w:tc>
          <w:tcPr>
            <w:tcW w:w="6500" w:type="dxa"/>
          </w:tcPr>
          <w:p>
            <w:pPr>
              <w:spacing w:before="0" w:after="60"/>
            </w:pPr>
            <w:r>
              <w:t xml:space="preserve">Quinn R. Beaumont — (801) 555-0978; quinn.beaumont@confluxworkspaces.example</w:t>
            </w:r>
          </w:p>
        </w:tc>
      </w:tr>
      <w:tr>
        <w:tc>
          <w:tcPr>
            <w:tcW w:w="3000" w:type="dxa"/>
          </w:tcPr>
          <w:p>
            <w:pPr>
              <w:spacing w:before="0" w:after="60"/>
            </w:pPr>
            <w:r>
              <w:t xml:space="preserve">24/7 Facility Emergency Line</w:t>
            </w:r>
          </w:p>
        </w:tc>
        <w:tc>
          <w:tcPr>
            <w:tcW w:w="6500" w:type="dxa"/>
          </w:tcPr>
          <w:p>
            <w:pPr>
              <w:spacing w:before="0" w:after="60"/>
            </w:pPr>
            <w:r>
              <w:t xml:space="preserve">(801) 555-0900 (Member services)</w:t>
            </w:r>
          </w:p>
        </w:tc>
      </w:tr>
      <w:tr>
        <w:tc>
          <w:tcPr>
            <w:tcW w:w="3000" w:type="dxa"/>
          </w:tcPr>
          <w:p>
            <w:pPr>
              <w:spacing w:before="0" w:after="60"/>
            </w:pPr>
            <w:r>
              <w:t xml:space="preserve">Mailing Address</w:t>
            </w:r>
          </w:p>
        </w:tc>
        <w:tc>
          <w:tcPr>
            <w:tcW w:w="6500" w:type="dxa"/>
          </w:tcPr>
          <w:p>
            <w:pPr>
              <w:spacing w:before="0" w:after="60"/>
            </w:pPr>
            <w:r>
              <w:t xml:space="preserve">Conflux Workspaces Operating, LLC, 222 South Main Street, Floor 7, Salt Lake City, UT 84101</w:t>
            </w:r>
          </w:p>
        </w:tc>
      </w:tr>
      <w:tr>
        <w:tc>
          <w:tcPr>
            <w:tcW w:w="3000" w:type="dxa"/>
          </w:tcPr>
          <w:p>
            <w:pPr>
              <w:spacing w:before="0" w:after="60"/>
            </w:pPr>
            <w:r>
              <w:t xml:space="preserve">Legal Notices (with operations)</w:t>
            </w:r>
          </w:p>
        </w:tc>
        <w:tc>
          <w:tcPr>
            <w:tcW w:w="6500" w:type="dxa"/>
          </w:tcPr>
          <w:p>
            <w:pPr>
              <w:spacing w:before="0" w:after="60"/>
            </w:pPr>
            <w:r>
              <w:t xml:space="preserve">legal@confluxworkspaces.example</w:t>
            </w:r>
          </w:p>
        </w:tc>
      </w:tr>
      <w:tr>
        <w:tc>
          <w:tcPr>
            <w:tcW w:w="3000" w:type="dxa"/>
          </w:tcPr>
          <w:p>
            <w:pPr>
              <w:spacing w:before="0" w:after="60"/>
            </w:pPr>
            <w:r>
              <w:t xml:space="preserve">Parent Guarantor</w:t>
            </w:r>
          </w:p>
        </w:tc>
        <w:tc>
          <w:tcPr>
            <w:tcW w:w="6500" w:type="dxa"/>
          </w:tcPr>
          <w:p>
            <w:pPr>
              <w:spacing w:before="0" w:after="60"/>
            </w:pPr>
            <w:r>
              <w:t xml:space="preserve">Conflux Workspaces Holdings, Inc., Attn: General Counsel — gc@confluxworkspaces.example</w:t>
            </w:r>
          </w:p>
        </w:tc>
      </w:tr>
    </w:tbl>
    <w:p>
      <w:pPr>
        <w:spacing w:before="0" w:after="80"/>
      </w:pPr>
    </w:p>
    <w:p>
      <w:r>
        <w:br w:type="page"/>
      </w:r>
    </w:p>
    <w:p>
      <w:pPr>
        <w:jc w:val="center"/>
        <w:spacing w:before="0" w:after="40"/>
      </w:pPr>
      <w:r>
        <w:rPr>
          <w:b/>
          <w:bCs/>
          <w:sz w:val="32"/>
          <w:szCs w:val="32"/>
        </w:rPr>
        <w:t xml:space="preserve">EXHIBIT E</w:t>
      </w:r>
    </w:p>
    <w:p>
      <w:pPr>
        <w:jc w:val="center"/>
        <w:spacing w:before="0" w:after="160"/>
      </w:pPr>
      <w:r>
        <w:rPr>
          <w:b/>
          <w:bCs/>
          <w:sz w:val="26"/>
          <w:szCs w:val="26"/>
        </w:rPr>
        <w:t xml:space="preserve">Sign Specifications</w:t>
      </w:r>
    </w:p>
    <w:p>
      <w:pPr>
        <w:spacing w:before="0" w:after="120"/>
      </w:pPr>
      <w:r>
        <w:rPr>
          <w:b/>
          <w:bCs/>
        </w:rPr>
        <w:t xml:space="preserve">Suite-Entry Sign. </w:t>
      </w:r>
      <w:r>
        <w:t xml:space="preserve">One (1) Building-standard plaque at the elevator lobby on Floor 7.</w:t>
      </w:r>
    </w:p>
    <w:p>
      <w:pPr>
        <w:spacing w:before="0" w:after="120"/>
      </w:pPr>
      <w:r>
        <w:rPr>
          <w:b/>
          <w:bCs/>
        </w:rPr>
        <w:t xml:space="preserve">Lobby Directory. </w:t>
      </w:r>
      <w:r>
        <w:t xml:space="preserve">Two (2) lines on the main-lobby electronic directory.</w:t>
      </w:r>
    </w:p>
    <w:p>
      <w:pPr>
        <w:spacing w:before="0" w:after="120"/>
      </w:pPr>
      <w:r>
        <w:rPr>
          <w:b/>
          <w:bCs/>
        </w:rPr>
        <w:t xml:space="preserve">Interior Branding. </w:t>
      </w:r>
      <w:r>
        <w:t xml:space="preserve">Tenant may install branded interior signage at the Premises reception and selected interior locations consistent with Tenant's brand standards, subject to Landlord's aesthetic review (not to be unreasonably withheld). No interior branding visible from common-area corridors except in Tenant's reception area within the Premises.</w:t>
      </w:r>
    </w:p>
    <w:p>
      <w:pPr>
        <w:spacing w:before="0" w:after="120"/>
      </w:pPr>
      <w:r>
        <w:rPr>
          <w:b/>
          <w:bCs/>
        </w:rPr>
        <w:t xml:space="preserve">Exterior Building Signage. </w:t>
      </w:r>
      <w:r>
        <w:t xml:space="preserve">Not permitted under this Lease.</w:t>
      </w:r>
    </w:p>
    <w:p>
      <w:pPr>
        <w:spacing w:before="0" w:after="120"/>
      </w:pPr>
      <w:r>
        <w:rPr>
          <w:b/>
          <w:bCs/>
        </w:rPr>
        <w:t xml:space="preserve">Removal. </w:t>
      </w:r>
      <w:r>
        <w:t xml:space="preserve">Tenant shall remove all signage at the Expiration Date and repair damage.</w:t>
      </w:r>
    </w:p>
    <w:p>
      <w:r>
        <w:br w:type="page"/>
      </w:r>
    </w:p>
    <w:p>
      <w:pPr>
        <w:jc w:val="center"/>
        <w:spacing w:before="0" w:after="40"/>
      </w:pPr>
      <w:r>
        <w:rPr>
          <w:b/>
          <w:bCs/>
          <w:sz w:val="32"/>
          <w:szCs w:val="32"/>
        </w:rPr>
        <w:t xml:space="preserve">EXHIBIT F</w:t>
      </w:r>
    </w:p>
    <w:p>
      <w:pPr>
        <w:jc w:val="center"/>
        <w:spacing w:before="0" w:after="160"/>
      </w:pPr>
      <w:r>
        <w:rPr>
          <w:b/>
          <w:bCs/>
          <w:sz w:val="26"/>
          <w:szCs w:val="26"/>
        </w:rPr>
        <w:t xml:space="preserve">Confirmation of Commencement Date</w:t>
      </w:r>
    </w:p>
    <w:p>
      <w:pPr>
        <w:spacing w:before="0" w:after="120"/>
      </w:pPr>
      <w:r>
        <w:t xml:space="preserve">Reference is made to that certain Office Lease — Coworking / Flex-Operator dated August 28, 2026 (the "Lease") between Beehive Realty Trust, LLC, as Landlord, and Conflux Workspaces Operating, LLC, as Tenant. Landlord and Tenant confirm: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4000"/>
        <w:gridCol w:w="5500"/>
      </w:tblGrid>
      <w:tr>
        <w:tc>
          <w:tcPr>
            <w:tcW w:w="4000" w:type="dxa"/>
            <w:shd w:val="clear" w:color="auto" w:fill="E5E7EB"/>
          </w:tcPr>
          <w:p>
            <w:pPr>
              <w:spacing w:before="0" w:after="60"/>
            </w:pPr>
            <w:r>
              <w:rPr>
                <w:b/>
                <w:bCs/>
              </w:rPr>
              <w:t xml:space="preserve">Item</w:t>
            </w:r>
          </w:p>
        </w:tc>
        <w:tc>
          <w:tcPr>
            <w:tcW w:w="5500" w:type="dxa"/>
            <w:shd w:val="clear" w:color="auto" w:fill="E5E7EB"/>
          </w:tcPr>
          <w:p>
            <w:pPr>
              <w:spacing w:before="0" w:after="60"/>
            </w:pPr>
            <w:r>
              <w:rPr>
                <w:b/>
                <w:bCs/>
              </w:rPr>
              <w:t xml:space="preserve">Confirmed</w:t>
            </w:r>
          </w:p>
        </w:tc>
      </w:tr>
      <w:tr>
        <w:tc>
          <w:tcPr>
            <w:tcW w:w="4000" w:type="dxa"/>
          </w:tcPr>
          <w:p>
            <w:pPr>
              <w:spacing w:before="0" w:after="60"/>
            </w:pPr>
            <w:r>
              <w:t xml:space="preserve">Commencement Date</w:t>
            </w:r>
          </w:p>
        </w:tc>
        <w:tc>
          <w:tcPr>
            <w:tcW w:w="5500" w:type="dxa"/>
          </w:tcPr>
          <w:p>
            <w:pPr>
              <w:spacing w:before="0" w:after="60"/>
            </w:pPr>
            <w:r>
              <w:t xml:space="preserve">______________, 2026</w:t>
            </w:r>
          </w:p>
        </w:tc>
      </w:tr>
      <w:tr>
        <w:tc>
          <w:tcPr>
            <w:tcW w:w="4000" w:type="dxa"/>
          </w:tcPr>
          <w:p>
            <w:pPr>
              <w:spacing w:before="0" w:after="60"/>
            </w:pPr>
            <w:r>
              <w:t xml:space="preserve">Rent Commencement Date</w:t>
            </w:r>
          </w:p>
        </w:tc>
        <w:tc>
          <w:tcPr>
            <w:tcW w:w="5500" w:type="dxa"/>
          </w:tcPr>
          <w:p>
            <w:pPr>
              <w:spacing w:before="0" w:after="60"/>
            </w:pPr>
            <w:r>
              <w:t xml:space="preserve">March 1, 2027</w:t>
            </w:r>
          </w:p>
        </w:tc>
      </w:tr>
      <w:tr>
        <w:tc>
          <w:tcPr>
            <w:tcW w:w="4000" w:type="dxa"/>
          </w:tcPr>
          <w:p>
            <w:pPr>
              <w:spacing w:before="0" w:after="60"/>
            </w:pPr>
            <w:r>
              <w:t xml:space="preserve">Base Year</w:t>
            </w:r>
          </w:p>
        </w:tc>
        <w:tc>
          <w:tcPr>
            <w:tcW w:w="5500" w:type="dxa"/>
          </w:tcPr>
          <w:p>
            <w:pPr>
              <w:spacing w:before="0" w:after="60"/>
            </w:pPr>
            <w:r>
              <w:t xml:space="preserve">Calendar year 2027</w:t>
            </w:r>
          </w:p>
        </w:tc>
      </w:tr>
      <w:tr>
        <w:tc>
          <w:tcPr>
            <w:tcW w:w="4000" w:type="dxa"/>
          </w:tcPr>
          <w:p>
            <w:pPr>
              <w:spacing w:before="0" w:after="60"/>
            </w:pPr>
            <w:r>
              <w:t xml:space="preserve">Expiration Date</w:t>
            </w:r>
          </w:p>
        </w:tc>
        <w:tc>
          <w:tcPr>
            <w:tcW w:w="5500" w:type="dxa"/>
          </w:tcPr>
          <w:p>
            <w:pPr>
              <w:spacing w:before="0" w:after="60"/>
            </w:pPr>
            <w:r>
              <w:t xml:space="preserve">September 30, 2034</w:t>
            </w:r>
          </w:p>
        </w:tc>
      </w:tr>
      <w:tr>
        <w:tc>
          <w:tcPr>
            <w:tcW w:w="4000" w:type="dxa"/>
          </w:tcPr>
          <w:p>
            <w:pPr>
              <w:spacing w:before="0" w:after="60"/>
            </w:pPr>
            <w:r>
              <w:t xml:space="preserve">Premises RSF</w:t>
            </w:r>
          </w:p>
        </w:tc>
        <w:tc>
          <w:tcPr>
            <w:tcW w:w="5500" w:type="dxa"/>
          </w:tcPr>
          <w:p>
            <w:pPr>
              <w:spacing w:before="0" w:after="60"/>
            </w:pPr>
            <w:r>
              <w:t xml:space="preserve">18,400</w:t>
            </w:r>
          </w:p>
        </w:tc>
      </w:tr>
      <w:tr>
        <w:tc>
          <w:tcPr>
            <w:tcW w:w="4000" w:type="dxa"/>
          </w:tcPr>
          <w:p>
            <w:pPr>
              <w:spacing w:before="0" w:after="60"/>
            </w:pPr>
            <w:r>
              <w:t xml:space="preserve">Tenant Proportionate Share</w:t>
            </w:r>
          </w:p>
        </w:tc>
        <w:tc>
          <w:tcPr>
            <w:tcW w:w="5500" w:type="dxa"/>
          </w:tcPr>
          <w:p>
            <w:pPr>
              <w:spacing w:before="0" w:after="60"/>
            </w:pPr>
            <w:r>
              <w:t xml:space="preserve">7.67%</w:t>
            </w:r>
          </w:p>
        </w:tc>
      </w:tr>
      <w:tr>
        <w:tc>
          <w:tcPr>
            <w:tcW w:w="4000" w:type="dxa"/>
          </w:tcPr>
          <w:p>
            <w:pPr>
              <w:spacing w:before="0" w:after="60"/>
            </w:pPr>
            <w:r>
              <w:t xml:space="preserve">Headcount Density Cap</w:t>
            </w:r>
          </w:p>
        </w:tc>
        <w:tc>
          <w:tcPr>
            <w:tcW w:w="5500" w:type="dxa"/>
          </w:tcPr>
          <w:p>
            <w:pPr>
              <w:spacing w:before="0" w:after="60"/>
            </w:pPr>
            <w:r>
              <w:t xml:space="preserve">≈ 204 persons (1 per 90 RSF)</w:t>
            </w:r>
          </w:p>
        </w:tc>
      </w:tr>
      <w:tr>
        <w:tc>
          <w:tcPr>
            <w:tcW w:w="4000" w:type="dxa"/>
          </w:tcPr>
          <w:p>
            <w:pPr>
              <w:spacing w:before="0" w:after="60"/>
            </w:pPr>
            <w:r>
              <w:t xml:space="preserve">Landlord Delivery Complete</w:t>
            </w:r>
          </w:p>
        </w:tc>
        <w:tc>
          <w:tcPr>
            <w:tcW w:w="5500" w:type="dxa"/>
          </w:tcPr>
          <w:p>
            <w:pPr>
              <w:spacing w:before="0" w:after="60"/>
            </w:pPr>
            <w:r>
              <w:t xml:space="preserve">☐ Yes   ☐ Subject to attached punch list   ☐ No</w:t>
            </w:r>
          </w:p>
        </w:tc>
      </w:tr>
    </w:tbl>
    <w:p>
      <w:pPr>
        <w:spacing w:before="0" w:after="80"/>
      </w:pPr>
    </w:p>
    <w:p>
      <w:r>
        <w:br w:type="page"/>
      </w:r>
    </w:p>
    <w:p>
      <w:pPr>
        <w:jc w:val="center"/>
        <w:spacing w:before="0" w:after="40"/>
      </w:pPr>
      <w:r>
        <w:rPr>
          <w:b/>
          <w:bCs/>
          <w:sz w:val="32"/>
          <w:szCs w:val="32"/>
        </w:rPr>
        <w:t xml:space="preserve">EXHIBIT G</w:t>
      </w:r>
    </w:p>
    <w:p>
      <w:pPr>
        <w:jc w:val="center"/>
        <w:spacing w:before="0" w:after="160"/>
      </w:pPr>
      <w:r>
        <w:rPr>
          <w:b/>
          <w:bCs/>
          <w:sz w:val="26"/>
          <w:szCs w:val="26"/>
        </w:rPr>
        <w:t xml:space="preserve">Work Letter &amp; Tenant Improvement Allowance</w:t>
      </w:r>
    </w:p>
    <w:p>
      <w:pPr>
        <w:spacing w:before="0" w:after="120"/>
      </w:pPr>
      <w:r>
        <w:rPr>
          <w:b/>
          <w:bCs/>
        </w:rPr>
        <w:t xml:space="preserve">1.   Landlord Delivery Condition. </w:t>
      </w:r>
      <w:r>
        <w:t xml:space="preserve">Landlord shall deliver the Premises in "warm shell" condition: (a) demising elements drywall-finished and primed; (b) base-building HVAC distribution at conventional office air-change rates with separately controllable VAV zones; (c) suspended grid ceiling at agreed elevation (or open-to-deck); (d) base-building floor restrooms in compliant operational condition; (e) 400-amp 277/480V three-phase electrical service to a tenant electrical room with sub-feeds; (f) base-building plumbing risers stubbed for in-suite pantry and break-area connections; (g) base-building life-safety stub-outs (sprinkler grid, fire-alarm); (h) suite-entry doors and frames; (i) freight-elevator booking access; and (j) a current Certificate of Occupancy covering the Building shell.</w:t>
      </w:r>
    </w:p>
    <w:p>
      <w:pPr>
        <w:spacing w:before="0" w:after="120"/>
      </w:pPr>
      <w:r>
        <w:rPr>
          <w:b/>
          <w:bCs/>
        </w:rPr>
        <w:t xml:space="preserve">2.   Tenant's Build-Out. </w:t>
      </w:r>
      <w:r>
        <w:t xml:space="preserve">Tenant's Work includes demising for private offices and meeting rooms, glass fronts, member desking, phone booths, café and pantry equipment, supplemental HVAC for IDF/equipment rooms, supplemental electrical for high-density open desking, AV systems in meeting rooms and event space, low-voltage cabling, member access-control integrated with base-building security, signage, brand finishes, and FF&amp;E.</w:t>
      </w:r>
    </w:p>
    <w:p>
      <w:pPr>
        <w:spacing w:before="0" w:after="120"/>
      </w:pPr>
      <w:r>
        <w:rPr>
          <w:b/>
          <w:bCs/>
        </w:rPr>
        <w:t xml:space="preserve">3.   TI Allowance. </w:t>
      </w:r>
      <w:r>
        <w:t xml:space="preserve">Landlord shall provide a one-time TI Allowance of $70.00 per RSF ($1,288,000.00) payable in arrears in up to four (4) draws against (a) paid invoices, (b) conditional lien waivers (unconditional for the final draw), (c) photographs of completed work, and (d) the General Contractor's sworn affidavit. The Allowance may be applied to soft costs (permitting, architectural/MEP, branded signage design) up to fifteen percent (15%) of the Allowance, and to qualifying low-voltage cabling, AV installation, and access-control installation. The Allowance may not be applied to FF&amp;E or to brand merchandise. Unused Allowance is forfeited eighteen (18) months after the Commencement Date.</w:t>
      </w:r>
    </w:p>
    <w:p>
      <w:pPr>
        <w:spacing w:before="0" w:after="120"/>
      </w:pPr>
      <w:r>
        <w:rPr>
          <w:b/>
          <w:bCs/>
        </w:rPr>
        <w:t xml:space="preserve">4.   Plans and Approvals. </w:t>
      </w:r>
      <w:r>
        <w:t xml:space="preserve">Tenant shall submit plans, specifications, and contractor list to Landlord for approval (not to be unreasonably withheld for matters consistent with the Permitted Use). Landlord's review fee is waived.</w:t>
      </w:r>
    </w:p>
    <w:p>
      <w:pPr>
        <w:spacing w:before="0" w:after="120"/>
      </w:pPr>
      <w:r>
        <w:rPr>
          <w:b/>
          <w:bCs/>
        </w:rPr>
        <w:t xml:space="preserve">5.   Outside Date. </w:t>
      </w:r>
      <w:r>
        <w:t xml:space="preserve">Per Section 6.6.</w:t>
      </w:r>
    </w:p>
    <w:p>
      <w:r>
        <w:br w:type="page"/>
      </w:r>
    </w:p>
    <w:p>
      <w:pPr>
        <w:jc w:val="center"/>
        <w:spacing w:before="0" w:after="40"/>
      </w:pPr>
      <w:r>
        <w:rPr>
          <w:b/>
          <w:bCs/>
          <w:sz w:val="32"/>
          <w:szCs w:val="32"/>
        </w:rPr>
        <w:t xml:space="preserve">EXHIBIT H</w:t>
      </w:r>
    </w:p>
    <w:p>
      <w:pPr>
        <w:jc w:val="center"/>
        <w:spacing w:before="0" w:after="160"/>
      </w:pPr>
      <w:r>
        <w:rPr>
          <w:b/>
          <w:bCs/>
          <w:sz w:val="26"/>
          <w:szCs w:val="26"/>
        </w:rPr>
        <w:t xml:space="preserve">Form of Letter of Credit</w:t>
      </w:r>
    </w:p>
    <w:p>
      <w:pPr>
        <w:spacing w:before="0" w:after="120"/>
      </w:pPr>
      <w:r>
        <w:rPr>
          <w:b/>
          <w:bCs/>
        </w:rPr>
        <w:t xml:space="preserve">Issuer. </w:t>
      </w:r>
      <w:r>
        <w:t xml:space="preserve">A federally insured bank with a long-term unsecured credit rating of not less than A3/A- (Moody's/S&amp;P).</w:t>
      </w:r>
    </w:p>
    <w:p>
      <w:pPr>
        <w:spacing w:before="0" w:after="120"/>
      </w:pPr>
      <w:r>
        <w:rPr>
          <w:b/>
          <w:bCs/>
        </w:rPr>
        <w:t xml:space="preserve">Form. </w:t>
      </w:r>
      <w:r>
        <w:t xml:space="preserve">Irrevocable standby letter of credit, automatically renewable through sixty (60) days after the Expiration Date with at least sixty (60) days' prior written notice of nonrenewal, transferable to a successor landlord (transfer fees paid by Tenant), and available by sight draft accompanied only by a written statement from Landlord that "an Event of Default has occurred and is continuing under the Lease, or the Letter of Credit has not been renewed or replaced as required by the Lease, or Tenant or its parent has filed for relief under the Bankruptcy Code."</w:t>
      </w:r>
    </w:p>
    <w:p>
      <w:pPr>
        <w:spacing w:before="0" w:after="120"/>
      </w:pPr>
      <w:r>
        <w:rPr>
          <w:b/>
          <w:bCs/>
        </w:rPr>
        <w:t xml:space="preserve">Amount and Burn-Down. </w:t>
      </w:r>
      <w:r>
        <w:t xml:space="preserve">Initial amount: $525,000.00. Burn-down per Section 2.7.</w:t>
      </w:r>
    </w:p>
    <w:p>
      <w:pPr>
        <w:spacing w:before="0" w:after="120"/>
      </w:pPr>
      <w:r>
        <w:rPr>
          <w:b/>
          <w:bCs/>
        </w:rPr>
        <w:t xml:space="preserve">Draw Events. </w:t>
      </w:r>
      <w:r>
        <w:t xml:space="preserve">(a) an Event of Default; (b) nonrenewal or impairment within thirty (30) days of expiry without an acceptable replacement; (c) downgrade of the issuer below the minimum rating without replacement within thirty (30) days; (d) a bankruptcy filing by Tenant or its parent (or the issuer); or (e) Tenant's breach of the Operator-Stress Trigger covenants in Section 8.5.</w:t>
      </w:r>
    </w:p>
    <w:p>
      <w:pPr>
        <w:spacing w:before="0" w:after="120"/>
      </w:pPr>
      <w:r>
        <w:rPr>
          <w:b/>
          <w:bCs/>
        </w:rPr>
        <w:t xml:space="preserve">Bankruptcy-Safe. </w:t>
      </w:r>
      <w:r>
        <w:t xml:space="preserve">Landlord may draw the full face amount in the event of bankruptcy filing by Tenant, the parent guarantor, or the issuer; proceeds become cash security under this Lease.</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Utah law governs.</w:t>
      </w:r>
    </w:p>
    <w:p>
      <w:pPr>
        <w:spacing w:before="0" w:after="120"/>
      </w:pPr>
      <w:r>
        <w:rPr>
          <w:b/>
          <w:bCs/>
        </w:rPr>
        <w:t xml:space="preserve">I.2   Mechanics' Liens. </w:t>
      </w:r>
      <w:r>
        <w:t xml:space="preserve">Liens released or bonded within thirty (30) days under Utah Code §38-1a et seq.</w:t>
      </w:r>
    </w:p>
    <w:p>
      <w:pPr>
        <w:spacing w:before="0" w:after="120"/>
      </w:pPr>
      <w:r>
        <w:rPr>
          <w:b/>
          <w:bCs/>
        </w:rPr>
        <w:t xml:space="preserve">I.3   DABS (Alcohol at Events). </w:t>
      </w:r>
      <w:r>
        <w:t xml:space="preserve">Service of alcohol at events shall comply with the Utah Department of Alcoholic Beverage Services. Tenant shall ensure that any caterer holds the appropriate Single-Event Permit (or other applicable license) and that DABS rules on age verification, free pours, and service responsibility are followed.</w:t>
      </w:r>
    </w:p>
    <w:p>
      <w:pPr>
        <w:spacing w:before="0" w:after="120"/>
      </w:pPr>
      <w:r>
        <w:rPr>
          <w:b/>
          <w:bCs/>
        </w:rPr>
        <w:t xml:space="preserve">I.4   Sales Tax. </w:t>
      </w:r>
      <w:r>
        <w:t xml:space="preserve">Tenant shall collect and remit Utah and local sales taxes as applicable to Member fees and ancillary revenue.</w:t>
      </w:r>
    </w:p>
    <w:p>
      <w:pPr>
        <w:spacing w:before="0" w:after="120"/>
      </w:pPr>
      <w:r>
        <w:rPr>
          <w:b/>
          <w:bCs/>
        </w:rPr>
        <w:t xml:space="preserve">I.5   Consumer Protection. </w:t>
      </w:r>
      <w:r>
        <w:t xml:space="preserve">Member Agreements shall comply with Utah consumer-protection law as applicable to subscription and recurring-fee services, including disclosures and cancellation terms.</w:t>
      </w:r>
    </w:p>
    <w:p>
      <w:pPr>
        <w:spacing w:before="0" w:after="120"/>
      </w:pPr>
      <w:r>
        <w:rPr>
          <w:b/>
          <w:bCs/>
        </w:rPr>
        <w:t xml:space="preserve">I.6   Smoking; Clean Air. </w:t>
      </w:r>
      <w:r>
        <w:t xml:space="preserve">Tenant shall comply with the Utah Indoor Clean Air Act.</w:t>
      </w:r>
    </w:p>
    <w:p>
      <w:pPr>
        <w:spacing w:before="0" w:after="120"/>
      </w:pPr>
      <w:r>
        <w:rPr>
          <w:b/>
          <w:bCs/>
        </w:rPr>
        <w:t xml:space="preserve">I.7   Broker Disclosure; ADA. </w:t>
      </w:r>
      <w:r>
        <w:t xml:space="preserve">Tenant Broker represents Tenant; Landlord Broker represents Landlord. Landlord is responsible for ADA accessibility in common areas; Tenant is responsible inside the Premises.</w:t>
      </w:r>
    </w:p>
    <w:p>
      <w:r>
        <w:br w:type="page"/>
      </w:r>
    </w:p>
    <w:p>
      <w:pPr>
        <w:jc w:val="center"/>
        <w:spacing w:before="0" w:after="40"/>
      </w:pPr>
      <w:r>
        <w:rPr>
          <w:b/>
          <w:bCs/>
          <w:sz w:val="32"/>
          <w:szCs w:val="32"/>
        </w:rPr>
        <w:t xml:space="preserve">EXHIBIT W</w:t>
      </w:r>
    </w:p>
    <w:p>
      <w:pPr>
        <w:jc w:val="center"/>
        <w:spacing w:before="0" w:after="160"/>
      </w:pPr>
      <w:r>
        <w:rPr>
          <w:b/>
          <w:bCs/>
          <w:sz w:val="26"/>
          <w:szCs w:val="26"/>
        </w:rPr>
        <w:t xml:space="preserve">Member Agreements, Density, and Events</w:t>
      </w:r>
    </w:p>
    <w:p>
      <w:pPr>
        <w:spacing w:before="0" w:after="120"/>
      </w:pPr>
      <w:r>
        <w:rPr>
          <w:b/>
          <w:bCs/>
        </w:rPr>
        <w:t xml:space="preserve">W.1   Form and Content of Member Agreements. </w:t>
      </w:r>
      <w:r>
        <w:t xml:space="preserve">Tenant's Member Agreements shall be on Tenant's standard institutional form and shall include, at minimum: (a) acknowledgment by the Member that the Member is not in privity with Landlord and has no claims against Landlord by virtue of the Member Agreement; (b) subordination of the Member's rights to this Lease and automatic termination on termination of this Lease; (c) the Member's waiver, to the extent customary, of subrogation against Landlord for Member-property losses; (d) requirement that the Member maintain customary business-personal-property and liability insurance; (e) the Member's acknowledgment of the Rules under Exhibit C and Tenant's house rules; (f) prohibition on residential occupancy at the Premises; and (g) Tenant's right to terminate the Member Agreement upon non-payment, material rules violation, or violation of Section 5.4 (verification / AML / restricted parties).</w:t>
      </w:r>
    </w:p>
    <w:p>
      <w:pPr>
        <w:spacing w:before="0" w:after="120"/>
      </w:pPr>
      <w:r>
        <w:rPr>
          <w:b/>
          <w:bCs/>
        </w:rPr>
        <w:t xml:space="preserve">W.2   Membership Tiers. </w:t>
      </w:r>
      <w:r>
        <w:t xml:space="preserve">Tenant may offer the following tiers: (i) Hot-Desk Membership (shared open desking, no assigned seat); (ii) Dedicated Desk Membership (assigned desk in low-wall pod); (iii) Private Office Membership (assigned private office); (iv) Day Pass and Meeting-Room booking; (v) Mailbox / virtual-office membership consistent with Section 5.7; and (vi) Event-Space rentals. Additional tiers consistent with the Permitted Use may be added without consent.</w:t>
      </w:r>
    </w:p>
    <w:p>
      <w:pPr>
        <w:spacing w:before="0" w:after="120"/>
      </w:pPr>
      <w:r>
        <w:rPr>
          <w:b/>
          <w:bCs/>
        </w:rPr>
        <w:t xml:space="preserve">W.3   Density. </w:t>
      </w:r>
      <w:r>
        <w:t xml:space="preserve">Tenant's Headcount Density Cap is set forth in Article 1. Concurrent occupancy is measured at any one moment by total persons on the Premises (Members, Member guests, and Tenant staff), not by Member count or seat licenses. Tenant may "oversell" seat licenses subject to monitoring concurrent occupancy, provided the Headcount Density Cap is respected at all times.</w:t>
      </w:r>
    </w:p>
    <w:p>
      <w:pPr>
        <w:spacing w:before="0" w:after="120"/>
      </w:pPr>
      <w:r>
        <w:rPr>
          <w:b/>
          <w:bCs/>
        </w:rPr>
        <w:t xml:space="preserve">W.4   Events. </w:t>
      </w:r>
      <w:r>
        <w:t xml:space="preserve">Tenant may host up to thirty (30) evening or weekend events per Lease Year open to non-Members (the "Public Events"), and unlimited Member-only or Member-guest events. Public Events ending after 9:00 p.m. require Landlord's confirmation that Building after-hours systems are coordinated; any Public Event with expected attendance greater than 150 requires Landlord's prior approval (not to be unreasonably withheld). Tenant shall provide reasonable advance notice to Landlord of any Public Event involving amplified outdoor sound, lobby coordination, or non-routine vendor access.</w:t>
      </w:r>
    </w:p>
    <w:p>
      <w:pPr>
        <w:spacing w:before="0" w:after="120"/>
      </w:pPr>
      <w:r>
        <w:rPr>
          <w:b/>
          <w:bCs/>
        </w:rPr>
        <w:t xml:space="preserve">W.5   Service of Alcohol at Events. </w:t>
      </w:r>
      <w:r>
        <w:t xml:space="preserve">Beer and wine may be served at Member-only events and Public Events held within the Premises, provided service is by a third-party caterer holding the appropriate DABS Single-Event Permit (or other applicable license). Tenant shall include host-liquor coverage in its insurance program; Tenant shall not maintain an alcohol "tasting room" or other ongoing alcohol-licensed operation at the Premises without Landlord's further written consent.</w:t>
      </w:r>
    </w:p>
    <w:p>
      <w:pPr>
        <w:spacing w:before="0" w:after="120"/>
      </w:pPr>
      <w:r>
        <w:rPr>
          <w:b/>
          <w:bCs/>
        </w:rPr>
        <w:t xml:space="preserve">W.6   Reporting. </w:t>
      </w:r>
      <w:r>
        <w:t xml:space="preserve">On Landlord's reasonable request (not more than quarterly), Tenant shall provide (subject to confidentiality and member-privacy considerations) a summary report showing (a) approximate Member count by tier; (b) approximate peak concurrent occupancy in the prior quarter; (c) number and category of events held; and (d) a summary of any compliance, OFAC, or member-conduct issues that required Tenant action.</w:t>
      </w:r>
    </w:p>
    <w:p>
      <w:pPr>
        <w:spacing w:before="0" w:after="120"/>
      </w:pPr>
      <w:r>
        <w:rPr>
          <w:b/>
          <w:bCs/>
        </w:rPr>
        <w:t xml:space="preserve">W.7   No Privity. </w:t>
      </w:r>
      <w:r>
        <w:t xml:space="preserve">Notwithstanding any other provision, Landlord is not a party to any Member Agreement and shall have no duties, obligations, or liabilities to any Member by virtue of this Lease.</w:t>
      </w:r>
    </w:p>
    <w:p>
      <w:r>
        <w:br w:type="page"/>
      </w:r>
    </w:p>
    <w:p>
      <w:pPr>
        <w:jc w:val="center"/>
        <w:spacing w:before="0" w:after="40"/>
      </w:pPr>
      <w:r>
        <w:rPr>
          <w:b/>
          <w:bCs/>
          <w:sz w:val="32"/>
          <w:szCs w:val="32"/>
        </w:rPr>
        <w:t xml:space="preserve">EXHIBIT X</w:t>
      </w:r>
    </w:p>
    <w:p>
      <w:pPr>
        <w:jc w:val="center"/>
        <w:spacing w:before="0" w:after="160"/>
      </w:pPr>
      <w:r>
        <w:rPr>
          <w:b/>
          <w:bCs/>
          <w:sz w:val="26"/>
          <w:szCs w:val="26"/>
        </w:rPr>
        <w:t xml:space="preserve">Form of Limited Parent Guaranty</w:t>
      </w:r>
    </w:p>
    <w:p>
      <w:pPr>
        <w:spacing w:before="0" w:after="120"/>
      </w:pPr>
      <w:r>
        <w:rPr>
          <w:b/>
          <w:bCs/>
        </w:rPr>
        <w:t xml:space="preserve">1.   Guaranty. </w:t>
      </w:r>
      <w:r>
        <w:t xml:space="preserve">For value received, Conflux Workspaces Holdings, Inc., a Delaware corporation ("Guarantor"), absolutely and unconditionally guarantees the payment and performance of Tenant's obligations under the Lease, subject to the cap and burn-off in Sections 2 and 3 below.</w:t>
      </w:r>
    </w:p>
    <w:p>
      <w:pPr>
        <w:spacing w:before="0" w:after="120"/>
      </w:pPr>
      <w:r>
        <w:rPr>
          <w:b/>
          <w:bCs/>
        </w:rPr>
        <w:t xml:space="preserve">2.   Cap. </w:t>
      </w:r>
      <w:r>
        <w:t xml:space="preserve">Guarantor's liability is capped at, in the aggregate, twelve (12) months of Base Rent plus Additional Rent measured at the time of Default (a "rolling 12-month cap"), plus reasonable attorneys' fees and costs of collection. Damages for environmental obligations, holdover, and indemnity claims arising from Tenant's willful misconduct are not subject to the cap.</w:t>
      </w:r>
    </w:p>
    <w:p>
      <w:pPr>
        <w:spacing w:before="0" w:after="120"/>
      </w:pPr>
      <w:r>
        <w:rPr>
          <w:b/>
          <w:bCs/>
        </w:rPr>
        <w:t xml:space="preserve">3.   Burn-Off. </w:t>
      </w:r>
      <w:r>
        <w:t xml:space="preserve">Provided no Event of Default has occurred during the prior twenty-four (24) months and Tenant has timely paid all Rent (including Percentage Rent) when due, and Guarantor maintains consolidated tangible net worth of not less than $40,000,000 at all measurement dates during the prior twenty-four months, this Guaranty shall terminate effective on the sixtieth (60th) full calendar month following the Rent Commencement Date.</w:t>
      </w:r>
    </w:p>
    <w:p>
      <w:pPr>
        <w:spacing w:before="0" w:after="120"/>
      </w:pPr>
      <w:r>
        <w:rPr>
          <w:b/>
          <w:bCs/>
        </w:rPr>
        <w:t xml:space="preserve">4.   Independent Obligation; Waivers. </w:t>
      </w:r>
      <w:r>
        <w:t xml:space="preserve">This Guaranty is an independent obligation; Guarantor waives diligence, presentment, protest, notice of acceptance, notice of default (other than as specifically required), and the requirement that Landlord proceed first against Tenant. Customary waivers consistent with Utah law are incorporated.</w:t>
      </w:r>
    </w:p>
    <w:p>
      <w:pPr>
        <w:spacing w:before="0" w:after="120"/>
      </w:pPr>
      <w:r>
        <w:rPr>
          <w:b/>
          <w:bCs/>
        </w:rPr>
        <w:t xml:space="preserve">5.   Financial Statements. </w:t>
      </w:r>
      <w:r>
        <w:t xml:space="preserve">Guarantor shall deliver reviewed or audited consolidated annual financial statements within one hundred fifty (150) days after fiscal year end (subject to confidentiality).</w:t>
      </w:r>
    </w:p>
    <w:p>
      <w:pPr>
        <w:spacing w:before="0" w:after="120"/>
      </w:pPr>
      <w:r>
        <w:rPr>
          <w:b/>
          <w:bCs/>
        </w:rPr>
        <w:t xml:space="preserve">6.   Governing Law. </w:t>
      </w:r>
      <w:r>
        <w:t xml:space="preserve">Utah law governs. Venue: Salt Lake County, Utah.</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An eight-year, modified-gross (Base-Year stop) coworking/flex-operator lease for the entire 18,400 RSF Floor 7 of Confluence Tower, a Class A downtown Salt Lake City office tower. Tenant (Conflux Workspaces Operating, LLC, a Delaware subsidiary of Conflux Workspaces Holdings, Inc.) will operate a shared-workspace facility for ~200 Members across hot-desk, dedicated-desk, private-office, and meeting-room tiers under Member Agreements, with daytime member programming and a regulated evening/weekend event calendar. Deal includes five months of free Base Rent, 3% annual escalations, a $70/SF TI allowance, Membership Percentage Rent at 3% of Net Member Revenue over a natural breakpoint, a $525K LC with credit-conditioned burn-down, and a limited Parent Guaranty (rolling 12-month cap, burn-off month 60).</w:t>
      </w:r>
    </w:p>
    <w:p>
      <w:pPr>
        <w:spacing w:before="0" w:after="120"/>
      </w:pPr>
      <w:r>
        <w:rPr>
          <w:b/>
          <w:bCs/>
          <w:sz w:val="24"/>
          <w:szCs w:val="24"/>
        </w:rPr>
        <w:t xml:space="preserve">Archetype. </w:t>
      </w:r>
    </w:p>
    <w:p>
      <w:pPr>
        <w:spacing w:before="0" w:after="120"/>
      </w:pPr>
      <w:r>
        <w:t xml:space="preserve">Coworking / flex-operator lease — institutionalized, post-WeWork market practice. Heavier than a standard office lease on (a) sub-leasing as a designed feature (Member Agreements pre-approved); (b) operator-stress protections (LC sized to ~10 months of initial gross rent equivalent, bankruptcy-safe, with parent guaranty and operator-stress trigger covenants); (c) density and event regulation; and (d) elevated electrical/HVAC submetering to allocate coworking-specific load.</w:t>
      </w:r>
    </w:p>
    <w:p>
      <w:pPr>
        <w:spacing w:before="0" w:after="120"/>
      </w:pPr>
      <w:r>
        <w:rPr>
          <w:b/>
          <w:bCs/>
          <w:sz w:val="24"/>
          <w:szCs w:val="24"/>
        </w:rPr>
        <w:t xml:space="preserve">Key Drafting Notes. </w:t>
      </w:r>
    </w:p>
    <w:p>
      <w:pPr>
        <w:spacing w:before="0" w:after="120"/>
      </w:pPr>
      <w:r>
        <w:t xml:space="preserve">•   Member Agreements pre-approved as a category (Section 5.2 + Exhibit W) to avoid the otherwise crushing transaction cost of seeking consent for every Member.</w:t>
      </w:r>
    </w:p>
    <w:p>
      <w:pPr>
        <w:spacing w:before="0" w:after="120"/>
      </w:pPr>
      <w:r>
        <w:t xml:space="preserve">•   Headcount Density Cap (1 per 90 RSF) plus event-night exception is a key operating control that protects building life-safety, parking, and elevators.</w:t>
      </w:r>
    </w:p>
    <w:p>
      <w:pPr>
        <w:spacing w:before="0" w:after="120"/>
      </w:pPr>
      <w:r>
        <w:t xml:space="preserve">•   No Privity (W.7): explicitly disclaims any Landlord-Member relationship — critical to managing operator-distress scenarios.</w:t>
      </w:r>
    </w:p>
    <w:p>
      <w:pPr>
        <w:spacing w:before="0" w:after="120"/>
      </w:pPr>
      <w:r>
        <w:t xml:space="preserve">•   Operator-Stress Trigger (Section 8.5) plus bankruptcy-safe LC draw events are post-WeWork market practice.</w:t>
      </w:r>
    </w:p>
    <w:p>
      <w:pPr>
        <w:spacing w:before="0" w:after="120"/>
      </w:pPr>
      <w:r>
        <w:t xml:space="preserve">•   Section 4.2 submetering and elevated-load language allocates the well-known higher utility usage of coworking to Tenant equitably.</w:t>
      </w:r>
    </w:p>
    <w:p>
      <w:pPr>
        <w:spacing w:before="0" w:after="120"/>
      </w:pPr>
      <w:r>
        <w:t xml:space="preserve">•   Section 5.4 OFAC/AML member-screening obligations protect Landlord from inadvertent Bank Secrecy Act / sanctions exposure.</w:t>
      </w:r>
    </w:p>
    <w:p>
      <w:pPr>
        <w:spacing w:before="0" w:after="120"/>
      </w:pPr>
      <w:r>
        <w:t xml:space="preserve">•   Exhibit W event regime caps Public Events at 30/year and conditions large/late events on coordination, but preserves Tenant's programming flexibility for ordinary Member events.</w:t>
      </w:r>
    </w:p>
    <w:p>
      <w:pPr>
        <w:spacing w:before="0" w:after="120"/>
      </w:pPr>
      <w:r>
        <w:t xml:space="preserve">•   Section 13.4 contemplates Landlord election to retain demountable office partitions and glass fronts at surrender — significant value for re-leasing as coworking or general office.</w:t>
      </w:r>
    </w:p>
    <w:p>
      <w:pPr>
        <w:spacing w:before="0" w:after="120"/>
      </w:pPr>
      <w:r>
        <w:t xml:space="preserve">•   Insurance package adds Liquor/Host Liquor, Cyber, EPLI, and Crime/Fidelity lines that conventional office leases don't typically require.</w:t>
      </w:r>
    </w:p>
    <w:p>
      <w:pPr>
        <w:spacing w:before="0" w:after="120"/>
      </w:pPr>
      <w:r>
        <w:rPr>
          <w:b/>
          <w:bCs/>
          <w:sz w:val="24"/>
          <w:szCs w:val="24"/>
        </w:rPr>
        <w:t xml:space="preserve">Items Intentionally Omitted. </w:t>
      </w:r>
    </w:p>
    <w:p>
      <w:pPr>
        <w:spacing w:before="0" w:after="120"/>
      </w:pPr>
      <w:r>
        <w:t xml:space="preserve">Cash security deposit (LC structure preferred); relocation right; ROFO/ROFR; expansion option (operator strategy is typically multi-location, not building-by-building); SNDA form (delivered upon lender request under Article 7); landlord lien waiver for FF&amp;E financing (Tenant typically furniture-leases or finances; addressed through a separate UCC waiver if requested); cannabis or other prohibited Member uses (handled via Member Agreement restrictions).</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Date</w:t>
            </w:r>
          </w:p>
        </w:tc>
        <w:tc>
          <w:tcPr>
            <w:tcW w:w="6800" w:type="dxa"/>
            <w:shd w:val="clear" w:color="auto" w:fill="E5E7EB"/>
          </w:tcPr>
          <w:p>
            <w:pPr>
              <w:spacing w:before="0" w:after="60"/>
            </w:pPr>
            <w:r>
              <w:rPr>
                <w:b/>
                <w:bCs/>
              </w:rPr>
              <w:t xml:space="preserve">Action</w:t>
            </w:r>
          </w:p>
        </w:tc>
      </w:tr>
      <w:tr>
        <w:tc>
          <w:tcPr>
            <w:tcW w:w="2700" w:type="dxa"/>
          </w:tcPr>
          <w:p>
            <w:pPr>
              <w:spacing w:before="0" w:after="60"/>
            </w:pPr>
            <w:r>
              <w:t xml:space="preserve">Aug 28, 2026</w:t>
            </w:r>
          </w:p>
        </w:tc>
        <w:tc>
          <w:tcPr>
            <w:tcW w:w="6800" w:type="dxa"/>
          </w:tcPr>
          <w:p>
            <w:pPr>
              <w:spacing w:before="0" w:after="60"/>
            </w:pPr>
            <w:r>
              <w:t xml:space="preserve">Lease executed; first payments, LC, Parent Guaranty, and COIs due within 5 business days.</w:t>
            </w:r>
          </w:p>
        </w:tc>
      </w:tr>
      <w:tr>
        <w:tc>
          <w:tcPr>
            <w:tcW w:w="2700" w:type="dxa"/>
          </w:tcPr>
          <w:p>
            <w:pPr>
              <w:spacing w:before="0" w:after="60"/>
            </w:pPr>
            <w:r>
              <w:t xml:space="preserve">Sep 4, 2026</w:t>
            </w:r>
          </w:p>
        </w:tc>
        <w:tc>
          <w:tcPr>
            <w:tcW w:w="6800" w:type="dxa"/>
          </w:tcPr>
          <w:p>
            <w:pPr>
              <w:spacing w:before="0" w:after="60"/>
            </w:pPr>
            <w:r>
              <w:t xml:space="preserve">Tenant may begin early access for build-out.</w:t>
            </w:r>
          </w:p>
        </w:tc>
      </w:tr>
      <w:tr>
        <w:tc>
          <w:tcPr>
            <w:tcW w:w="2700" w:type="dxa"/>
          </w:tcPr>
          <w:p>
            <w:pPr>
              <w:spacing w:before="0" w:after="60"/>
            </w:pPr>
            <w:r>
              <w:t xml:space="preserve">Oct 1, 2026</w:t>
            </w:r>
          </w:p>
        </w:tc>
        <w:tc>
          <w:tcPr>
            <w:tcW w:w="6800" w:type="dxa"/>
          </w:tcPr>
          <w:p>
            <w:pPr>
              <w:spacing w:before="0" w:after="60"/>
            </w:pPr>
            <w:r>
              <w:t xml:space="preserve">Commencement Date; Abatement Period begins; build-out continues; Member pre-leasing begins.</w:t>
            </w:r>
          </w:p>
        </w:tc>
      </w:tr>
      <w:tr>
        <w:tc>
          <w:tcPr>
            <w:tcW w:w="2700" w:type="dxa"/>
          </w:tcPr>
          <w:p>
            <w:pPr>
              <w:spacing w:before="0" w:after="60"/>
            </w:pPr>
            <w:r>
              <w:t xml:space="preserve">Nov 15, 2026</w:t>
            </w:r>
          </w:p>
        </w:tc>
        <w:tc>
          <w:tcPr>
            <w:tcW w:w="6800" w:type="dxa"/>
          </w:tcPr>
          <w:p>
            <w:pPr>
              <w:spacing w:before="0" w:after="60"/>
            </w:pPr>
            <w:r>
              <w:t xml:space="preserve">Outside Date for Landlord delivery.</w:t>
            </w:r>
          </w:p>
        </w:tc>
      </w:tr>
      <w:tr>
        <w:tc>
          <w:tcPr>
            <w:tcW w:w="2700" w:type="dxa"/>
          </w:tcPr>
          <w:p>
            <w:pPr>
              <w:spacing w:before="0" w:after="60"/>
            </w:pPr>
            <w:r>
              <w:t xml:space="preserve">Mar 1, 2027</w:t>
            </w:r>
          </w:p>
        </w:tc>
        <w:tc>
          <w:tcPr>
            <w:tcW w:w="6800" w:type="dxa"/>
          </w:tcPr>
          <w:p>
            <w:pPr>
              <w:spacing w:before="0" w:after="60"/>
            </w:pPr>
            <w:r>
              <w:t xml:space="preserve">Rent Commencement Date; first $55,200 Base Rent installment due.</w:t>
            </w:r>
          </w:p>
        </w:tc>
      </w:tr>
      <w:tr>
        <w:tc>
          <w:tcPr>
            <w:tcW w:w="2700" w:type="dxa"/>
          </w:tcPr>
          <w:p>
            <w:pPr>
              <w:spacing w:before="0" w:after="60"/>
            </w:pPr>
            <w:r>
              <w:t xml:space="preserve">Jan 1, 2027 – Dec 31, 2027</w:t>
            </w:r>
          </w:p>
        </w:tc>
        <w:tc>
          <w:tcPr>
            <w:tcW w:w="6800" w:type="dxa"/>
          </w:tcPr>
          <w:p>
            <w:pPr>
              <w:spacing w:before="0" w:after="60"/>
            </w:pPr>
            <w:r>
              <w:t xml:space="preserve">Base Year for Operating Expense purposes.</w:t>
            </w:r>
          </w:p>
        </w:tc>
      </w:tr>
      <w:tr>
        <w:tc>
          <w:tcPr>
            <w:tcW w:w="2700" w:type="dxa"/>
          </w:tcPr>
          <w:p>
            <w:pPr>
              <w:spacing w:before="0" w:after="60"/>
            </w:pPr>
            <w:r>
              <w:t xml:space="preserve">Apr 30, 2028</w:t>
            </w:r>
          </w:p>
        </w:tc>
        <w:tc>
          <w:tcPr>
            <w:tcW w:w="6800" w:type="dxa"/>
          </w:tcPr>
          <w:p>
            <w:pPr>
              <w:spacing w:before="0" w:after="60"/>
            </w:pPr>
            <w:r>
              <w:t xml:space="preserve">Latest delivery of 2027 Operating Expense statement (Base Year).</w:t>
            </w:r>
          </w:p>
        </w:tc>
      </w:tr>
      <w:tr>
        <w:tc>
          <w:tcPr>
            <w:tcW w:w="2700" w:type="dxa"/>
          </w:tcPr>
          <w:p>
            <w:pPr>
              <w:spacing w:before="0" w:after="60"/>
            </w:pPr>
            <w:r>
              <w:t xml:space="preserve">Quarterly</w:t>
            </w:r>
          </w:p>
        </w:tc>
        <w:tc>
          <w:tcPr>
            <w:tcW w:w="6800" w:type="dxa"/>
          </w:tcPr>
          <w:p>
            <w:pPr>
              <w:spacing w:before="0" w:after="60"/>
            </w:pPr>
            <w:r>
              <w:t xml:space="preserve">Membership Percentage Rent quarterly remittances within 30 days after each quarter end.</w:t>
            </w:r>
          </w:p>
        </w:tc>
      </w:tr>
      <w:tr>
        <w:tc>
          <w:tcPr>
            <w:tcW w:w="2700" w:type="dxa"/>
          </w:tcPr>
          <w:p>
            <w:pPr>
              <w:spacing w:before="0" w:after="60"/>
            </w:pPr>
            <w:r>
              <w:t xml:space="preserve">Mar 1, 2029</w:t>
            </w:r>
          </w:p>
        </w:tc>
        <w:tc>
          <w:tcPr>
            <w:tcW w:w="6800" w:type="dxa"/>
          </w:tcPr>
          <w:p>
            <w:pPr>
              <w:spacing w:before="0" w:after="60"/>
            </w:pPr>
            <w:r>
              <w:t xml:space="preserve">LC burn-down step #1 (to $400,000), conditioned on Section 2.7.</w:t>
            </w:r>
          </w:p>
        </w:tc>
      </w:tr>
      <w:tr>
        <w:tc>
          <w:tcPr>
            <w:tcW w:w="2700" w:type="dxa"/>
          </w:tcPr>
          <w:p>
            <w:pPr>
              <w:spacing w:before="0" w:after="60"/>
            </w:pPr>
            <w:r>
              <w:t xml:space="preserve">Mar 1, 2032</w:t>
            </w:r>
          </w:p>
        </w:tc>
        <w:tc>
          <w:tcPr>
            <w:tcW w:w="6800" w:type="dxa"/>
          </w:tcPr>
          <w:p>
            <w:pPr>
              <w:spacing w:before="0" w:after="60"/>
            </w:pPr>
            <w:r>
              <w:t xml:space="preserve">LC burn-down step #2 (to $275,000).</w:t>
            </w:r>
          </w:p>
        </w:tc>
      </w:tr>
      <w:tr>
        <w:tc>
          <w:tcPr>
            <w:tcW w:w="2700" w:type="dxa"/>
          </w:tcPr>
          <w:p>
            <w:pPr>
              <w:spacing w:before="0" w:after="60"/>
            </w:pPr>
            <w:r>
              <w:t xml:space="preserve">Mar 1, 2032</w:t>
            </w:r>
          </w:p>
        </w:tc>
        <w:tc>
          <w:tcPr>
            <w:tcW w:w="6800" w:type="dxa"/>
          </w:tcPr>
          <w:p>
            <w:pPr>
              <w:spacing w:before="0" w:after="60"/>
            </w:pPr>
            <w:r>
              <w:t xml:space="preserve">Parent Guaranty burn-off at month 60 if no Default in prior 24 months and net-worth condition met.</w:t>
            </w:r>
          </w:p>
        </w:tc>
      </w:tr>
      <w:tr>
        <w:tc>
          <w:tcPr>
            <w:tcW w:w="2700" w:type="dxa"/>
          </w:tcPr>
          <w:p>
            <w:pPr>
              <w:spacing w:before="0" w:after="60"/>
            </w:pPr>
            <w:r>
              <w:t xml:space="preserve">Jul 1, 2033 – Sep 30, 2033</w:t>
            </w:r>
          </w:p>
        </w:tc>
        <w:tc>
          <w:tcPr>
            <w:tcW w:w="6800" w:type="dxa"/>
          </w:tcPr>
          <w:p>
            <w:pPr>
              <w:spacing w:before="0" w:after="60"/>
            </w:pPr>
            <w:r>
              <w:t xml:space="preserve">Renewal option window (12–15 months prior to Expiration).</w:t>
            </w:r>
          </w:p>
        </w:tc>
      </w:tr>
      <w:tr>
        <w:tc>
          <w:tcPr>
            <w:tcW w:w="2700" w:type="dxa"/>
          </w:tcPr>
          <w:p>
            <w:pPr>
              <w:spacing w:before="0" w:after="60"/>
            </w:pPr>
            <w:r>
              <w:t xml:space="preserve">Sep 30, 2034</w:t>
            </w:r>
          </w:p>
        </w:tc>
        <w:tc>
          <w:tcPr>
            <w:tcW w:w="6800" w:type="dxa"/>
          </w:tcPr>
          <w:p>
            <w:pPr>
              <w:spacing w:before="0" w:after="60"/>
            </w:pPr>
            <w:r>
              <w:t xml:space="preserve">Expiration Date; surrender per Exhibit B (Member Agreement transition + facility decommissioning).</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s>
</file>