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LIFE SCIENCES / LABORATORY LEASE</w:t>
      </w:r>
    </w:p>
    <w:p>
      <w:pPr>
        <w:jc w:val="center"/>
        <w:spacing w:before="0" w:after="80"/>
      </w:pPr>
      <w:r>
        <w:rPr>
          <w:b/>
          <w:bCs/>
          <w:sz w:val="24"/>
          <w:szCs w:val="24"/>
        </w:rPr>
        <w:t xml:space="preserve">Granite Bench Bioscience Center — Suite 220</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VELLICHOR THERAPEUTICS, INC., as Tenant</w:t>
      </w:r>
    </w:p>
    <w:p>
      <w:pPr>
        <w:spacing w:before="0" w:after="120"/>
      </w:pPr>
      <w:r>
        <w:t xml:space="preserve">This Life Sciences / Laboratory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April 9,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Vellichor Therapeutics, Inc., a Delaware corporation, authorized to do business in Utah.</w:t>
            </w:r>
          </w:p>
        </w:tc>
      </w:tr>
      <w:tr>
        <w:tc>
          <w:tcPr>
            <w:tcW w:w="3000" w:type="dxa"/>
          </w:tcPr>
          <w:p>
            <w:pPr>
              <w:spacing w:before="0" w:after="60"/>
            </w:pPr>
            <w:r>
              <w:t xml:space="preserve">Building</w:t>
            </w:r>
          </w:p>
        </w:tc>
        <w:tc>
          <w:tcPr>
            <w:tcW w:w="6500" w:type="dxa"/>
          </w:tcPr>
          <w:p>
            <w:pPr>
              <w:spacing w:before="0" w:after="60"/>
            </w:pPr>
            <w:r>
              <w:t xml:space="preserve">The four-story multi-tenant wet-laboratory and life-sciences building known as Granite Bench Bioscience Center, located at 2240 South Foothill Drive, Salt Lake City, Utah 84109, consisting of approximately 152,000 rentable square feet, with vibration-isolated lower-floor lab levels, central deionized water and lab gas distribution, dedicated lab-air and lab-vacuum risers, dedicated lab-exhaust risers and rooftop stacks, base-building emergency generator and uninterruptible-power systems, a freight elevator with biohazard transfer protocol, a Building Biohazardous and Chemical Waste Holding Room, and a card-access security program.</w:t>
            </w:r>
          </w:p>
        </w:tc>
      </w:tr>
      <w:tr>
        <w:tc>
          <w:tcPr>
            <w:tcW w:w="3000" w:type="dxa"/>
          </w:tcPr>
          <w:p>
            <w:pPr>
              <w:spacing w:before="0" w:after="60"/>
            </w:pPr>
            <w:r>
              <w:t xml:space="preserve">Premises</w:t>
            </w:r>
          </w:p>
        </w:tc>
        <w:tc>
          <w:tcPr>
            <w:tcW w:w="6500" w:type="dxa"/>
          </w:tcPr>
          <w:p>
            <w:pPr>
              <w:spacing w:before="0" w:after="60"/>
            </w:pPr>
            <w:r>
              <w:t xml:space="preserve">Suite 220, located on the second floor of the Building and depicted on Exhibit A, consisting of approximately 14,800 rentable square feet, including write-up office, open R&amp;D lab bench area, four (4) 6-foot chemical fume hoods, a Biosafety Level 2 (BSL-2) tissue-culture suite, glasswash/autoclave area, cold rooms and a -80°C freezer farm, equipment room, lab gas cabinet, and a small SPF rodent vivarium of approximately 1,200 NSF (the "Vivarium").</w:t>
            </w:r>
          </w:p>
        </w:tc>
      </w:tr>
      <w:tr>
        <w:tc>
          <w:tcPr>
            <w:tcW w:w="3000" w:type="dxa"/>
          </w:tcPr>
          <w:p>
            <w:pPr>
              <w:spacing w:before="0" w:after="60"/>
            </w:pPr>
            <w:r>
              <w:t xml:space="preserve">Property</w:t>
            </w:r>
          </w:p>
        </w:tc>
        <w:tc>
          <w:tcPr>
            <w:tcW w:w="6500" w:type="dxa"/>
          </w:tcPr>
          <w:p>
            <w:pPr>
              <w:spacing w:before="0" w:after="60"/>
            </w:pPr>
            <w:r>
              <w:t xml:space="preserve">The Building, the land on which the Building is situated, and related parking, drives, sidewalks, landscaping, and common areas.</w:t>
            </w:r>
          </w:p>
        </w:tc>
      </w:tr>
      <w:tr>
        <w:tc>
          <w:tcPr>
            <w:tcW w:w="3000" w:type="dxa"/>
          </w:tcPr>
          <w:p>
            <w:pPr>
              <w:spacing w:before="0" w:after="60"/>
            </w:pPr>
            <w:r>
              <w:t xml:space="preserve">Commencement Date</w:t>
            </w:r>
          </w:p>
        </w:tc>
        <w:tc>
          <w:tcPr>
            <w:tcW w:w="6500" w:type="dxa"/>
          </w:tcPr>
          <w:p>
            <w:pPr>
              <w:spacing w:before="0" w:after="60"/>
            </w:pPr>
            <w:r>
              <w:t xml:space="preserve">May 1, 2026.</w:t>
            </w:r>
          </w:p>
        </w:tc>
      </w:tr>
      <w:tr>
        <w:tc>
          <w:tcPr>
            <w:tcW w:w="3000" w:type="dxa"/>
          </w:tcPr>
          <w:p>
            <w:pPr>
              <w:spacing w:before="0" w:after="60"/>
            </w:pPr>
            <w:r>
              <w:t xml:space="preserve">Term</w:t>
            </w:r>
          </w:p>
        </w:tc>
        <w:tc>
          <w:tcPr>
            <w:tcW w:w="6500" w:type="dxa"/>
          </w:tcPr>
          <w:p>
            <w:pPr>
              <w:spacing w:before="0" w:after="60"/>
            </w:pPr>
            <w:r>
              <w:t xml:space="preserve">One hundred twenty (120) full calendar months, expiring April 30, 2036 (the "Expiration Date"), unless sooner terminated or extended as provided herein.</w:t>
            </w:r>
          </w:p>
        </w:tc>
      </w:tr>
      <w:tr>
        <w:tc>
          <w:tcPr>
            <w:tcW w:w="3000" w:type="dxa"/>
          </w:tcPr>
          <w:p>
            <w:pPr>
              <w:spacing w:before="0" w:after="60"/>
            </w:pPr>
            <w:r>
              <w:t xml:space="preserve">Rent Structure</w:t>
            </w:r>
          </w:p>
        </w:tc>
        <w:tc>
          <w:tcPr>
            <w:tcW w:w="6500" w:type="dxa"/>
          </w:tcPr>
          <w:p>
            <w:pPr>
              <w:spacing w:before="0" w:after="60"/>
            </w:pPr>
            <w:r>
              <w:t xml:space="preserve">Triple-net with Tenant Proportionate Share of Operating Expenses payable from the Commencement Date.</w:t>
            </w:r>
          </w:p>
        </w:tc>
      </w:tr>
      <w:tr>
        <w:tc>
          <w:tcPr>
            <w:tcW w:w="3000" w:type="dxa"/>
          </w:tcPr>
          <w:p>
            <w:pPr>
              <w:spacing w:before="0" w:after="60"/>
            </w:pPr>
            <w:r>
              <w:t xml:space="preserve">Base Rent</w:t>
            </w:r>
          </w:p>
        </w:tc>
        <w:tc>
          <w:tcPr>
            <w:tcW w:w="6500" w:type="dxa"/>
          </w:tcPr>
          <w:p>
            <w:pPr>
              <w:spacing w:before="0" w:after="60"/>
            </w:pPr>
            <w:r>
              <w:t xml:space="preserve">As set forth in the schedule in Section 2.2.</w:t>
            </w:r>
          </w:p>
        </w:tc>
      </w:tr>
      <w:tr>
        <w:tc>
          <w:tcPr>
            <w:tcW w:w="3000" w:type="dxa"/>
          </w:tcPr>
          <w:p>
            <w:pPr>
              <w:spacing w:before="0" w:after="60"/>
            </w:pPr>
            <w:r>
              <w:t xml:space="preserve">Abatement Period</w:t>
            </w:r>
          </w:p>
        </w:tc>
        <w:tc>
          <w:tcPr>
            <w:tcW w:w="6500" w:type="dxa"/>
          </w:tcPr>
          <w:p>
            <w:pPr>
              <w:spacing w:before="0" w:after="60"/>
            </w:pPr>
            <w:r>
              <w:t xml:space="preserve">May 1, 2026 through October 31, 2026 (Base Rent only — six (6) months) to accommodate Tenant's lab build-out, equipment installation, vivarium commissioning, BSL-2 certification, and institutional approvals (IBC, IACUC).</w:t>
            </w:r>
          </w:p>
        </w:tc>
      </w:tr>
      <w:tr>
        <w:tc>
          <w:tcPr>
            <w:tcW w:w="3000" w:type="dxa"/>
          </w:tcPr>
          <w:p>
            <w:pPr>
              <w:spacing w:before="0" w:after="60"/>
            </w:pPr>
            <w:r>
              <w:t xml:space="preserve">Estimated NNN/Operating Expenses</w:t>
            </w:r>
          </w:p>
        </w:tc>
        <w:tc>
          <w:tcPr>
            <w:tcW w:w="6500" w:type="dxa"/>
          </w:tcPr>
          <w:p>
            <w:pPr>
              <w:spacing w:before="0" w:after="60"/>
            </w:pPr>
            <w:r>
              <w:t xml:space="preserve">$22.50 per RSF per year for calendar year 2026 ($27,750.00 per month), reflecting lab-grade base-building services and elevated mechanical loads. Tenant's lab and vivarium utilities are submetered or directly billed per Article 4.</w:t>
            </w:r>
          </w:p>
        </w:tc>
      </w:tr>
      <w:tr>
        <w:tc>
          <w:tcPr>
            <w:tcW w:w="3000" w:type="dxa"/>
          </w:tcPr>
          <w:p>
            <w:pPr>
              <w:spacing w:before="0" w:after="60"/>
            </w:pPr>
            <w:r>
              <w:t xml:space="preserve">Permitted Use</w:t>
            </w:r>
          </w:p>
        </w:tc>
        <w:tc>
          <w:tcPr>
            <w:tcW w:w="6500" w:type="dxa"/>
          </w:tcPr>
          <w:p>
            <w:pPr>
              <w:spacing w:before="0" w:after="60"/>
            </w:pPr>
            <w:r>
              <w:t xml:space="preserve">Pharmaceutical and biotechnology research, development, preclinical testing, and ancillary office, including BSL-2 work, recombinant DNA and synthetic nucleic acid research subject to NIH Guidelines, small-rodent in vivo research in the Vivarium subject to AAALAC standards and IACUC oversight, chemistry up to limited Class I flammable/combustible quantities permitted by code, and good-faith preparatory pre-GMP activities. GMP manufacturing and human-subject clinical trials at the Premises are not permitted without Landlord's prior written consent and any required incremental approvals. BSL-3, BSL-4, USDA Select Agent work, and infectious-disease challenge studies are prohibited.</w:t>
            </w:r>
          </w:p>
        </w:tc>
      </w:tr>
      <w:tr>
        <w:tc>
          <w:tcPr>
            <w:tcW w:w="3000" w:type="dxa"/>
          </w:tcPr>
          <w:p>
            <w:pPr>
              <w:spacing w:before="0" w:after="60"/>
            </w:pPr>
            <w:r>
              <w:t xml:space="preserve">Tenant Proportionate Share</w:t>
            </w:r>
          </w:p>
        </w:tc>
        <w:tc>
          <w:tcPr>
            <w:tcW w:w="6500" w:type="dxa"/>
          </w:tcPr>
          <w:p>
            <w:pPr>
              <w:spacing w:before="0" w:after="60"/>
            </w:pPr>
            <w:r>
              <w:t xml:space="preserve">9.74% (14,800 / 152,000).</w:t>
            </w:r>
          </w:p>
        </w:tc>
      </w:tr>
      <w:tr>
        <w:tc>
          <w:tcPr>
            <w:tcW w:w="3000" w:type="dxa"/>
          </w:tcPr>
          <w:p>
            <w:pPr>
              <w:spacing w:before="0" w:after="60"/>
            </w:pPr>
            <w:r>
              <w:t xml:space="preserve">Security Deposit</w:t>
            </w:r>
          </w:p>
        </w:tc>
        <w:tc>
          <w:tcPr>
            <w:tcW w:w="6500" w:type="dxa"/>
          </w:tcPr>
          <w:p>
            <w:pPr>
              <w:spacing w:before="0" w:after="60"/>
            </w:pPr>
            <w:r>
              <w:t xml:space="preserve">None (replaced with the Letter of Credit below).</w:t>
            </w:r>
          </w:p>
        </w:tc>
      </w:tr>
      <w:tr>
        <w:tc>
          <w:tcPr>
            <w:tcW w:w="3000" w:type="dxa"/>
          </w:tcPr>
          <w:p>
            <w:pPr>
              <w:spacing w:before="0" w:after="60"/>
            </w:pPr>
            <w:r>
              <w:t xml:space="preserve">Letter of Credit</w:t>
            </w:r>
          </w:p>
        </w:tc>
        <w:tc>
          <w:tcPr>
            <w:tcW w:w="6500" w:type="dxa"/>
          </w:tcPr>
          <w:p>
            <w:pPr>
              <w:spacing w:before="0" w:after="60"/>
            </w:pPr>
            <w:r>
              <w:t xml:space="preserve">$420,000.00 irrevocable standby letter of credit in the form attached as Exhibit H, subject to burn-down under Section 2.7.</w:t>
            </w:r>
          </w:p>
        </w:tc>
      </w:tr>
      <w:tr>
        <w:tc>
          <w:tcPr>
            <w:tcW w:w="3000" w:type="dxa"/>
          </w:tcPr>
          <w:p>
            <w:pPr>
              <w:spacing w:before="0" w:after="60"/>
            </w:pPr>
            <w:r>
              <w:t xml:space="preserve">Guarantor</w:t>
            </w:r>
          </w:p>
        </w:tc>
        <w:tc>
          <w:tcPr>
            <w:tcW w:w="6500" w:type="dxa"/>
          </w:tcPr>
          <w:p>
            <w:pPr>
              <w:spacing w:before="0" w:after="60"/>
            </w:pPr>
            <w:r>
              <w:t xml:space="preserve">None.</w:t>
            </w:r>
          </w:p>
        </w:tc>
      </w:tr>
      <w:tr>
        <w:tc>
          <w:tcPr>
            <w:tcW w:w="3000" w:type="dxa"/>
          </w:tcPr>
          <w:p>
            <w:pPr>
              <w:spacing w:before="0" w:after="60"/>
            </w:pPr>
            <w:r>
              <w:t xml:space="preserve">Tenant Improvement Allowance</w:t>
            </w:r>
          </w:p>
        </w:tc>
        <w:tc>
          <w:tcPr>
            <w:tcW w:w="6500" w:type="dxa"/>
          </w:tcPr>
          <w:p>
            <w:pPr>
              <w:spacing w:before="0" w:after="60"/>
            </w:pPr>
            <w:r>
              <w:t xml:space="preserve">$125.00 per RSF ($1,850,000.00) payable in arrears under Exhibit G against lien-waiver-supported invoices for Tenant's lab fit-out, including casework, fume hoods, BSCs, vivarium fit-out, and qualifying equipment installation.</w:t>
            </w:r>
          </w:p>
        </w:tc>
      </w:tr>
      <w:tr>
        <w:tc>
          <w:tcPr>
            <w:tcW w:w="3000" w:type="dxa"/>
          </w:tcPr>
          <w:p>
            <w:pPr>
              <w:spacing w:before="0" w:after="60"/>
            </w:pPr>
            <w:r>
              <w:t xml:space="preserve">Landlord Lab Contribution</w:t>
            </w:r>
          </w:p>
        </w:tc>
        <w:tc>
          <w:tcPr>
            <w:tcW w:w="6500" w:type="dxa"/>
          </w:tcPr>
          <w:p>
            <w:pPr>
              <w:spacing w:before="0" w:after="60"/>
            </w:pPr>
            <w:r>
              <w:t xml:space="preserve">In addition to the TI Allowance, Landlord shall provide and install, at Landlord's sole cost, the dedicated lab-exhaust riser capacity, lab-air, lab-vacuum, deionized water, and base-building utility tie-ins described in Exhibit G (the "Landlord Lab Contribution").</w:t>
            </w:r>
          </w:p>
        </w:tc>
      </w:tr>
      <w:tr>
        <w:tc>
          <w:tcPr>
            <w:tcW w:w="3000" w:type="dxa"/>
          </w:tcPr>
          <w:p>
            <w:pPr>
              <w:spacing w:before="0" w:after="60"/>
            </w:pPr>
            <w:r>
              <w:t xml:space="preserve">Renewal Option</w:t>
            </w:r>
          </w:p>
        </w:tc>
        <w:tc>
          <w:tcPr>
            <w:tcW w:w="6500" w:type="dxa"/>
          </w:tcPr>
          <w:p>
            <w:pPr>
              <w:spacing w:before="0" w:after="60"/>
            </w:pPr>
            <w:r>
              <w:t xml:space="preserve">One (1) option to renew for five (5) years at Fair Market Rent, per Article 27.</w:t>
            </w:r>
          </w:p>
        </w:tc>
      </w:tr>
      <w:tr>
        <w:tc>
          <w:tcPr>
            <w:tcW w:w="3000" w:type="dxa"/>
          </w:tcPr>
          <w:p>
            <w:pPr>
              <w:spacing w:before="0" w:after="60"/>
            </w:pPr>
            <w:r>
              <w:t xml:space="preserve">Brokers</w:t>
            </w:r>
          </w:p>
        </w:tc>
        <w:tc>
          <w:tcPr>
            <w:tcW w:w="6500" w:type="dxa"/>
          </w:tcPr>
          <w:p>
            <w:pPr>
              <w:spacing w:before="0" w:after="60"/>
            </w:pPr>
            <w:r>
              <w:t xml:space="preserve">Tenant Broker: Helix Life Sciences Real Estate,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Vellichor Therapeutics, Inc., Attn: Dr. Anand R. Kapoor, Chief Scientific Officer, Suite 220, 2240 South Foothill Drive, Salt Lake City, UT 84109; courtesy email copy to akapoor@vellichortx.example, with copy to legal@vellichortx.example.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Exhibits</w:t>
            </w:r>
          </w:p>
        </w:tc>
        <w:tc>
          <w:tcPr>
            <w:tcW w:w="6500" w:type="dxa"/>
          </w:tcPr>
          <w:p>
            <w:pPr>
              <w:spacing w:before="0" w:after="60"/>
            </w:pPr>
            <w:r>
              <w:t xml:space="preserve">Exhibit A (Depiction of Premises); Exhibit B (Surrender Requirements); Exhibit C (Rules and Prohibited Uses); Exhibit D (Tenant Contact Information); Exhibit E (Sign Specifications); Exhibit F (Confirmation of Commencement Date); Exhibit G (Work Letter &amp; Tenant Improvement Allowance); Exhibit H (Form of Letter of Credit); Exhibit I (Utah-Specific Provisions); Exhibit K (Environmental &amp; Chemical Hygiene Disclosure); Exhibit R (Laboratory Operations, BSL-2 &amp; Biosafety); Exhibit S (Vivarium Operations); Exhibit T (Shared Building Services &amp; Utilities Allocation).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w:t>
      </w:r>
    </w:p>
    <w:p>
      <w:pPr>
        <w:spacing w:before="0" w:after="120"/>
      </w:pPr>
      <w:r>
        <w:rPr>
          <w:b/>
          <w:bCs/>
        </w:rPr>
        <w:t xml:space="preserve">2.1   Grant. </w:t>
      </w:r>
      <w:r>
        <w:t xml:space="preserve">Landlord leases the Premises to Tenant for the Term, subject to this Lease.</w:t>
      </w:r>
    </w:p>
    <w:p>
      <w:pPr>
        <w:spacing w:before="0" w:after="120"/>
      </w:pPr>
      <w:r>
        <w:rPr>
          <w:b/>
          <w:bCs/>
        </w:rPr>
        <w:t xml:space="preserve">2.2   Base Rent Schedule.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May 1, 2026 – Oct 31, 2026</w:t>
            </w:r>
          </w:p>
        </w:tc>
        <w:tc>
          <w:tcPr>
            <w:tcW w:w="1800" w:type="dxa"/>
          </w:tcPr>
          <w:p>
            <w:pPr>
              <w:spacing w:before="0" w:after="60"/>
            </w:pPr>
            <w:r>
              <w:t xml:space="preserve">$56.00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Nov 1, 2026 – Apr 30, 2027</w:t>
            </w:r>
          </w:p>
        </w:tc>
        <w:tc>
          <w:tcPr>
            <w:tcW w:w="1800" w:type="dxa"/>
          </w:tcPr>
          <w:p>
            <w:pPr>
              <w:spacing w:before="0" w:after="60"/>
            </w:pPr>
            <w:r>
              <w:t xml:space="preserve">$56.00</w:t>
            </w:r>
          </w:p>
        </w:tc>
        <w:tc>
          <w:tcPr>
            <w:tcW w:w="2300" w:type="dxa"/>
          </w:tcPr>
          <w:p>
            <w:pPr>
              <w:spacing w:before="0" w:after="60"/>
            </w:pPr>
            <w:r>
              <w:t xml:space="preserve">$69,066.67</w:t>
            </w:r>
          </w:p>
        </w:tc>
        <w:tc>
          <w:tcPr>
            <w:tcW w:w="2400" w:type="dxa"/>
          </w:tcPr>
          <w:p>
            <w:pPr>
              <w:spacing w:before="0" w:after="60"/>
            </w:pPr>
            <w:r>
              <w:t xml:space="preserve">$828,800.00</w:t>
            </w:r>
          </w:p>
        </w:tc>
      </w:tr>
      <w:tr>
        <w:tc>
          <w:tcPr>
            <w:tcW w:w="3000" w:type="dxa"/>
          </w:tcPr>
          <w:p>
            <w:pPr>
              <w:spacing w:before="0" w:after="60"/>
            </w:pPr>
            <w:r>
              <w:t xml:space="preserve">May 1, 2027 – Apr 30, 2028</w:t>
            </w:r>
          </w:p>
        </w:tc>
        <w:tc>
          <w:tcPr>
            <w:tcW w:w="1800" w:type="dxa"/>
          </w:tcPr>
          <w:p>
            <w:pPr>
              <w:spacing w:before="0" w:after="60"/>
            </w:pPr>
            <w:r>
              <w:t xml:space="preserve">$57.68</w:t>
            </w:r>
          </w:p>
        </w:tc>
        <w:tc>
          <w:tcPr>
            <w:tcW w:w="2300" w:type="dxa"/>
          </w:tcPr>
          <w:p>
            <w:pPr>
              <w:spacing w:before="0" w:after="60"/>
            </w:pPr>
            <w:r>
              <w:t xml:space="preserve">$71,138.67</w:t>
            </w:r>
          </w:p>
        </w:tc>
        <w:tc>
          <w:tcPr>
            <w:tcW w:w="2400" w:type="dxa"/>
          </w:tcPr>
          <w:p>
            <w:pPr>
              <w:spacing w:before="0" w:after="60"/>
            </w:pPr>
            <w:r>
              <w:t xml:space="preserve">$853,664.00</w:t>
            </w:r>
          </w:p>
        </w:tc>
      </w:tr>
      <w:tr>
        <w:tc>
          <w:tcPr>
            <w:tcW w:w="3000" w:type="dxa"/>
          </w:tcPr>
          <w:p>
            <w:pPr>
              <w:spacing w:before="0" w:after="60"/>
            </w:pPr>
            <w:r>
              <w:t xml:space="preserve">May 1, 2028 – Apr 30, 2029</w:t>
            </w:r>
          </w:p>
        </w:tc>
        <w:tc>
          <w:tcPr>
            <w:tcW w:w="1800" w:type="dxa"/>
          </w:tcPr>
          <w:p>
            <w:pPr>
              <w:spacing w:before="0" w:after="60"/>
            </w:pPr>
            <w:r>
              <w:t xml:space="preserve">$59.41</w:t>
            </w:r>
          </w:p>
        </w:tc>
        <w:tc>
          <w:tcPr>
            <w:tcW w:w="2300" w:type="dxa"/>
          </w:tcPr>
          <w:p>
            <w:pPr>
              <w:spacing w:before="0" w:after="60"/>
            </w:pPr>
            <w:r>
              <w:t xml:space="preserve">$73,272.33</w:t>
            </w:r>
          </w:p>
        </w:tc>
        <w:tc>
          <w:tcPr>
            <w:tcW w:w="2400" w:type="dxa"/>
          </w:tcPr>
          <w:p>
            <w:pPr>
              <w:spacing w:before="0" w:after="60"/>
            </w:pPr>
            <w:r>
              <w:t xml:space="preserve">$879,268.00</w:t>
            </w:r>
          </w:p>
        </w:tc>
      </w:tr>
      <w:tr>
        <w:tc>
          <w:tcPr>
            <w:tcW w:w="3000" w:type="dxa"/>
          </w:tcPr>
          <w:p>
            <w:pPr>
              <w:spacing w:before="0" w:after="60"/>
            </w:pPr>
            <w:r>
              <w:t xml:space="preserve">May 1, 2029 – Apr 30, 2030</w:t>
            </w:r>
          </w:p>
        </w:tc>
        <w:tc>
          <w:tcPr>
            <w:tcW w:w="1800" w:type="dxa"/>
          </w:tcPr>
          <w:p>
            <w:pPr>
              <w:spacing w:before="0" w:after="60"/>
            </w:pPr>
            <w:r>
              <w:t xml:space="preserve">$61.19</w:t>
            </w:r>
          </w:p>
        </w:tc>
        <w:tc>
          <w:tcPr>
            <w:tcW w:w="2300" w:type="dxa"/>
          </w:tcPr>
          <w:p>
            <w:pPr>
              <w:spacing w:before="0" w:after="60"/>
            </w:pPr>
            <w:r>
              <w:t xml:space="preserve">$75,468.33</w:t>
            </w:r>
          </w:p>
        </w:tc>
        <w:tc>
          <w:tcPr>
            <w:tcW w:w="2400" w:type="dxa"/>
          </w:tcPr>
          <w:p>
            <w:pPr>
              <w:spacing w:before="0" w:after="60"/>
            </w:pPr>
            <w:r>
              <w:t xml:space="preserve">$905,612.00</w:t>
            </w:r>
          </w:p>
        </w:tc>
      </w:tr>
      <w:tr>
        <w:tc>
          <w:tcPr>
            <w:tcW w:w="3000" w:type="dxa"/>
          </w:tcPr>
          <w:p>
            <w:pPr>
              <w:spacing w:before="0" w:after="60"/>
            </w:pPr>
            <w:r>
              <w:t xml:space="preserve">May 1, 2030 – Apr 30, 2031</w:t>
            </w:r>
          </w:p>
        </w:tc>
        <w:tc>
          <w:tcPr>
            <w:tcW w:w="1800" w:type="dxa"/>
          </w:tcPr>
          <w:p>
            <w:pPr>
              <w:spacing w:before="0" w:after="60"/>
            </w:pPr>
            <w:r>
              <w:t xml:space="preserve">$63.03</w:t>
            </w:r>
          </w:p>
        </w:tc>
        <w:tc>
          <w:tcPr>
            <w:tcW w:w="2300" w:type="dxa"/>
          </w:tcPr>
          <w:p>
            <w:pPr>
              <w:spacing w:before="0" w:after="60"/>
            </w:pPr>
            <w:r>
              <w:t xml:space="preserve">$77,737.00</w:t>
            </w:r>
          </w:p>
        </w:tc>
        <w:tc>
          <w:tcPr>
            <w:tcW w:w="2400" w:type="dxa"/>
          </w:tcPr>
          <w:p>
            <w:pPr>
              <w:spacing w:before="0" w:after="60"/>
            </w:pPr>
            <w:r>
              <w:t xml:space="preserve">$932,844.00</w:t>
            </w:r>
          </w:p>
        </w:tc>
      </w:tr>
      <w:tr>
        <w:tc>
          <w:tcPr>
            <w:tcW w:w="3000" w:type="dxa"/>
          </w:tcPr>
          <w:p>
            <w:pPr>
              <w:spacing w:before="0" w:after="60"/>
            </w:pPr>
            <w:r>
              <w:t xml:space="preserve">May 1, 2031 – Apr 30, 2032</w:t>
            </w:r>
          </w:p>
        </w:tc>
        <w:tc>
          <w:tcPr>
            <w:tcW w:w="1800" w:type="dxa"/>
          </w:tcPr>
          <w:p>
            <w:pPr>
              <w:spacing w:before="0" w:after="60"/>
            </w:pPr>
            <w:r>
              <w:t xml:space="preserve">$64.92</w:t>
            </w:r>
          </w:p>
        </w:tc>
        <w:tc>
          <w:tcPr>
            <w:tcW w:w="2300" w:type="dxa"/>
          </w:tcPr>
          <w:p>
            <w:pPr>
              <w:spacing w:before="0" w:after="60"/>
            </w:pPr>
            <w:r>
              <w:t xml:space="preserve">$80,068.00</w:t>
            </w:r>
          </w:p>
        </w:tc>
        <w:tc>
          <w:tcPr>
            <w:tcW w:w="2400" w:type="dxa"/>
          </w:tcPr>
          <w:p>
            <w:pPr>
              <w:spacing w:before="0" w:after="60"/>
            </w:pPr>
            <w:r>
              <w:t xml:space="preserve">$960,816.00</w:t>
            </w:r>
          </w:p>
        </w:tc>
      </w:tr>
      <w:tr>
        <w:tc>
          <w:tcPr>
            <w:tcW w:w="3000" w:type="dxa"/>
          </w:tcPr>
          <w:p>
            <w:pPr>
              <w:spacing w:before="0" w:after="60"/>
            </w:pPr>
            <w:r>
              <w:t xml:space="preserve">May 1, 2032 – Apr 30, 2033</w:t>
            </w:r>
          </w:p>
        </w:tc>
        <w:tc>
          <w:tcPr>
            <w:tcW w:w="1800" w:type="dxa"/>
          </w:tcPr>
          <w:p>
            <w:pPr>
              <w:spacing w:before="0" w:after="60"/>
            </w:pPr>
            <w:r>
              <w:t xml:space="preserve">$66.87</w:t>
            </w:r>
          </w:p>
        </w:tc>
        <w:tc>
          <w:tcPr>
            <w:tcW w:w="2300" w:type="dxa"/>
          </w:tcPr>
          <w:p>
            <w:pPr>
              <w:spacing w:before="0" w:after="60"/>
            </w:pPr>
            <w:r>
              <w:t xml:space="preserve">$82,473.00</w:t>
            </w:r>
          </w:p>
        </w:tc>
        <w:tc>
          <w:tcPr>
            <w:tcW w:w="2400" w:type="dxa"/>
          </w:tcPr>
          <w:p>
            <w:pPr>
              <w:spacing w:before="0" w:after="60"/>
            </w:pPr>
            <w:r>
              <w:t xml:space="preserve">$989,676.00</w:t>
            </w:r>
          </w:p>
        </w:tc>
      </w:tr>
      <w:tr>
        <w:tc>
          <w:tcPr>
            <w:tcW w:w="3000" w:type="dxa"/>
          </w:tcPr>
          <w:p>
            <w:pPr>
              <w:spacing w:before="0" w:after="60"/>
            </w:pPr>
            <w:r>
              <w:t xml:space="preserve">May 1, 2033 – Apr 30, 2034</w:t>
            </w:r>
          </w:p>
        </w:tc>
        <w:tc>
          <w:tcPr>
            <w:tcW w:w="1800" w:type="dxa"/>
          </w:tcPr>
          <w:p>
            <w:pPr>
              <w:spacing w:before="0" w:after="60"/>
            </w:pPr>
            <w:r>
              <w:t xml:space="preserve">$68.88</w:t>
            </w:r>
          </w:p>
        </w:tc>
        <w:tc>
          <w:tcPr>
            <w:tcW w:w="2300" w:type="dxa"/>
          </w:tcPr>
          <w:p>
            <w:pPr>
              <w:spacing w:before="0" w:after="60"/>
            </w:pPr>
            <w:r>
              <w:t xml:space="preserve">$84,952.00</w:t>
            </w:r>
          </w:p>
        </w:tc>
        <w:tc>
          <w:tcPr>
            <w:tcW w:w="2400" w:type="dxa"/>
          </w:tcPr>
          <w:p>
            <w:pPr>
              <w:spacing w:before="0" w:after="60"/>
            </w:pPr>
            <w:r>
              <w:t xml:space="preserve">$1,019,424.00</w:t>
            </w:r>
          </w:p>
        </w:tc>
      </w:tr>
      <w:tr>
        <w:tc>
          <w:tcPr>
            <w:tcW w:w="3000" w:type="dxa"/>
          </w:tcPr>
          <w:p>
            <w:pPr>
              <w:spacing w:before="0" w:after="60"/>
            </w:pPr>
            <w:r>
              <w:t xml:space="preserve">May 1, 2034 – Apr 30, 2035</w:t>
            </w:r>
          </w:p>
        </w:tc>
        <w:tc>
          <w:tcPr>
            <w:tcW w:w="1800" w:type="dxa"/>
          </w:tcPr>
          <w:p>
            <w:pPr>
              <w:spacing w:before="0" w:after="60"/>
            </w:pPr>
            <w:r>
              <w:t xml:space="preserve">$70.95</w:t>
            </w:r>
          </w:p>
        </w:tc>
        <w:tc>
          <w:tcPr>
            <w:tcW w:w="2300" w:type="dxa"/>
          </w:tcPr>
          <w:p>
            <w:pPr>
              <w:spacing w:before="0" w:after="60"/>
            </w:pPr>
            <w:r>
              <w:t xml:space="preserve">$87,505.00</w:t>
            </w:r>
          </w:p>
        </w:tc>
        <w:tc>
          <w:tcPr>
            <w:tcW w:w="2400" w:type="dxa"/>
          </w:tcPr>
          <w:p>
            <w:pPr>
              <w:spacing w:before="0" w:after="60"/>
            </w:pPr>
            <w:r>
              <w:t xml:space="preserve">$1,050,060.00</w:t>
            </w:r>
          </w:p>
        </w:tc>
      </w:tr>
      <w:tr>
        <w:tc>
          <w:tcPr>
            <w:tcW w:w="3000" w:type="dxa"/>
          </w:tcPr>
          <w:p>
            <w:pPr>
              <w:spacing w:before="0" w:after="60"/>
            </w:pPr>
            <w:r>
              <w:t xml:space="preserve">May 1, 2035 – Apr 30, 2036</w:t>
            </w:r>
          </w:p>
        </w:tc>
        <w:tc>
          <w:tcPr>
            <w:tcW w:w="1800" w:type="dxa"/>
          </w:tcPr>
          <w:p>
            <w:pPr>
              <w:spacing w:before="0" w:after="60"/>
            </w:pPr>
            <w:r>
              <w:t xml:space="preserve">$73.07</w:t>
            </w:r>
          </w:p>
        </w:tc>
        <w:tc>
          <w:tcPr>
            <w:tcW w:w="2300" w:type="dxa"/>
          </w:tcPr>
          <w:p>
            <w:pPr>
              <w:spacing w:before="0" w:after="60"/>
            </w:pPr>
            <w:r>
              <w:t xml:space="preserve">$90,119.67</w:t>
            </w:r>
          </w:p>
        </w:tc>
        <w:tc>
          <w:tcPr>
            <w:tcW w:w="2400" w:type="dxa"/>
          </w:tcPr>
          <w:p>
            <w:pPr>
              <w:spacing w:before="0" w:after="60"/>
            </w:pPr>
            <w:r>
              <w:t xml:space="preserve">$1,081,436.00</w:t>
            </w:r>
          </w:p>
        </w:tc>
      </w:tr>
    </w:tbl>
    <w:p>
      <w:pPr>
        <w:spacing w:before="0" w:after="80"/>
      </w:pPr>
    </w:p>
    <w:p>
      <w:pPr>
        <w:spacing w:before="0" w:after="120"/>
      </w:pPr>
      <w:r>
        <w:rPr>
          <w:b/>
          <w:bCs/>
        </w:rPr>
        <w:t xml:space="preserve">2.3   NNN/Operating Expenses. </w:t>
      </w:r>
      <w:r>
        <w:t xml:space="preserve">Tenant shall pay Tenant Proportionate Share of Operating Expenses as Additional Rent, payable monthly as Estimated NNN Charges and reconciled annually under Article 3. Operating Expenses for a lab building include base-building HVAC and air-handling for lab-grade air change rates, base-building lab exhaust, building automation, central deionized water plant, central lab gas distribution, the Building Biohazardous and Chemical Waste Holding Room, freight elevator service, and base-building security; the Building is operated 24/7.</w:t>
      </w:r>
    </w:p>
    <w:p>
      <w:pPr>
        <w:spacing w:before="0" w:after="120"/>
      </w:pPr>
      <w:r>
        <w:rPr>
          <w:b/>
          <w:bCs/>
        </w:rPr>
        <w:t xml:space="preserve">2.4   Abatement. </w:t>
      </w:r>
      <w:r>
        <w:t xml:space="preserve">During the Abatement Period, Base Rent (only) is abated. NNN Charges, Tenant's submetered utilities, and any other Additional Rent are payable from the Commencement Date.</w:t>
      </w:r>
    </w:p>
    <w:p>
      <w:pPr>
        <w:spacing w:before="0" w:after="120"/>
      </w:pPr>
      <w:r>
        <w:rPr>
          <w:b/>
          <w:bCs/>
        </w:rPr>
        <w:t xml:space="preserve">2.5   Required Payments at Execution. </w:t>
      </w:r>
      <w:r>
        <w:t xml:space="preserve">Within five (5) business days after the Effective Date, Tenant shall deliver (a) the first monthly installment of Base Rent due after the Abatement Period ($69,066.67); (b) the first monthly installment of Estimated NNN Charges ($27,750.00); (c) the Letter of Credit ($420,000.00) in the form of Exhibit H; and (d) certificates of insurance compliant with Article 11.</w:t>
      </w:r>
    </w:p>
    <w:p>
      <w:pPr>
        <w:spacing w:before="0" w:after="120"/>
      </w:pPr>
      <w:r>
        <w:rPr>
          <w:b/>
          <w:bCs/>
        </w:rPr>
        <w:t xml:space="preserve">2.6   Payment Method; Late Charge; Interest. </w:t>
      </w:r>
      <w:r>
        <w:t xml:space="preserve">Rent shall be paid by ACH. Rent not paid within five (5) days bears a five percent (5%) late charge; Rent not paid within thirty (30) days bears interest at the lesser of ten percent (10%) per annum or the maximum lawful rate.</w:t>
      </w:r>
    </w:p>
    <w:p>
      <w:pPr>
        <w:spacing w:before="0" w:after="120"/>
      </w:pPr>
      <w:r>
        <w:rPr>
          <w:b/>
          <w:bCs/>
        </w:rPr>
        <w:t xml:space="preserve">2.7   Letter of Credit; Burn-Down. </w:t>
      </w:r>
      <w:r>
        <w:t xml:space="preserve">Tenant shall deliver and maintain the Letter of Credit per Exhibit H throughout the Term. Provided no Event of Default has occurred during the prior twelve months and Tenant has either (i) completed and continues to maintain its IBC and IACUC registrations and BSL-2 certification or (ii) maintained a tangible net worth (audited financials) not less than $25,000,000, the face amount shall reduce as follows: (a) to $300,000.00 effective on the second anniversary of the Rent Commencement Date; and (b) to $200,000.00 on the fourth anniversary. Upon expiration and full performance, Landlord shall return the Letter of Credit (or unapplied balance) within thirty (30) days.</w:t>
      </w:r>
    </w:p>
    <w:p>
      <w:pPr>
        <w:spacing w:before="280" w:after="140"/>
        <w:keepNext/>
      </w:pPr>
      <w:r>
        <w:rPr>
          <w:b/>
          <w:bCs/>
          <w:sz w:val="28"/>
          <w:szCs w:val="28"/>
        </w:rPr>
        <w:t xml:space="preserve">ARTICLE 3.   OPERATING EXPENSES</w:t>
      </w:r>
    </w:p>
    <w:p>
      <w:pPr>
        <w:spacing w:before="0" w:after="120"/>
      </w:pPr>
      <w:r>
        <w:rPr>
          <w:b/>
          <w:bCs/>
        </w:rPr>
        <w:t xml:space="preserve">3.1   Definition. </w:t>
      </w:r>
      <w:r>
        <w:t xml:space="preserve">"Operating Expenses" means all reasonable costs paid or incurred by Landlord in connection with the ownership, operation, management, repair, replacement, and maintenance of the Property, including (a) common-area maintenance (lobbies, corridors, elevators, restrooms, parking); (b) base-building HVAC and air-handling units serving the lab levels at the lab-grade air-change rates set forth in Exhibit T; (c) operation and maintenance of base-building lab exhaust manifolds, fans, stacks, and dedicated exhaust risers; (d) central deionized water plant, central lab gas distribution, lab-air, lab-vacuum, and steam; (e) freight elevator service; (f) the Building Biohazardous and Chemical Waste Holding Room (excluding actual hauler charges allocable to each tenant on a measured/manifest basis); (g) real property taxes and assessments; (h) property insurance and commercially reasonable deductibles; (i) management fees; (j) life-safety and BMS; (k) snow and ice removal, landscaping; and (l) permitted capital improvements under Section 3.3.</w:t>
      </w:r>
    </w:p>
    <w:p>
      <w:pPr>
        <w:spacing w:before="0" w:after="120"/>
      </w:pPr>
      <w:r>
        <w:rPr>
          <w:b/>
          <w:bCs/>
        </w:rPr>
        <w:t xml:space="preserve">3.2   Pass-Through; Gross-Up. </w:t>
      </w:r>
      <w:r>
        <w:t xml:space="preserve">Tenant pays Tenant Proportionate Share of Operating Expenses as monthly Estimated NNN Charges with annual reconciliation. If the Building is less than ninety-five percent (95%) leased to lab tenants during any year, variable Operating Expenses (including lab-exhaust energy and air-change-driven HVAC) shall be grossed-up as if ninety-five percent (95%) leased, applied uniformly across all years.</w:t>
      </w:r>
    </w:p>
    <w:p>
      <w:pPr>
        <w:spacing w:before="0" w:after="120"/>
      </w:pPr>
      <w:r>
        <w:rPr>
          <w:b/>
          <w:bCs/>
        </w:rPr>
        <w:t xml:space="preserve">3.3   Permitted Capital Items. </w:t>
      </w:r>
      <w:r>
        <w:t xml:space="preserve">Operating Expenses may include the amortized cost, with reasonable interest, of capital improvements that (a) are intended to reduce Operating Expenses, (b) are required to comply with Laws first enacted or applicable to the Property after the Effective Date, or (c) improve energy efficiency, in each case amortized over the useful life. Roof membrane replacement, parking-lot resurfacing, and the central lab-exhaust fan replacements that occur during the Term shall be amortized.</w:t>
      </w:r>
    </w:p>
    <w:p>
      <w:pPr>
        <w:spacing w:before="0" w:after="120"/>
      </w:pPr>
      <w:r>
        <w:rPr>
          <w:b/>
          <w:bCs/>
        </w:rPr>
        <w:t xml:space="preserve">3.4   Exclusions. </w:t>
      </w:r>
      <w:r>
        <w:t xml:space="preserve">Operating Expenses exclude leasing commissions; marketing costs; tenant improvement allowances or build-out costs for other tenants; principal and interest on Landlord's debt; depreciation; costs reimbursed by insurance or third parties; costs caused by Landlord's gross negligence or willful misconduct; costs to remediate hazardous materials present before the Effective Date and not caused by Tenant; capital items other than those expressly permitted by Section 3.3; and Landlord's general corporate overhead.</w:t>
      </w:r>
    </w:p>
    <w:p>
      <w:pPr>
        <w:spacing w:before="0" w:after="120"/>
      </w:pPr>
      <w:r>
        <w:rPr>
          <w:b/>
          <w:bCs/>
        </w:rPr>
        <w:t xml:space="preserve">3.5   Management Fee. </w:t>
      </w:r>
      <w:r>
        <w:t xml:space="preserve">Operating Expenses may include a management fee not to exceed three and one-half percent (3.5%) of gross rents.</w:t>
      </w:r>
    </w:p>
    <w:p>
      <w:pPr>
        <w:spacing w:before="0" w:after="120"/>
      </w:pPr>
      <w:r>
        <w:rPr>
          <w:b/>
          <w:bCs/>
        </w:rPr>
        <w:t xml:space="preserve">3.6   Reconciliation; Audit. </w:t>
      </w:r>
      <w:r>
        <w:t xml:space="preserve">Within one hundred fifty (150) days after each calendar year, Landlord shall deliver a reconciliation. Underpayments are due within thirty (30) days; overpayments are credited or refunded. Tenant may audit within ninety (90) days after the reconciliation, by a CPA on a non-contingency basis, completed within sixty (60) days. If overcharge exceeds five percent (5%), Landlord shall reimburse Tenant's reasonable audit costs up to $7,500.</w:t>
      </w:r>
    </w:p>
    <w:p>
      <w:pPr>
        <w:spacing w:before="0" w:after="120"/>
      </w:pPr>
      <w:r>
        <w:rPr>
          <w:b/>
          <w:bCs/>
        </w:rPr>
        <w:t xml:space="preserve">3.7   Controllable Expense Cap. </w:t>
      </w:r>
      <w:r>
        <w:t xml:space="preserve">Controllable Operating Expenses (excluding utilities, taxes, insurance, snow/ice, security, capital items, and lab-exhaust energy) shall not increase by more than six percent (6%) per year on a cumulative, compounded basis.</w:t>
      </w:r>
    </w:p>
    <w:p>
      <w:pPr>
        <w:spacing w:before="280" w:after="140"/>
        <w:keepNext/>
      </w:pPr>
      <w:r>
        <w:rPr>
          <w:b/>
          <w:bCs/>
          <w:sz w:val="28"/>
          <w:szCs w:val="28"/>
        </w:rPr>
        <w:t xml:space="preserve">ARTICLE 4.   UTILITIES, AFTER-HOURS, AND SHARED BUILDING SERVICES</w:t>
      </w:r>
    </w:p>
    <w:p>
      <w:pPr>
        <w:spacing w:before="0" w:after="120"/>
      </w:pPr>
      <w:r>
        <w:rPr>
          <w:b/>
          <w:bCs/>
        </w:rPr>
        <w:t xml:space="preserve">4.1   Submetering. </w:t>
      </w:r>
      <w:r>
        <w:t xml:space="preserve">Tenant's electricity, water, lab gas, deionized water, lab-air, and lab-vacuum consumption shall be submetered to the Premises (the Vivarium shall be separately submetered within the Suite) and billed to Tenant monthly at the applicable provider's rate, plus reasonable Landlord administrative cost (not to exceed 5%). Where direct utility metering is available to Tenant's benefit, Tenant shall hold accounts directly.</w:t>
      </w:r>
    </w:p>
    <w:p>
      <w:pPr>
        <w:spacing w:before="0" w:after="120"/>
      </w:pPr>
      <w:r>
        <w:rPr>
          <w:b/>
          <w:bCs/>
        </w:rPr>
        <w:t xml:space="preserve">4.2   Shared Building Services. </w:t>
      </w:r>
      <w:r>
        <w:t xml:space="preserve">Landlord furnishes the shared building services described in Exhibit T, including base-building HVAC at lab-grade air-change rates during Building Standard Hours (24/7 for lab use, with separately controllable thermostats in Tenant's zones), lab-exhaust riser capacity dedicated to Tenant per Exhibit G, deionized water, lab-air, lab-vacuum, the Building Biohazardous and Chemical Waste Holding Room, base-building life-safety, freight-elevator booking, and BMS coordination. Lab-exhaust energy and air-change-driven HVAC energy are major Operating Expenses and are recovered per Article 3.</w:t>
      </w:r>
    </w:p>
    <w:p>
      <w:pPr>
        <w:spacing w:before="0" w:after="120"/>
      </w:pPr>
      <w:r>
        <w:rPr>
          <w:b/>
          <w:bCs/>
        </w:rPr>
        <w:t xml:space="preserve">4.3   Lab Exhaust. </w:t>
      </w:r>
      <w:r>
        <w:t xml:space="preserve">Landlord shall reserve and operate dedicated lab-exhaust riser capacity for Tenant sized for four (4) 6-foot fume hoods (initial), with redundancy at the manifold and emergency-power backup of base-building exhaust fans. Tenant shall not exceed reserved capacity without Landlord's prior written consent. Tenant shall not duct equipment to general HVAC return air.</w:t>
      </w:r>
    </w:p>
    <w:p>
      <w:pPr>
        <w:spacing w:before="0" w:after="120"/>
      </w:pPr>
      <w:r>
        <w:rPr>
          <w:b/>
          <w:bCs/>
        </w:rPr>
        <w:t xml:space="preserve">4.4   Emergency Power and UPS. </w:t>
      </w:r>
      <w:r>
        <w:t xml:space="preserve">Landlord provides base-building emergency standby generator and short-duration UPS supporting: (a) base-building lab-exhaust fans, (b) life-safety, and (c) selected freight-elevator and emergency lighting circuits. Landlord's emergency power is not provided to in-suite freezers, incubators, or vivarium equipment; Tenant shall install supplemental generator capacity (or service from Landlord at Tenant's cost under Exhibit T) for critical Tenant equipment.</w:t>
      </w:r>
    </w:p>
    <w:p>
      <w:pPr>
        <w:spacing w:before="0" w:after="120"/>
      </w:pPr>
      <w:r>
        <w:rPr>
          <w:b/>
          <w:bCs/>
        </w:rPr>
        <w:t xml:space="preserve">4.5   Interruption. </w:t>
      </w:r>
      <w:r>
        <w:t xml:space="preserve">No interruption of any utility or shared service caused by a utility provider or otherwise outside Landlord's reasonable control constitutes eviction or relieves Tenant of payment. If an interruption caused by Landlord's negligence continues more than two (2) consecutive business days and materially prevents Tenant from operating the affected portion of the Premises (excluding the Vivarium, which is addressed separately in Exhibit S), Tenant shall be entitled to a proportionate Base Rent abatement for actual loss of use as Tenant's sole remedy.</w:t>
      </w:r>
    </w:p>
    <w:p>
      <w:pPr>
        <w:spacing w:before="280" w:after="140"/>
        <w:keepNext/>
      </w:pPr>
      <w:r>
        <w:rPr>
          <w:b/>
          <w:bCs/>
          <w:sz w:val="28"/>
          <w:szCs w:val="28"/>
        </w:rPr>
        <w:t xml:space="preserve">ARTICLE 5.   USE; COMMON AREAS; SIGNAGE; SECURITY</w:t>
      </w:r>
    </w:p>
    <w:p>
      <w:pPr>
        <w:spacing w:before="0" w:after="120"/>
      </w:pPr>
      <w:r>
        <w:rPr>
          <w:b/>
          <w:bCs/>
        </w:rPr>
        <w:t xml:space="preserve">5.1   Permitted Use; Compliance. </w:t>
      </w:r>
      <w:r>
        <w:t xml:space="preserve">Tenant shall use the Premises only for the Permitted Use and shall comply with all Laws applicable to its operations, including: the certificate of occupancy and any laboratory occupancy classification (typically Group B with H-2/H-3 control areas as applicable); OSHA (including 29 CFR 1910.1450 Laboratory Standard and 29 CFR 1910.1030 Bloodborne Pathogen Standard); NIH Guidelines for Research Involving Recombinant or Synthetic Nucleic Acid Molecules; the CDC/NIH publication Biosafety in Microbiological and Biomedical Laboratories (BMBL); the federal Animal Welfare Act and Public Health Service Policy on Humane Care and Use of Laboratory Animals; the Guide for the Care and Use of Laboratory Animals; AAALAC accreditation standards (if Tenant is or becomes accredited); DEA controlled-substances registration (if applicable); USDA controlled-species registration (if applicable to Tenant's species); FDA pre-IND interactions and 21 CFR Part 58 GLP (if applicable); applicable Utah Department of Environmental Quality, Utah Department of Health, Salt Lake County Health Department, and Salt Lake City requirements.</w:t>
      </w:r>
    </w:p>
    <w:p>
      <w:pPr>
        <w:spacing w:before="0" w:after="120"/>
      </w:pPr>
      <w:r>
        <w:rPr>
          <w:b/>
          <w:bCs/>
        </w:rPr>
        <w:t xml:space="preserve">5.2   Permitted Biosafety Levels. </w:t>
      </w:r>
      <w:r>
        <w:t xml:space="preserve">Tenant's biological work shall not exceed Biosafety Level 2 (BSL-2). BSL-3, BSL-4, USDA Select Agent and Toxin work, infectious disease challenge studies, vector-replication-competent gain-of-function studies, large-animal in vivo work, and human-subject research at the Premises are prohibited without Landlord's prior written consent (which may be conditionally withheld for biosafety, insurance, or shared-systems reasons).</w:t>
      </w:r>
    </w:p>
    <w:p>
      <w:pPr>
        <w:spacing w:before="0" w:after="120"/>
      </w:pPr>
      <w:r>
        <w:rPr>
          <w:b/>
          <w:bCs/>
        </w:rPr>
        <w:t xml:space="preserve">5.3   Operational Restrictions. </w:t>
      </w:r>
      <w:r>
        <w:t xml:space="preserve">Tenant shall not (a) violate Laws, the certificate of occupancy, or the laboratory occupancy classification; (b) exceed code-permitted Maximum Allowable Quantities of hazardous materials in any control area without prior Landlord consent and any required code-compliant separation; (c) overload floors (live load capacity 100 lb/SF for the lab area, with vibration-isolated pads on lower-floor levels as set forth in Exhibit T; office areas 80 lb/SF); (d) exceed reserved lab-exhaust capacity without consent; (e) discharge into base-building plumbing or sewer in violation of the Salt Lake County Pretreatment Program; (f) operate the Vivarium outside Exhibit S; or (g) conduct any activity that requires a USDA "Select Agent" registration without specific Landlord consent (which is not granted under this Lease).</w:t>
      </w:r>
    </w:p>
    <w:p>
      <w:pPr>
        <w:spacing w:before="0" w:after="120"/>
      </w:pPr>
      <w:r>
        <w:rPr>
          <w:b/>
          <w:bCs/>
        </w:rPr>
        <w:t xml:space="preserve">5.4   Common Areas. </w:t>
      </w:r>
      <w:r>
        <w:t xml:space="preserve">Tenant may use the Building's common areas (lobby, elevators, corridors, restrooms, parking) on a nonexclusive basis, subject to the Rules and Landlord's reserved rights. Tenant shall not transport open biohazard, live animals, hazardous chemicals, or unsecured liquid nitrogen through common-area passenger elevators; all such transport shall use the freight elevator with prior booking, per Exhibit T.</w:t>
      </w:r>
    </w:p>
    <w:p>
      <w:pPr>
        <w:spacing w:before="0" w:after="120"/>
      </w:pPr>
      <w:r>
        <w:rPr>
          <w:b/>
          <w:bCs/>
        </w:rPr>
        <w:t xml:space="preserve">5.5   Parking. </w:t>
      </w:r>
      <w:r>
        <w:t xml:space="preserve">Tenant shall be entitled to use the Building's nonexclusive structured parking. Three (3) of Tenant Proportionate Share spaces shall be reserved as "Lab Equipment Delivery / Loading" spaces adjacent to the freight elevator, on a first-come basis among lab tenants.</w:t>
      </w:r>
    </w:p>
    <w:p>
      <w:pPr>
        <w:spacing w:before="0" w:after="120"/>
      </w:pPr>
      <w:r>
        <w:rPr>
          <w:b/>
          <w:bCs/>
        </w:rPr>
        <w:t xml:space="preserve">5.6   Signage. </w:t>
      </w:r>
      <w:r>
        <w:t xml:space="preserve">Tenant shall be entitled to (a) one (1) suite-entry sign in the Building's standard format, (b) one (1) line on the Building lobby directory, and (c) one (1) tile on the Building monument sign at Foothill Drive, in each case per Exhibit E and at Tenant's cost. Exterior building-face signage is not permitted.</w:t>
      </w:r>
    </w:p>
    <w:p>
      <w:pPr>
        <w:spacing w:before="0" w:after="120"/>
      </w:pPr>
      <w:r>
        <w:rPr>
          <w:b/>
          <w:bCs/>
        </w:rPr>
        <w:t xml:space="preserve">5.7   Security. </w:t>
      </w:r>
      <w:r>
        <w:t xml:space="preserve">The Building maintains card-access control 24/7 (lab buildings are not "closed" outside hours), with cameras in lobbies, freight-elevator corridors, and at the Biohazardous and Chemical Waste Holding Room. Tenant is responsible for security inside the Premises, including access-control to the Vivarium and to any controlled-substance storage.</w:t>
      </w:r>
    </w:p>
    <w:p>
      <w:pPr>
        <w:spacing w:before="280" w:after="140"/>
        <w:keepNext/>
      </w:pPr>
      <w:r>
        <w:rPr>
          <w:b/>
          <w:bCs/>
          <w:sz w:val="28"/>
          <w:szCs w:val="28"/>
        </w:rPr>
        <w:t xml:space="preserve">ARTICLE 6.   CONDITION AND DELIVERY</w:t>
      </w:r>
    </w:p>
    <w:p>
      <w:pPr>
        <w:spacing w:before="0" w:after="120"/>
      </w:pPr>
      <w:r>
        <w:rPr>
          <w:b/>
          <w:bCs/>
        </w:rPr>
        <w:t xml:space="preserve">6.1   Delivery. </w:t>
      </w:r>
      <w:r>
        <w:t xml:space="preserve">Landlord shall deliver the Premises in "lab-ready warm shell" condition, including the Landlord Lab Contribution described in Exhibit G (dedicated lab-exhaust riser capacity for four (4) 6-foot fume hoods, lab-air, lab-vacuum, deionized water, central lab gas tie-ins, base-building HVAC at lab-grade air-change rates, and stub-ins at the Premises perimeter sized for Tenant's build-out). Tenant accepts the Premises "AS IS" except for the Landlord Work and Landlord Lab Contribution.</w:t>
      </w:r>
    </w:p>
    <w:p>
      <w:pPr>
        <w:spacing w:before="0" w:after="120"/>
      </w:pPr>
      <w:r>
        <w:rPr>
          <w:b/>
          <w:bCs/>
        </w:rPr>
        <w:t xml:space="preserve">6.2   Tenant's Work. </w:t>
      </w:r>
      <w:r>
        <w:t xml:space="preserve">Tenant shall perform Tenant's Work at its sole cost (subject to the TI Allowance), including casework, fume hoods, BSCs, autoclave, glasswash, walk-in cold rooms, -80°C freezer hardpoints, vivarium fit-out, in-suite supplemental HVAC for sensitive equipment, supplemental electrical, low-voltage cabling, lab finishes, FF&amp;E, signage, and security.</w:t>
      </w:r>
    </w:p>
    <w:p>
      <w:pPr>
        <w:spacing w:before="0" w:after="120"/>
      </w:pPr>
      <w:r>
        <w:rPr>
          <w:b/>
          <w:bCs/>
        </w:rPr>
        <w:t xml:space="preserve">6.3   Permits, Approvals, and Certifications. </w:t>
      </w:r>
      <w:r>
        <w:t xml:space="preserve">Tenant shall obtain all building, fire, mechanical, electrical, plumbing, biohazard, controlled-substance, USDA (if applicable), and DEA (if applicable) permits and registrations required. Tenant shall obtain BSL-2 certification, IBC registration, and IACUC approval before initiating regulated work. Landlord shall reasonably cooperate without cost or liability.</w:t>
      </w:r>
    </w:p>
    <w:p>
      <w:pPr>
        <w:spacing w:before="0" w:after="120"/>
      </w:pPr>
      <w:r>
        <w:rPr>
          <w:b/>
          <w:bCs/>
        </w:rPr>
        <w:t xml:space="preserve">6.4   Early Access. </w:t>
      </w:r>
      <w:r>
        <w:t xml:space="preserve">Beginning April 13, 2026, Tenant may enter the Premises solely to begin Tenant's Work, provided Tenant has delivered insurance certificates and coordinates with Landlord. Early access does not advance the Commencement Date.</w:t>
      </w:r>
    </w:p>
    <w:p>
      <w:pPr>
        <w:spacing w:before="0" w:after="120"/>
      </w:pPr>
      <w:r>
        <w:rPr>
          <w:b/>
          <w:bCs/>
        </w:rPr>
        <w:t xml:space="preserve">6.5   Confirmation. </w:t>
      </w:r>
      <w:r>
        <w:t xml:space="preserve">Within ten (10) days after Landlord's delivery, the parties shall execute a Confirmation of Commencement Date in the form of Exhibit F.</w:t>
      </w:r>
    </w:p>
    <w:p>
      <w:pPr>
        <w:spacing w:before="0" w:after="120"/>
      </w:pPr>
      <w:r>
        <w:rPr>
          <w:b/>
          <w:bCs/>
        </w:rPr>
        <w:t xml:space="preserve">6.6   Outside Date. </w:t>
      </w:r>
      <w:r>
        <w:t xml:space="preserve">If Landlord fails to deliver the Premises in the required condition by June 15, 2026 for reasons other than Tenant Delay or Force Majeure, Tenant may terminate this Lease by written notice within thirty (30) days after the outside date, and Landlord shall promptly refund all sums prepaid by Tenant.</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Subject to receipt of a commercially reasonable SNDA from any future superior interest, this Lease is subordinate to all mortgages, deeds of trust, and ground leases now or hereafter affecting the Property.</w:t>
      </w:r>
    </w:p>
    <w:p>
      <w:pPr>
        <w:spacing w:before="0" w:after="120"/>
      </w:pPr>
      <w:r>
        <w:rPr>
          <w:b/>
          <w:bCs/>
        </w:rPr>
        <w:t xml:space="preserve">7.2   Estoppel. </w:t>
      </w:r>
      <w:r>
        <w:t xml:space="preserve">Tenant shall deliver estoppel certificates within ten (10) business days after request.</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transfer this Lease, sublet any portion of the Premises, mortgage or pledge its leasehold interest, or permit any transfer by operation of law, merger, change of control, or sale of substantially all assets, without Landlord's prior written consent, not to be unreasonably withheld, except for Permitted Transfers under Section 8.4.</w:t>
      </w:r>
    </w:p>
    <w:p>
      <w:pPr>
        <w:spacing w:before="0" w:after="120"/>
      </w:pPr>
      <w:r>
        <w:rPr>
          <w:b/>
          <w:bCs/>
        </w:rPr>
        <w:t xml:space="preserve">8.2   Review Criteria. </w:t>
      </w:r>
      <w:r>
        <w:t xml:space="preserve">Landlord may consider the transferee's business reputation, scientific and operational experience, biosafety record, intended use (including biosafety level and species), financial condition, IBC/IACUC posture, regulatory standing (FDA, USDA, DEA), shared-systems impact (lab exhaust, plumbing pretreatment, freight-elevator loading), and any lender requirements.</w:t>
      </w:r>
    </w:p>
    <w:p>
      <w:pPr>
        <w:spacing w:before="0" w:after="120"/>
      </w:pPr>
      <w:r>
        <w:rPr>
          <w:b/>
          <w:bCs/>
        </w:rPr>
        <w:t xml:space="preserve">8.3   Recapture. </w:t>
      </w:r>
      <w:r>
        <w:t xml:space="preserve">If Tenant requests consent to assign this Lease or sublet more than fifty percent (50%) of the Premises, Landlord may instead elect to recapture; Tenant may rescind the request within ten (10) business days after recapture notice.</w:t>
      </w:r>
    </w:p>
    <w:p>
      <w:pPr>
        <w:spacing w:before="0" w:after="120"/>
      </w:pPr>
      <w:r>
        <w:rPr>
          <w:b/>
          <w:bCs/>
        </w:rPr>
        <w:t xml:space="preserve">8.4   Permitted Transfers. </w:t>
      </w:r>
      <w:r>
        <w:t xml:space="preserve">Tenant may transfer to (a) an Affiliate; (b) a surviving entity in a merger or sale of substantially all assets; (c) a successor formed in connection with a financing round or recapitalization (including SPAC, reverse merger, or institutional crossover round); or (d) an academic or sponsor partner under a sponsored research collaboration that occupies a defined portion of the Premises pursuant to a written agreement that subjects the user to the operating obligations herein, without Landlord's consent, upon at least fifteen (15) days' prior written notice, provided (i) the Permitted Use, biosafety level, and operating obligations are maintained; (ii) the transferee's tangible net worth (including the value of liquid resources and any committed but undrawn equity capital reasonably documented to Landlord) is not less than the greater of (x) Tenant's tangible net worth as of the Effective Date or (y) $25,000,000; and (iii) the original Tenant (where it survives) remains liable.</w:t>
      </w:r>
    </w:p>
    <w:p>
      <w:pPr>
        <w:spacing w:before="0" w:after="120"/>
      </w:pPr>
      <w:r>
        <w:rPr>
          <w:b/>
          <w:bCs/>
        </w:rPr>
        <w:t xml:space="preserve">8.5   Sponsored Research / CRO Use. </w:t>
      </w:r>
      <w:r>
        <w:t xml:space="preserve">Tenant may permit limited occupancy of portions of the Premises by collaborators, sponsors, contract research organizations, and academic partners working under written agreements with Tenant, subject to the operating obligations of this Lease and the biosafety and biosecurity provisions of Exhibits R and S, without such occupancy constituting a sublease.</w:t>
      </w:r>
    </w:p>
    <w:p>
      <w:pPr>
        <w:spacing w:before="0" w:after="120"/>
      </w:pPr>
      <w:r>
        <w:rPr>
          <w:b/>
          <w:bCs/>
        </w:rPr>
        <w:t xml:space="preserve">8.6   Excess Consideration. </w:t>
      </w:r>
      <w:r>
        <w:t xml:space="preserve">After deducting reasonable and customary transfer costs (including unamortized Tenant Improvements and broker fees), fifty percent (50%) of any excess transfer consideration is payable to Landlord; this Section 8.6 does not apply to Permitted Transfers.</w:t>
      </w:r>
    </w:p>
    <w:p>
      <w:pPr>
        <w:spacing w:before="0" w:after="120"/>
      </w:pPr>
      <w:r>
        <w:rPr>
          <w:b/>
          <w:bCs/>
        </w:rPr>
        <w:t xml:space="preserve">8.7   No Release. </w:t>
      </w:r>
      <w:r>
        <w:t xml:space="preserve">No transfer releases Tenant unless Landlord expressly agrees in writing.</w:t>
      </w:r>
    </w:p>
    <w:p>
      <w:pPr>
        <w:spacing w:before="280" w:after="140"/>
        <w:keepNext/>
      </w:pPr>
      <w:r>
        <w:rPr>
          <w:b/>
          <w:bCs/>
          <w:sz w:val="28"/>
          <w:szCs w:val="28"/>
        </w:rPr>
        <w:t xml:space="preserve">ARTICLE 9.   ENVIRONMENTAL; BIOHAZARD; CHEMICAL HYGIENE</w:t>
      </w:r>
    </w:p>
    <w:p>
      <w:pPr>
        <w:spacing w:before="0" w:after="120"/>
      </w:pPr>
      <w:r>
        <w:rPr>
          <w:b/>
          <w:bCs/>
        </w:rPr>
        <w:t xml:space="preserve">9.1   Chemical Hygiene Plan. </w:t>
      </w:r>
      <w:r>
        <w:t xml:space="preserve">Tenant shall maintain a written Chemical Hygiene Plan under OSHA 29 CFR 1910.1450, a written Exposure Control Plan under 29 CFR 1910.1030 (Bloodborne Pathogens), a written Hazard Communication Program under 29 CFR 1910.1200, SDS library, employee training records, and qualified Chemical Hygiene Officer and Biosafety Officer designations. The Chemical Hygiene Plan shall include lab-specific hazard assessment, fume hood and BSC use procedures, chemical storage and segregation, peroxide-forming chemical tracking, spill response, and incident investigation.</w:t>
      </w:r>
    </w:p>
    <w:p>
      <w:pPr>
        <w:spacing w:before="0" w:after="120"/>
      </w:pPr>
      <w:r>
        <w:rPr>
          <w:b/>
          <w:bCs/>
        </w:rPr>
        <w:t xml:space="preserve">9.2   Restriction. </w:t>
      </w:r>
      <w:r>
        <w:t xml:space="preserve">Tenant shall not generate, store, use, treat, transport, release, or dispose of Hazardous Materials at the Property except (a) de minimis office and cleaning supplies; (b) laboratory chemicals customarily used in BSL-2 wet-lab research at quantities within code-permitted Maximum Allowable Quantities and within Tenant's control areas; (c) compressed gases (CO2, N2, O2, argon, helium, and limited specialty gases) per Exhibit K and NFPA 55; (d) flammable and combustible liquids within FM-approved flammable cabinets, with on-site quantities not to exceed Tenant's allocation in the Building's control areas; (e) cryogens (liquid nitrogen at customary R&amp;D quantities); (f) radiation-producing equipment of the type customary for in vitro biotech research that does not require an NRC or Utah radioactive-materials license (Tenant's use of radioactive materials, if any, requires Landlord's prior written consent and a separate radiation safety addendum); and (g) BSL-2 biological agents per Exhibit R.</w:t>
      </w:r>
    </w:p>
    <w:p>
      <w:pPr>
        <w:spacing w:before="0" w:after="120"/>
      </w:pPr>
      <w:r>
        <w:rPr>
          <w:b/>
          <w:bCs/>
        </w:rPr>
        <w:t xml:space="preserve">9.3   Discharge. </w:t>
      </w:r>
      <w:r>
        <w:t xml:space="preserve">Tenant shall comply with the Salt Lake County Pretreatment Program and the Salt Lake City Sewer Use Ordinance, including discharge restrictions and any required permits. Tenant shall not discharge: regulated solvents; mercury; cyanides; ethidium bromide and similar mutagens; quantities of acids/bases that exceed pH limits; living BSL-2 agents not first decontaminated by validated method; or chemotherapy/cytotoxic waste.</w:t>
      </w:r>
    </w:p>
    <w:p>
      <w:pPr>
        <w:spacing w:before="0" w:after="120"/>
      </w:pPr>
      <w:r>
        <w:rPr>
          <w:b/>
          <w:bCs/>
        </w:rPr>
        <w:t xml:space="preserve">9.4   Waste Management. </w:t>
      </w:r>
      <w:r>
        <w:t xml:space="preserve">Tenant shall arrange and pay for biohazard, chemical, sharps, animal carcass, and any pharmaceutical waste removal by a Utah-licensed medical/chemical waste hauler. Within the Premises, waste shall be stored in labeled, leak-proof, segregated containers in a designated holding area shown on Exhibit A. The Building Biohazardous and Chemical Waste Holding Room is available for short-term staging consistent with Exhibit T. Manifests shall be retained for not less than three (3) years.</w:t>
      </w:r>
    </w:p>
    <w:p>
      <w:pPr>
        <w:spacing w:before="0" w:after="120"/>
      </w:pPr>
      <w:r>
        <w:rPr>
          <w:b/>
          <w:bCs/>
        </w:rPr>
        <w:t xml:space="preserve">9.5   Notice; Spill Response. </w:t>
      </w:r>
      <w:r>
        <w:t xml:space="preserve">Tenant shall notify Landlord by telephone within two (2) hours of (a) any chemical or biological spill exceeding the quantities Tenant's spill kits are sized for; (b) any spill outside the Premises; (c) any release of regulated quantities reportable under EPCRA or other Laws; (d) any agency inspection or notice of violation; and (e) any Vivarium release of animals.</w:t>
      </w:r>
    </w:p>
    <w:p>
      <w:pPr>
        <w:spacing w:before="0" w:after="120"/>
      </w:pPr>
      <w:r>
        <w:rPr>
          <w:b/>
          <w:bCs/>
        </w:rPr>
        <w:t xml:space="preserve">9.6   Remediation. </w:t>
      </w:r>
      <w:r>
        <w:t xml:space="preserve">Tenant shall, at its sole cost, investigate, clean up, remediate, and restore any release caused, contributed to, or exacerbated by Tenant.</w:t>
      </w:r>
    </w:p>
    <w:p>
      <w:pPr>
        <w:spacing w:before="0" w:after="120"/>
      </w:pPr>
      <w:r>
        <w:rPr>
          <w:b/>
          <w:bCs/>
        </w:rPr>
        <w:t xml:space="preserve">9.7   Surrender Closure. </w:t>
      </w:r>
      <w:r>
        <w:t xml:space="preserve">Not less than two hundred forty (240) days before the Expiration Date, Tenant shall deliver to Landlord a Laboratory Decommissioning and Closure Plan describing chemical and biological inventory draw-down, equipment decontamination, BSC and fume hood certification and decontamination, vivarium depopulation, radiation closure (if applicable), and reporting. Tenant shall execute the plan at its cost.</w:t>
      </w:r>
    </w:p>
    <w:p>
      <w:pPr>
        <w:spacing w:before="0" w:after="120"/>
      </w:pPr>
      <w:r>
        <w:rPr>
          <w:b/>
          <w:bCs/>
        </w:rPr>
        <w:t xml:space="preserve">9.8   Pollution Insurance. </w:t>
      </w:r>
      <w:r>
        <w:t xml:space="preserve">Tenant shall maintain Pollution Legal Liability insurance with limits of not less than $3,000,000 per occurrence and $6,000,000 aggregate, naming Landlord and its lender as additional insureds, for the Term and for five (5) years after surrender.</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(special form, replacement cost), commercial general liability insurance, rental value insurance, and such other insurance as Landlord or its lender deems appropriate. Cost is included in Operating Expenses subject to Article 3. Landlord's property insurance does not cover Tenant's lab equipment, instruments, casework installed by Tenant, fume hoods or BSCs installed by Tenant, freezers, animals, biological samples, intellectual property, or leasehold improvements after the initial build-out.</w:t>
      </w:r>
    </w:p>
    <w:p>
      <w:pPr>
        <w:spacing w:before="280" w:after="140"/>
        <w:keepNext/>
      </w:pPr>
      <w:r>
        <w:rPr>
          <w:b/>
          <w:bCs/>
          <w:sz w:val="28"/>
          <w:szCs w:val="28"/>
        </w:rPr>
        <w:t xml:space="preserve">ARTICLE 11.   TENANT INSURANCE</w:t>
      </w:r>
    </w:p>
    <w:p>
      <w:pPr>
        <w:spacing w:before="0" w:after="120"/>
      </w:pPr>
      <w:r>
        <w:rPr>
          <w:b/>
          <w:bCs/>
        </w:rPr>
        <w:t xml:space="preserve">11.1   Required Policies.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 (umbrella may be used).</w:t>
            </w:r>
          </w:p>
        </w:tc>
      </w:tr>
      <w:tr>
        <w:tc>
          <w:tcPr>
            <w:tcW w:w="3600" w:type="dxa"/>
          </w:tcPr>
          <w:p>
            <w:pPr>
              <w:spacing w:before="0" w:after="60"/>
            </w:pPr>
            <w:r>
              <w:t xml:space="preserve">Commercial Property (Special Form, replacement cost)</w:t>
            </w:r>
          </w:p>
        </w:tc>
        <w:tc>
          <w:tcPr>
            <w:tcW w:w="5900" w:type="dxa"/>
          </w:tcPr>
          <w:p>
            <w:pPr>
              <w:spacing w:before="0" w:after="60"/>
            </w:pPr>
            <w:r>
              <w:t xml:space="preserve">Full replacement cost of Tenant's casework, fume hoods, BSCs, lab equipment, freezers (with mechanical breakdown and refrigerated contents endorsements), and leasehold improvements installed by Tenant.</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w:t>
            </w:r>
          </w:p>
        </w:tc>
      </w:tr>
      <w:tr>
        <w:tc>
          <w:tcPr>
            <w:tcW w:w="3600" w:type="dxa"/>
          </w:tcPr>
          <w:p>
            <w:pPr>
              <w:spacing w:before="0" w:after="60"/>
            </w:pPr>
            <w:r>
              <w:t xml:space="preserve">Commercial Auto Liability</w:t>
            </w:r>
          </w:p>
        </w:tc>
        <w:tc>
          <w:tcPr>
            <w:tcW w:w="5900" w:type="dxa"/>
          </w:tcPr>
          <w:p>
            <w:pPr>
              <w:spacing w:before="0" w:after="60"/>
            </w:pPr>
            <w:r>
              <w:t xml:space="preserve">$1,000,000 combined single limit.</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employer's liability $1,000,000.</w:t>
            </w:r>
          </w:p>
        </w:tc>
      </w:tr>
      <w:tr>
        <w:tc>
          <w:tcPr>
            <w:tcW w:w="3600" w:type="dxa"/>
          </w:tcPr>
          <w:p>
            <w:pPr>
              <w:spacing w:before="0" w:after="60"/>
            </w:pPr>
            <w:r>
              <w:t xml:space="preserve">Pollution Legal Liability</w:t>
            </w:r>
          </w:p>
        </w:tc>
        <w:tc>
          <w:tcPr>
            <w:tcW w:w="5900" w:type="dxa"/>
          </w:tcPr>
          <w:p>
            <w:pPr>
              <w:spacing w:before="0" w:after="60"/>
            </w:pPr>
            <w:r>
              <w:t xml:space="preserve">Per Section 9.8.</w:t>
            </w:r>
          </w:p>
        </w:tc>
      </w:tr>
      <w:tr>
        <w:tc>
          <w:tcPr>
            <w:tcW w:w="3600" w:type="dxa"/>
          </w:tcPr>
          <w:p>
            <w:pPr>
              <w:spacing w:before="0" w:after="60"/>
            </w:pPr>
            <w:r>
              <w:t xml:space="preserve">Animal Mortality and Research Animal Care (if Vivarium operating)</w:t>
            </w:r>
          </w:p>
        </w:tc>
        <w:tc>
          <w:tcPr>
            <w:tcW w:w="5900" w:type="dxa"/>
          </w:tcPr>
          <w:p>
            <w:pPr>
              <w:spacing w:before="0" w:after="60"/>
            </w:pPr>
            <w:r>
              <w:t xml:space="preserve">As customary for the species and program (commercially available limits).</w:t>
            </w:r>
          </w:p>
        </w:tc>
      </w:tr>
      <w:tr>
        <w:tc>
          <w:tcPr>
            <w:tcW w:w="3600" w:type="dxa"/>
          </w:tcPr>
          <w:p>
            <w:pPr>
              <w:spacing w:before="0" w:after="60"/>
            </w:pPr>
            <w:r>
              <w:t xml:space="preserve">Equipment Breakdown</w:t>
            </w:r>
          </w:p>
        </w:tc>
        <w:tc>
          <w:tcPr>
            <w:tcW w:w="5900" w:type="dxa"/>
          </w:tcPr>
          <w:p>
            <w:pPr>
              <w:spacing w:before="0" w:after="60"/>
            </w:pPr>
            <w:r>
              <w:t xml:space="preserve">Replacement cost for critical lab equipment.</w:t>
            </w:r>
          </w:p>
        </w:tc>
      </w:tr>
      <w:tr>
        <w:tc>
          <w:tcPr>
            <w:tcW w:w="3600" w:type="dxa"/>
          </w:tcPr>
          <w:p>
            <w:pPr>
              <w:spacing w:before="0" w:after="60"/>
            </w:pPr>
            <w:r>
              <w:t xml:space="preserve">Cyber Liability</w:t>
            </w:r>
          </w:p>
        </w:tc>
        <w:tc>
          <w:tcPr>
            <w:tcW w:w="5900" w:type="dxa"/>
          </w:tcPr>
          <w:p>
            <w:pPr>
              <w:spacing w:before="0" w:after="60"/>
            </w:pPr>
            <w:r>
              <w:t xml:space="preserve">$3,000,000, including coverage for research-data breach and notification expenses.</w:t>
            </w:r>
          </w:p>
        </w:tc>
      </w:tr>
      <w:tr>
        <w:tc>
          <w:tcPr>
            <w:tcW w:w="3600" w:type="dxa"/>
          </w:tcPr>
          <w:p>
            <w:pPr>
              <w:spacing w:before="0" w:after="60"/>
            </w:pPr>
            <w:r>
              <w:t xml:space="preserve">Umbrella / Excess Liability</w:t>
            </w:r>
          </w:p>
        </w:tc>
        <w:tc>
          <w:tcPr>
            <w:tcW w:w="5900" w:type="dxa"/>
          </w:tcPr>
          <w:p>
            <w:pPr>
              <w:spacing w:before="0" w:after="60"/>
            </w:pPr>
            <w:r>
              <w:t xml:space="preserve">$10,000,000 each occurrence/aggregate.</w:t>
            </w:r>
          </w:p>
        </w:tc>
      </w:tr>
    </w:tbl>
    <w:p>
      <w:pPr>
        <w:spacing w:before="0" w:after="80"/>
      </w:pPr>
    </w:p>
    <w:p>
      <w:pPr>
        <w:spacing w:before="0" w:after="120"/>
      </w:pPr>
      <w:r>
        <w:rPr>
          <w:b/>
          <w:bCs/>
        </w:rPr>
        <w:t xml:space="preserve">11.2   Additional Insureds. </w:t>
      </w:r>
      <w:r>
        <w:t xml:space="preserve">Landlord and its lender are named as additional insureds on CGL, Auto, Pollution, Equipment Breakdown, and Umbrella policies on a primary and noncontributory basis. Insurers must be rated not less than A-/VIII (A.M. Best).</w:t>
      </w:r>
    </w:p>
    <w:p>
      <w:pPr>
        <w:spacing w:before="0" w:after="120"/>
      </w:pPr>
      <w:r>
        <w:rPr>
          <w:b/>
          <w:bCs/>
        </w:rPr>
        <w:t xml:space="preserve">11.3   Certificates; Failure to Insure. </w:t>
      </w:r>
      <w:r>
        <w:t xml:space="preserve">Tenant shall deliver certificates of insurance and required endorsements before the Commencement Date and at least thirty (30) days before each policy expiration.</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without Landlord's prior written consent, not to be unreasonably withheld for interior non-structural alterations that do not affect the roof, structure, slab, vibration isolation, lab-exhaust system, deionized water plant, lab-air/vacuum, central gas distribution, sprinkler/fire-suppression, biosafety occupancy classification, or the Vivarium HVAC.</w:t>
      </w:r>
    </w:p>
    <w:p>
      <w:pPr>
        <w:spacing w:before="0" w:after="120"/>
      </w:pPr>
      <w:r>
        <w:rPr>
          <w:b/>
          <w:bCs/>
        </w:rPr>
        <w:t xml:space="preserve">13.2   Escalated Alterations. </w:t>
      </w:r>
      <w:r>
        <w:t xml:space="preserve">Heightened review applies to: roof penetrations; new fume hood installations or relocations (including changes to reserved exhaust capacity); addition of cold rooms or walk-ins; vivarium expansion or species change; addition of high-vibration equipment (e.g., NMR, large centrifuges); changes affecting any Maximum Allowable Quantity, control-area boundaries, or H-occupancy classification; changes to plumbing pretreatment systems; and any radiation-producing equipment.</w:t>
      </w:r>
    </w:p>
    <w:p>
      <w:pPr>
        <w:spacing w:before="0" w:after="120"/>
      </w:pPr>
      <w:r>
        <w:rPr>
          <w:b/>
          <w:bCs/>
        </w:rPr>
        <w:t xml:space="preserve">13.3   Minor Alterations. </w:t>
      </w:r>
      <w:r>
        <w:t xml:space="preserve">Tenant may perform non-structural interior cosmetic alterations costing less than $50,000 per project and $200,000 in the aggregate per Lease Year without Landlord's consent, with at least ten (10) business days' prior notice.</w:t>
      </w:r>
    </w:p>
    <w:p>
      <w:pPr>
        <w:spacing w:before="0" w:after="120"/>
      </w:pPr>
      <w:r>
        <w:rPr>
          <w:b/>
          <w:bCs/>
        </w:rPr>
        <w:t xml:space="preserve">13.4   Removal at Surrender. </w:t>
      </w:r>
      <w:r>
        <w:t xml:space="preserve">At consent time, Landlord designates removal. Casework, fume hoods, BSCs, autoclave, walk-in cold rooms, freezers, equipment installed by Tenant, vivarium fit-out, low-voltage cabling, and Tenant property are Tenant property and shall be removed at surrender (subject to decommissioning under Section 9.7 and Exhibit B), except items Landlord elects to retain at no cost.</w:t>
      </w:r>
    </w:p>
    <w:p>
      <w:pPr>
        <w:spacing w:before="280" w:after="140"/>
        <w:keepNext/>
      </w:pPr>
      <w:r>
        <w:rPr>
          <w:b/>
          <w:bCs/>
          <w:sz w:val="28"/>
          <w:szCs w:val="28"/>
        </w:rPr>
        <w:t xml:space="preserve">ARTICLE 14.   PROPERTY; TRADE FIXTURES</w:t>
      </w:r>
    </w:p>
    <w:p>
      <w:pPr>
        <w:spacing w:before="0" w:after="120"/>
      </w:pPr>
      <w:r>
        <w:t xml:space="preserve">Tenant's lab equipment, casework, fume hoods, BSCs, autoclaves, freezers, walk-in cold rooms, vivarium racks and equipment, instruments, FF&amp;E, low-voltage cabling, and personal property are Tenant property and shall be removed at surrender, subject to decommissioning under Section 9.7 and Exhibit B. Fixed improvements integrated into the base building (e.g., new sprinkler piping, electrical panels added by Tenant) become Landlord's property at surrender unless Landlord requires removal under Section 13.4.</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at its sole cost, maintain in good condition and repair the entire interior of the Premises and all in-suite systems and equipment, including: casework, sinks, eyewash and emergency showers; fume hoods and BSCs (with annual certification by an NSF-49–accredited or equivalent technician for BSCs and ANSI/AIHA Z9.5 testing for fume hoods); autoclave; glasswash; cold rooms and freezers; vivarium racks, cage wash, ventilation interface, and animal monitoring equipment; in-suite supplemental HVAC; lab utilities downstream of the suite shut-offs (gas, water, vacuum, lab-air, DI water); low-voltage cabling; signage; biohazard storage; and any other Tenant-installed system.</w:t>
      </w:r>
    </w:p>
    <w:p>
      <w:pPr>
        <w:spacing w:before="0" w:after="120"/>
      </w:pPr>
      <w:r>
        <w:rPr>
          <w:b/>
          <w:bCs/>
        </w:rPr>
        <w:t xml:space="preserve">15.2   Landlord Obligations. </w:t>
      </w:r>
      <w:r>
        <w:t xml:space="preserve">Landlord shall maintain (a) the structural elements, foundation, exterior load-bearing walls, roof structure and membrane; (b) base-building HVAC and air-handling at lab-grade air-change rates; (c) base-building lab exhaust manifolds, fans, and stacks; (d) central deionized water plant, central lab-gas distribution, lab-air, lab-vacuum, and steam; (e) common areas, parking, elevators (including freight); (f) the Building Biohazardous and Chemical Waste Holding Room as a base-building service; and (g) base-building emergency power systems serving lab-exhaust and life-safety, with costs passed through under Article 3 to the extent permitted.</w:t>
      </w:r>
    </w:p>
    <w:p>
      <w:pPr>
        <w:spacing w:before="0" w:after="120"/>
      </w:pPr>
      <w:r>
        <w:rPr>
          <w:b/>
          <w:bCs/>
        </w:rPr>
        <w:t xml:space="preserve">15.3   Service Contracts. </w:t>
      </w:r>
      <w:r>
        <w:t xml:space="preserve">Tenant shall maintain commercially reasonable preventative-maintenance contracts on (a) BSCs and fume hoods (annual certification minimum), (b) autoclave (semi-annual), (c) cold rooms and -80°C freezers, (d) vivarium HVAC interface (consistent with Exhibit S), (e) any in-suite supplemental HVAC, and (f) Tenant-installed sprinkler/fire-suppression changes. Tenant shall deliver copies of contracts and inspection reports to Landlord on the schedule in Exhibit R.</w:t>
      </w:r>
    </w:p>
    <w:p>
      <w:pPr>
        <w:spacing w:before="0" w:after="120"/>
      </w:pPr>
      <w:r>
        <w:rPr>
          <w:b/>
          <w:bCs/>
        </w:rPr>
        <w:t xml:space="preserve">15.4   Tenant-Caused Damage. </w:t>
      </w:r>
      <w:r>
        <w:t xml:space="preserve">Tenant shall be responsible for repair costs arising from negligence, misuse, omission, or willful misconduct of Tenant or any Tenant party, except as barred by Article 12.</w:t>
      </w:r>
    </w:p>
    <w:p>
      <w:pPr>
        <w:spacing w:before="0" w:after="120"/>
      </w:pPr>
      <w:r>
        <w:rPr>
          <w:b/>
          <w:bCs/>
        </w:rPr>
        <w:t xml:space="preserve">15.5   Inspections. </w:t>
      </w:r>
      <w:r>
        <w:t xml:space="preserve">Landlord may inspect on twenty-four (24) hours' notice (except in emergencies), subject to Tenant's biosafety and biosecurity escort requirements; entry into the Vivarium is governed by Exhibit S.</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to inspect, perform Landlord's repairs, show the Premises to lenders, purchasers, or (during the last twelve (12) months of the Term) prospective tenants, and exercise other rights under this Lease. Access shall comply with Tenant's reasonable biosafety, biosecurity, vivarium-access, and confidentiality protocols (including, where applicable, Tenant's standard confidentiality acknowledgment for areas containing unpublished research data).</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occupancy, or operations at the Premises (including lab and vivarium operations); (d) any Hazardous Materials, biohazard, or animal release caused by Tenant; (e) any violation of Laws (including biosafety, animal-welfare, controlled-substance, and pretreatment) by Tenant or any Tenant party; and (f) infringement claims arising from Tenant's research products or services (which Landlord is not a party to merely by virtue of being the landlord).</w:t>
      </w:r>
    </w:p>
    <w:p>
      <w:pPr>
        <w:spacing w:before="0" w:after="120"/>
      </w:pPr>
      <w:r>
        <w:rPr>
          <w:b/>
          <w:bCs/>
        </w:rPr>
        <w:t xml:space="preserve">17.2   Landlord Indemnity. </w:t>
      </w:r>
      <w:r>
        <w:t xml:space="preserve">Landlord shall indemnify Tenant from losses directly caused by Landlord's gross negligence or willful misconduct, subject to Section 17.3.</w:t>
      </w:r>
    </w:p>
    <w:p>
      <w:pPr>
        <w:spacing w:before="0" w:after="120"/>
      </w:pPr>
      <w:r>
        <w:rPr>
          <w:b/>
          <w:bCs/>
        </w:rPr>
        <w:t xml:space="preserve">17.3   Limitation. </w:t>
      </w:r>
      <w:r>
        <w:t xml:space="preserve">Tenant shall look solely to Landlord's interest in the Property. No member, manager, officer, employee, or agent of Landlord has personal liability. Except for Tenant's holdover and environmental/biosafety obligations, neither party is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payment of Rent, maintenance of insurance and the Letter of Credit, surrender, environmental and biosafety obligations, and exercise of option/notice deadlines, performance is extended for delays caused by events beyond reasonable control (labor disputes, casualty, war, terrorism, governmental action, utility failures, shortages, public-health emergencies, permit delays despite diligent pursuit).</w:t>
      </w:r>
    </w:p>
    <w:p>
      <w:pPr>
        <w:spacing w:before="280" w:after="140"/>
        <w:keepNext/>
      </w:pPr>
      <w:r>
        <w:rPr>
          <w:b/>
          <w:bCs/>
          <w:sz w:val="28"/>
          <w:szCs w:val="28"/>
        </w:rPr>
        <w:t xml:space="preserve">ARTICLE 19.   CASUALTY</w:t>
      </w:r>
    </w:p>
    <w:p>
      <w:pPr>
        <w:spacing w:before="0" w:after="120"/>
      </w:pPr>
      <w:r>
        <w:t xml:space="preserve">If restoration cannot reasonably be completed within two hundred seventy (270) days (recognizing the lead time required to restore a wet lab), either party may terminate on thirty (30) days' notice. Otherwise, Landlord shall restore the Building shell and base-building lab utilities; Tenant shall restore the interior, lab fit-out, vivarium, and equipment. Base Rent abates proportionately while the affected portion is untenantable. If casualty occurs during the last twenty-four (24) months of the Term, either party may terminate.</w:t>
      </w:r>
    </w:p>
    <w:p>
      <w:pPr>
        <w:spacing w:before="280" w:after="140"/>
        <w:keepNext/>
      </w:pPr>
      <w:r>
        <w:rPr>
          <w:b/>
          <w:bCs/>
          <w:sz w:val="28"/>
          <w:szCs w:val="28"/>
        </w:rPr>
        <w:t xml:space="preserve">ARTICLE 20.   CONDEMNATION</w:t>
      </w:r>
    </w:p>
    <w:p>
      <w:pPr>
        <w:spacing w:before="0" w:after="120"/>
      </w:pPr>
      <w:r>
        <w:t xml:space="preserve">If all or a material portion of the Premises is taken, this Lease terminates as to the taken portion with equitable rent adjustment. Landlord receives the award for real property; Tenant may pursue a separate award for moving costs, trade fixtures, lab equipment, vivarium animals (humanely relocated),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Tenant shall surrender per Exhibit B, having completed the Laboratory Decommissioning and Closure Plan, depopulated and decommissioned the Vivarium per Exhibit S, decontaminated BSCs and fume hoods with certificates, decommissioned freezers and cold rooms, removed FF&amp;E and required alterations, repaired damage, secured and removed research data (subject to Tenant's own retention policies and any sponsor obligations), surrendered keys/fobs/codes/credentials, and terminated Tenant-arranged utility accounts as directed.</w:t>
      </w:r>
    </w:p>
    <w:p>
      <w:pPr>
        <w:spacing w:before="0" w:after="120"/>
      </w:pPr>
      <w:r>
        <w:rPr>
          <w:b/>
          <w:bCs/>
        </w:rPr>
        <w:t xml:space="preserve">21.2   Holdover. </w:t>
      </w:r>
      <w:r>
        <w:t xml:space="preserve">Holdover rent equals one hundred fifty percent (150%) of the immediately preceding Rent for the first thirty (30) days and two hundred percent (200%) thereafter, plus all damages and costs (including liability to a succeeding tenant). The parties acknowledge that decommissioning timing is material; Tenant shall begin the Laboratory Decommissioning and Closure Plan early enough to surrender by the Expiration Date.</w:t>
      </w:r>
    </w:p>
    <w:p>
      <w:pPr>
        <w:spacing w:before="280" w:after="140"/>
        <w:keepNext/>
      </w:pPr>
      <w:r>
        <w:rPr>
          <w:b/>
          <w:bCs/>
          <w:sz w:val="28"/>
          <w:szCs w:val="28"/>
        </w:rPr>
        <w:t xml:space="preserve">ARTICLE 22.   EVENTS OF DEFAULT</w:t>
      </w:r>
    </w:p>
    <w:p>
      <w:pPr>
        <w:spacing w:before="0" w:after="120"/>
      </w:pPr>
      <w:r>
        <w:t xml:space="preserve">Events of Default include: (a) Rent unpaid five (5) days after written notice past due; (b) failure to maintain insurance or the Letter of Credit; (c) material loss of IBC, IACUC, BSL-2, DEA, USDA, or FDA registrations material to Tenant's operations that is not cured or alternatively addressed within ninety (90) days; (d) abandonment for more than fifteen (15) consecutive days; (e) unauthorized transfer in violation of Article 8; (f) liens not released within thirty (30) days; (g) failure to deliver required documents; (h) insolvency or bankruptcy not dismissed within sixty (60) days; (i) material misrepresentation; (j) any release of BSL-2 agents, animals, or Hazardous Materials not properly contained, reported, and remediated in accordance with Sections 9.5 and 9.6; (k) material violation of OSHA Laboratory Standard or Bloodborne Pathogen Standard resulting in an uncured regulatory citation; and (l) failure to perform any other covenant within thirty (30) days after notice (subject to extension for diligent cure).</w:t>
      </w:r>
    </w:p>
    <w:p>
      <w:pPr>
        <w:spacing w:before="280" w:after="140"/>
        <w:keepNext/>
      </w:pPr>
      <w:r>
        <w:rPr>
          <w:b/>
          <w:bCs/>
          <w:sz w:val="28"/>
          <w:szCs w:val="28"/>
        </w:rPr>
        <w:t xml:space="preserve">ARTICLE 23.   REMEDIES</w:t>
      </w:r>
    </w:p>
    <w:p>
      <w:pPr>
        <w:spacing w:before="0" w:after="120"/>
      </w:pPr>
      <w:r>
        <w:rPr>
          <w:b/>
          <w:bCs/>
        </w:rPr>
        <w:t xml:space="preserve">23.1   Remedies. </w:t>
      </w:r>
      <w:r>
        <w:t xml:space="preserve">Upon an Event of Default, Landlord may exercise all rights and remedies at law or in equity, including termination, reletting, deficiency damages, drawing on the Letter of Credit, cure at Tenant's expense, and injunctive relief, subject to commercially reasonable mitigation as required by Utah law.</w:t>
      </w:r>
    </w:p>
    <w:p>
      <w:pPr>
        <w:spacing w:before="0" w:after="120"/>
      </w:pPr>
      <w:r>
        <w:rPr>
          <w:b/>
          <w:bCs/>
        </w:rPr>
        <w:t xml:space="preserve">23.2   Cumulative; No Waiver. </w:t>
      </w:r>
      <w:r>
        <w:t xml:space="preserve">Remedies are cumulative.</w:t>
      </w:r>
    </w:p>
    <w:p>
      <w:pPr>
        <w:spacing w:before="0" w:after="120"/>
      </w:pPr>
      <w:r>
        <w:rPr>
          <w:b/>
          <w:bCs/>
        </w:rPr>
        <w:t xml:space="preserve">23.3   Attorneys' Fees. </w:t>
      </w:r>
      <w:r>
        <w:t xml:space="preserve">Prevailing party recovers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they have dealt with no brokers except those named in Article 1. Landlord shall pay Tenant Broker per a separate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is exclusively in the state and federal courts in Salt Lake County, Utah.</w:t>
      </w:r>
    </w:p>
    <w:p>
      <w:pPr>
        <w:spacing w:before="0" w:after="120"/>
      </w:pPr>
      <w:r>
        <w:rPr>
          <w:b/>
          <w:bCs/>
        </w:rPr>
        <w:t xml:space="preserve">25.2   Notices. </w:t>
      </w:r>
      <w:r>
        <w:t xml:space="preserve">In writing, by personal delivery, certified mail (return receipt requested), or overnight courier, to the Article 1 addresses.</w:t>
      </w:r>
    </w:p>
    <w:p>
      <w:pPr>
        <w:spacing w:before="0" w:after="120"/>
      </w:pPr>
      <w:r>
        <w:rPr>
          <w:b/>
          <w:bCs/>
        </w:rPr>
        <w:t xml:space="preserve">25.3   Entire Agreement; Amendment. </w:t>
      </w:r>
      <w:r>
        <w:t xml:space="preserve">This Lease (including Exhibits) is the entire agreement; amendments require a writing.</w:t>
      </w:r>
    </w:p>
    <w:p>
      <w:pPr>
        <w:spacing w:before="0" w:after="120"/>
      </w:pPr>
      <w:r>
        <w:rPr>
          <w:b/>
          <w:bCs/>
        </w:rPr>
        <w:t xml:space="preserve">25.4   Authority. </w:t>
      </w:r>
      <w:r>
        <w:t xml:space="preserve">Each signatory is authorized to bind its party.</w:t>
      </w:r>
    </w:p>
    <w:p>
      <w:pPr>
        <w:spacing w:before="0" w:after="120"/>
      </w:pPr>
      <w:r>
        <w:rPr>
          <w:b/>
          <w:bCs/>
        </w:rPr>
        <w:t xml:space="preserve">25.5   Counterparts; Electronic Signatures. </w:t>
      </w:r>
      <w:r>
        <w:t xml:space="preserve">Permitted.</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Mutual waiver to the maximum extent permitted by law.</w:t>
      </w:r>
    </w:p>
    <w:p>
      <w:pPr>
        <w:spacing w:before="0" w:after="120"/>
      </w:pPr>
      <w:r>
        <w:rPr>
          <w:b/>
          <w:bCs/>
        </w:rPr>
        <w:t xml:space="preserve">25.8   Time of the Essence. </w:t>
      </w:r>
      <w:r>
        <w:t xml:space="preserve">Time is of the essence.</w:t>
      </w:r>
    </w:p>
    <w:p>
      <w:pPr>
        <w:spacing w:before="0" w:after="120"/>
      </w:pPr>
      <w:r>
        <w:rPr>
          <w:b/>
          <w:bCs/>
        </w:rPr>
        <w:t xml:space="preserve">25.9   OFAC; Export Controls. </w:t>
      </w:r>
      <w:r>
        <w:t xml:space="preserve">Each party represents it is not on any U.S. government prohibited-party list. Tenant's research, materials transfers, and personnel access shall comply with U.S. export-control laws (EAR, ITAR, OFAC sanctions) to the extent applicable; nothing in this Lease imposes Landlord obligations beyond facility access.</w:t>
      </w:r>
    </w:p>
    <w:p>
      <w:pPr>
        <w:spacing w:before="0" w:after="120"/>
      </w:pPr>
      <w:r>
        <w:rPr>
          <w:b/>
          <w:bCs/>
        </w:rPr>
        <w:t xml:space="preserve">25.10   Intellectual Property. </w:t>
      </w:r>
      <w:r>
        <w:t xml:space="preserve">Nothing in this Lease grants Landlord any right, title, or interest in Tenant's research, materials, biological resources, technology, software, data, inventions, patents, trade secrets, or other intellectual property. Tenant's research records and proprietary information remain Tenant's property at all times.</w:t>
      </w:r>
    </w:p>
    <w:p>
      <w:pPr>
        <w:spacing w:before="0" w:after="120"/>
      </w:pPr>
      <w:r>
        <w:rPr>
          <w:b/>
          <w:bCs/>
        </w:rPr>
        <w:t xml:space="preserve">25.11   Survival. </w:t>
      </w:r>
      <w:r>
        <w:t xml:space="preserve">Indemnity, environmental, biosafety, vivarium, surrender, holdover, attorneys' fees, and reconciliation obligations survive expiration or termination.</w:t>
      </w:r>
    </w:p>
    <w:p>
      <w:pPr>
        <w:spacing w:before="0" w:after="120"/>
      </w:pPr>
      <w:r>
        <w:rPr>
          <w:b/>
          <w:bCs/>
        </w:rPr>
        <w:t xml:space="preserve">25.12   Financial Statements. </w:t>
      </w:r>
      <w:r>
        <w:t xml:space="preserve">Tenant shall deliver reviewed or audited annual financial statements within one hundred fifty (150) days after fiscal year end, including a confidential summary of operating capital and funding round status, subject to confidentiality.</w:t>
      </w:r>
    </w:p>
    <w:p>
      <w:pPr>
        <w:spacing w:before="0" w:after="120"/>
      </w:pPr>
      <w:r>
        <w:rPr>
          <w:b/>
          <w:bCs/>
        </w:rPr>
        <w:t xml:space="preserve">25.13   Recording. </w:t>
      </w:r>
      <w:r>
        <w:t xml:space="preserve">Neither party shall record this Lease, but the parties may record a mutually approved short-form memorandum.</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VELLICHOR THERAPEUTICS, INC.,</w:t>
      </w:r>
      <w:r>
        <w:t xml:space="preserve"> a Delaware corporation</w:t>
      </w:r>
    </w:p>
    <w:p>
      <w:pPr>
        <w:spacing w:before="0" w:after="120"/>
      </w:pPr>
      <w:r>
        <w:t xml:space="preserve"> </w:t>
      </w:r>
    </w:p>
    <w:p>
      <w:pPr>
        <w:spacing w:before="0" w:after="120"/>
      </w:pPr>
      <w:r>
        <w:t xml:space="preserve">By: ___________________________________</w:t>
      </w:r>
    </w:p>
    <w:p>
      <w:pPr>
        <w:spacing w:before="0" w:after="120"/>
      </w:pPr>
      <w:r>
        <w:t xml:space="preserve">Name:  Dr. Anand R. Kapoor</w:t>
      </w:r>
    </w:p>
    <w:p>
      <w:pPr>
        <w:spacing w:before="0" w:after="120"/>
      </w:pPr>
      <w:r>
        <w:t xml:space="preserve">Title: Chief Scientific Officer</w:t>
      </w:r>
    </w:p>
    <w:p>
      <w:pPr>
        <w:spacing w:before="280" w:after="140"/>
        <w:keepNext/>
      </w:pPr>
      <w:r>
        <w:rPr>
          <w:b/>
          <w:bCs/>
          <w:sz w:val="28"/>
          <w:szCs w:val="28"/>
        </w:rPr>
        <w:t xml:space="preserve">ARTICLE 27.   RENEWAL OPTION</w:t>
      </w:r>
    </w:p>
    <w:p>
      <w:pPr>
        <w:spacing w:before="0" w:after="120"/>
      </w:pPr>
      <w:r>
        <w:rPr>
          <w:b/>
          <w:bCs/>
        </w:rPr>
        <w:t xml:space="preserve">27.1   Grant. </w:t>
      </w:r>
      <w:r>
        <w:t xml:space="preserve">Provided no uncured Event of Default exists and the original Tenant (or a Permitted Transferee) is in occupancy of not less than seventy-five percent (75%) of the Premises, Tenant has one (1) option to renew the Term for five (5) years at Fair Market Rent.</w:t>
      </w:r>
    </w:p>
    <w:p>
      <w:pPr>
        <w:spacing w:before="0" w:after="120"/>
      </w:pPr>
      <w:r>
        <w:rPr>
          <w:b/>
          <w:bCs/>
        </w:rPr>
        <w:t xml:space="preserve">27.2   Notice. </w:t>
      </w:r>
      <w:r>
        <w:t xml:space="preserve">Tenant shall exercise by written notice delivered not earlier than fifteen (15) months and not later than twelve (12) months before the Expiration Date. Time is of the essence.</w:t>
      </w:r>
    </w:p>
    <w:p>
      <w:pPr>
        <w:spacing w:before="0" w:after="120"/>
      </w:pPr>
      <w:r>
        <w:rPr>
          <w:b/>
          <w:bCs/>
        </w:rPr>
        <w:t xml:space="preserve">27.3   FMR. </w:t>
      </w:r>
      <w:r>
        <w:t xml:space="preserve">Fair Market Rent shall reflect comparable wet-lab life-sciences space in the Wasatch Front life-sciences submarket, taking into account lab-exhaust capacity, vivarium presence, vibration-isolation level, length of term, escalations, tenant credit, and concessions actually offered in the market for renewals. The parties shall negotiate for thirty (30) days; failing agreement, each shall select a qualified MAI appraiser experienced in lab buildings, the two shall jointly select a third, and Fair Market Rent shall be determined by majority vote within sixty (60) days.</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Depiction of Premises</w:t>
      </w:r>
    </w:p>
    <w:p>
      <w:pPr>
        <w:spacing w:before="0" w:after="120"/>
      </w:pPr>
      <w:r>
        <w:t xml:space="preserve">The Premises consist of Suite 220 on the second floor of Granite Bench Bioscience Center, located at 2240 South Foothill Drive, Salt Lake City, Utah 84109, containing approximately 14,800 rentable square feet, as depicted below. The Vivarium is shown in red and is governed by Exhibit S. The depiction is illustrative; in the event of a measurable discrepancy, the RSF in Article 1 controls.</w:t>
      </w:r>
    </w:p>
    <w:p>
      <w:pPr>
        <w:jc w:val="center"/>
        <w:spacing w:before="120" w:after="120"/>
      </w:pPr>
      <w:r>
        <w:drawing>
          <wp:inline distT="0" distB="0" distL="0" distR="0">
            <wp:extent cx="6248400" cy="401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40158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Execute the Laboratory Decommissioning and Closure Plan under Section 9.7. Deliver to Landlord a final closure report from a qualified industrial hygienist/biosafety consultant.</w:t>
      </w:r>
    </w:p>
    <w:p>
      <w:pPr>
        <w:spacing w:before="0" w:after="120"/>
      </w:pPr>
      <w:r>
        <w:t xml:space="preserve">2.   Depopulate the Vivarium per Exhibit S; deliver to Landlord (a) IACUC closure documentation, (b) USDA reporting confirmation (if applicable), (c) sanitization and pest-control closure records, and (d) cage wash and ventilation interface decommissioning records.</w:t>
      </w:r>
    </w:p>
    <w:p>
      <w:pPr>
        <w:spacing w:before="0" w:after="120"/>
      </w:pPr>
      <w:r>
        <w:t xml:space="preserve">3.   Decontaminate all BSCs and fume hoods; deliver current decontamination and certification records (Class II BSCs and fume hoods, with the decontamination by formaldehyde, vaporized hydrogen peroxide, or chlorine dioxide as appropriate). Tag and label decontaminated equipment for removal or for Landlord retention.</w:t>
      </w:r>
    </w:p>
    <w:p>
      <w:pPr>
        <w:spacing w:before="0" w:after="120"/>
      </w:pPr>
      <w:r>
        <w:t xml:space="preserve">4.   Decommission walk-in cold rooms and -80°C freezers; recover refrigerants in compliance with EPA requirements; deliver refrigerant-recovery records and confirmation of disposition of any remaining samples.</w:t>
      </w:r>
    </w:p>
    <w:p>
      <w:pPr>
        <w:spacing w:before="0" w:after="120"/>
      </w:pPr>
      <w:r>
        <w:t xml:space="preserve">5.   Drain and decontaminate plumbing, sinks, autoclave, glasswash, and DI/RODI loops in the Premises; deliver decontamination records.</w:t>
      </w:r>
    </w:p>
    <w:p>
      <w:pPr>
        <w:spacing w:before="0" w:after="120"/>
      </w:pPr>
      <w:r>
        <w:t xml:space="preserve">6.   Remove all chemical inventory and biohazard inventory; provide manifests for final hauler pickups; clear the Building Biohazardous and Chemical Waste Holding Room of Tenant material.</w:t>
      </w:r>
    </w:p>
    <w:p>
      <w:pPr>
        <w:spacing w:before="0" w:after="120"/>
      </w:pPr>
      <w:r>
        <w:t xml:space="preserve">7.   Patch and seal all wall, floor, and roof penetrations from fume hoods, BSCs, gas piping, exhaust ducting, lab-air/vacuum/DI water, and pneumatic-tube installations.</w:t>
      </w:r>
    </w:p>
    <w:p>
      <w:pPr>
        <w:spacing w:before="0" w:after="120"/>
      </w:pPr>
      <w:r>
        <w:t xml:space="preserve">8.   If radiation-producing equipment was used, complete radiation decommissioning per Utah Division of Waste Management and Radiation Control requirements; deliver agency closure letter.</w:t>
      </w:r>
    </w:p>
    <w:p>
      <w:pPr>
        <w:spacing w:before="0" w:after="120"/>
      </w:pPr>
      <w:r>
        <w:t xml:space="preserve">9.   Repair (or replace, if not repairable) flooring, casework remnants, and finishes damaged beyond ordinary wear.</w:t>
      </w:r>
    </w:p>
    <w:p>
      <w:pPr>
        <w:spacing w:before="0" w:after="120"/>
      </w:pPr>
      <w:r>
        <w:t xml:space="preserve">10.   Remove signage and repair related damage.</w:t>
      </w:r>
    </w:p>
    <w:p>
      <w:pPr>
        <w:spacing w:before="0" w:after="120"/>
      </w:pPr>
      <w:r>
        <w:t xml:space="preserve">11.   Deliver as-built drawings, equipment manuals, current testing/certification records, and warranty assignments for any Tenant-installed building-integrated systems remaining in the Premises.</w:t>
      </w:r>
    </w:p>
    <w:p>
      <w:pPr>
        <w:spacing w:before="0" w:after="120"/>
      </w:pPr>
      <w:r>
        <w:t xml:space="preserve">12.   Surrender keys, fobs, gate codes, alarm credentials, fire-panel codes, BMS credentials, freight-elevator booking credentials, vivarium access logs, and controlled-substance disposition records.</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Prohibited Uses</w:t>
      </w:r>
    </w:p>
    <w:p>
      <w:pPr>
        <w:spacing w:before="0" w:after="120"/>
      </w:pPr>
      <w:r>
        <w:t xml:space="preserve">1.   The Building operates 24/7 for lab activities; common-area decorum and biosafety practices apply at all times.</w:t>
      </w:r>
    </w:p>
    <w:p>
      <w:pPr>
        <w:spacing w:before="0" w:after="120"/>
      </w:pPr>
      <w:r>
        <w:t xml:space="preserve">2.   Smoking, vaping, and cannabis use are prohibited inside the Building and within 25 feet of any entry, air intake, or chemical storage area.</w:t>
      </w:r>
    </w:p>
    <w:p>
      <w:pPr>
        <w:spacing w:before="0" w:after="120"/>
      </w:pPr>
      <w:r>
        <w:t xml:space="preserve">3.   All transport of open biohazard, infectious specimens, cryogens in unsecured Dewars, live animals, gas cylinders, or hazardous chemicals shall use the freight elevator only, with prior booking through Building management and consistent with Exhibit T.</w:t>
      </w:r>
    </w:p>
    <w:p>
      <w:pPr>
        <w:spacing w:before="0" w:after="120"/>
      </w:pPr>
      <w:r>
        <w:t xml:space="preserve">4.   No eating, drinking, application of cosmetics, or storage of food in lab or animal areas.</w:t>
      </w:r>
    </w:p>
    <w:p>
      <w:pPr>
        <w:spacing w:before="0" w:after="120"/>
      </w:pPr>
      <w:r>
        <w:t xml:space="preserve">5.   PPE (lab coats, safety glasses, gloves) shall not be worn in the lobby, café, or shared meeting rooms.</w:t>
      </w:r>
    </w:p>
    <w:p>
      <w:pPr>
        <w:spacing w:before="0" w:after="120"/>
      </w:pPr>
      <w:r>
        <w:t xml:space="preserve">6.   No discharge to base-building plumbing in violation of Section 9.3 or the Salt Lake County Pretreatment Program.</w:t>
      </w:r>
    </w:p>
    <w:p>
      <w:pPr>
        <w:spacing w:before="0" w:after="120"/>
      </w:pPr>
      <w:r>
        <w:t xml:space="preserve">7.   Tenant shall coordinate with Building management for any planned interruptions or testing affecting shared services (lab exhaust, DI water, lab gas, central plant).</w:t>
      </w:r>
    </w:p>
    <w:p>
      <w:pPr>
        <w:spacing w:before="0" w:after="120"/>
      </w:pPr>
      <w:r>
        <w:t xml:space="preserve">8.   Tenant shall maintain biosafety signage at lab entries indicating biosafety level and emergency contact.</w:t>
      </w:r>
    </w:p>
    <w:p>
      <w:pPr>
        <w:spacing w:before="0" w:after="120"/>
      </w:pPr>
      <w:r>
        <w:rPr>
          <w:b/>
          <w:bCs/>
        </w:rPr>
        <w:t xml:space="preserve">Prohibited Uses. </w:t>
      </w:r>
    </w:p>
    <w:p>
      <w:pPr>
        <w:spacing w:before="0" w:after="120"/>
      </w:pPr>
      <w:r>
        <w:t xml:space="preserve">A.   Biosafety Level 3 or 4 work; USDA Select Agent and Toxin work; gain-of-function research as defined under HHS policy; infectious-disease challenge studies; large-animal in vivo work; non-human primate work; livestock work.</w:t>
      </w:r>
    </w:p>
    <w:p>
      <w:pPr>
        <w:spacing w:before="0" w:after="120"/>
      </w:pPr>
      <w:r>
        <w:t xml:space="preserve">B.   Human-subject clinical trials at the Premises (Tenant's human-subject activities, if any, shall occur off-site).</w:t>
      </w:r>
    </w:p>
    <w:p>
      <w:pPr>
        <w:spacing w:before="0" w:after="120"/>
      </w:pPr>
      <w:r>
        <w:t xml:space="preserve">C.   GMP manufacturing without Landlord's prior consent.</w:t>
      </w:r>
    </w:p>
    <w:p>
      <w:pPr>
        <w:spacing w:before="0" w:after="120"/>
      </w:pPr>
      <w:r>
        <w:t xml:space="preserve">D.   Industrial laundry, dry cleaning, or significant chemical processing.</w:t>
      </w:r>
    </w:p>
    <w:p>
      <w:pPr>
        <w:spacing w:before="0" w:after="120"/>
      </w:pPr>
      <w:r>
        <w:t xml:space="preserve">E.   Storage of explosives, fireworks, or ammunition.</w:t>
      </w:r>
    </w:p>
    <w:p>
      <w:pPr>
        <w:spacing w:before="0" w:after="120"/>
      </w:pPr>
      <w:r>
        <w:t xml:space="preserve">F.   Operation of incinerators or open-burn devices.</w:t>
      </w:r>
    </w:p>
    <w:p>
      <w:pPr>
        <w:spacing w:before="0" w:after="120"/>
      </w:pPr>
      <w:r>
        <w:t xml:space="preserve">G.   Animal slaughtering or boarding (other than per the Vivarium).</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operational, emergency, insurance, accounting, biosafety, vivarium, and licensure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Dr. Anand R. Kapoor</w:t>
            </w:r>
          </w:p>
        </w:tc>
      </w:tr>
      <w:tr>
        <w:tc>
          <w:tcPr>
            <w:tcW w:w="3000" w:type="dxa"/>
          </w:tcPr>
          <w:p>
            <w:pPr>
              <w:spacing w:before="0" w:after="60"/>
            </w:pPr>
            <w:r>
              <w:t xml:space="preserve">Title</w:t>
            </w:r>
          </w:p>
        </w:tc>
        <w:tc>
          <w:tcPr>
            <w:tcW w:w="6500" w:type="dxa"/>
          </w:tcPr>
          <w:p>
            <w:pPr>
              <w:spacing w:before="0" w:after="60"/>
            </w:pPr>
            <w:r>
              <w:t xml:space="preserve">Chief Scientific Officer</w:t>
            </w:r>
          </w:p>
        </w:tc>
      </w:tr>
      <w:tr>
        <w:tc>
          <w:tcPr>
            <w:tcW w:w="3000" w:type="dxa"/>
          </w:tcPr>
          <w:p>
            <w:pPr>
              <w:spacing w:before="0" w:after="60"/>
            </w:pPr>
            <w:r>
              <w:t xml:space="preserve">Business Phone</w:t>
            </w:r>
          </w:p>
        </w:tc>
        <w:tc>
          <w:tcPr>
            <w:tcW w:w="6500" w:type="dxa"/>
          </w:tcPr>
          <w:p>
            <w:pPr>
              <w:spacing w:before="0" w:after="60"/>
            </w:pPr>
            <w:r>
              <w:t xml:space="preserve">(801) 555-0631</w:t>
            </w:r>
          </w:p>
        </w:tc>
      </w:tr>
      <w:tr>
        <w:tc>
          <w:tcPr>
            <w:tcW w:w="3000" w:type="dxa"/>
          </w:tcPr>
          <w:p>
            <w:pPr>
              <w:spacing w:before="0" w:after="60"/>
            </w:pPr>
            <w:r>
              <w:t xml:space="preserve">Mobile / After-Hours Phone</w:t>
            </w:r>
          </w:p>
        </w:tc>
        <w:tc>
          <w:tcPr>
            <w:tcW w:w="6500" w:type="dxa"/>
          </w:tcPr>
          <w:p>
            <w:pPr>
              <w:spacing w:before="0" w:after="60"/>
            </w:pPr>
            <w:r>
              <w:t xml:space="preserve">(801) 555-0667</w:t>
            </w:r>
          </w:p>
        </w:tc>
      </w:tr>
      <w:tr>
        <w:tc>
          <w:tcPr>
            <w:tcW w:w="3000" w:type="dxa"/>
          </w:tcPr>
          <w:p>
            <w:pPr>
              <w:spacing w:before="0" w:after="60"/>
            </w:pPr>
            <w:r>
              <w:t xml:space="preserve">Email</w:t>
            </w:r>
          </w:p>
        </w:tc>
        <w:tc>
          <w:tcPr>
            <w:tcW w:w="6500" w:type="dxa"/>
          </w:tcPr>
          <w:p>
            <w:pPr>
              <w:spacing w:before="0" w:after="60"/>
            </w:pPr>
            <w:r>
              <w:t xml:space="preserve">akapoor@vellichortx.example</w:t>
            </w:r>
          </w:p>
        </w:tc>
      </w:tr>
      <w:tr>
        <w:tc>
          <w:tcPr>
            <w:tcW w:w="3000" w:type="dxa"/>
          </w:tcPr>
          <w:p>
            <w:pPr>
              <w:spacing w:before="0" w:after="60"/>
            </w:pPr>
            <w:r>
              <w:t xml:space="preserve">Mailing Address</w:t>
            </w:r>
          </w:p>
        </w:tc>
        <w:tc>
          <w:tcPr>
            <w:tcW w:w="6500" w:type="dxa"/>
          </w:tcPr>
          <w:p>
            <w:pPr>
              <w:spacing w:before="0" w:after="60"/>
            </w:pPr>
            <w:r>
              <w:t xml:space="preserve">Vellichor Therapeutics, Inc., Suite 220, 2240 South Foothill Drive, Salt Lake City, UT 84109</w:t>
            </w:r>
          </w:p>
        </w:tc>
      </w:tr>
      <w:tr>
        <w:tc>
          <w:tcPr>
            <w:tcW w:w="3000" w:type="dxa"/>
          </w:tcPr>
          <w:p>
            <w:pPr>
              <w:spacing w:before="0" w:after="60"/>
            </w:pPr>
            <w:r>
              <w:t xml:space="preserve">24/7 Lab / Vivarium / Spill Line</w:t>
            </w:r>
          </w:p>
        </w:tc>
        <w:tc>
          <w:tcPr>
            <w:tcW w:w="6500" w:type="dxa"/>
          </w:tcPr>
          <w:p>
            <w:pPr>
              <w:spacing w:before="0" w:after="60"/>
            </w:pPr>
            <w:r>
              <w:t xml:space="preserve">(801) 555-0633 (On-call lab manager and Biosafety Officer)</w:t>
            </w:r>
          </w:p>
        </w:tc>
      </w:tr>
      <w:tr>
        <w:tc>
          <w:tcPr>
            <w:tcW w:w="3000" w:type="dxa"/>
          </w:tcPr>
          <w:p>
            <w:pPr>
              <w:spacing w:before="0" w:after="60"/>
            </w:pPr>
            <w:r>
              <w:t xml:space="preserve">Biosafety Officer</w:t>
            </w:r>
          </w:p>
        </w:tc>
        <w:tc>
          <w:tcPr>
            <w:tcW w:w="6500" w:type="dxa"/>
          </w:tcPr>
          <w:p>
            <w:pPr>
              <w:spacing w:before="0" w:after="60"/>
            </w:pPr>
            <w:r>
              <w:t xml:space="preserve">Dr. Maya L. Ostrowski (bso@vellichortx.example)</w:t>
            </w:r>
          </w:p>
        </w:tc>
      </w:tr>
      <w:tr>
        <w:tc>
          <w:tcPr>
            <w:tcW w:w="3000" w:type="dxa"/>
          </w:tcPr>
          <w:p>
            <w:pPr>
              <w:spacing w:before="0" w:after="60"/>
            </w:pPr>
            <w:r>
              <w:t xml:space="preserve">Attending Veterinarian (Vivarium)</w:t>
            </w:r>
          </w:p>
        </w:tc>
        <w:tc>
          <w:tcPr>
            <w:tcW w:w="6500" w:type="dxa"/>
          </w:tcPr>
          <w:p>
            <w:pPr>
              <w:spacing w:before="0" w:after="60"/>
            </w:pPr>
            <w:r>
              <w:t xml:space="preserve">Dr. Sergei V. Karpinski, DVM, DACLAM (vet@vellichortx.example)</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Sign Specifications</w:t>
      </w:r>
    </w:p>
    <w:p>
      <w:pPr>
        <w:spacing w:before="0" w:after="120"/>
      </w:pPr>
      <w:r>
        <w:rPr>
          <w:b/>
          <w:bCs/>
        </w:rPr>
        <w:t xml:space="preserve">Suite-Entry Sign. </w:t>
      </w:r>
      <w:r>
        <w:t xml:space="preserve">One (1) Building-standard plaque at the primary Premises entry door, 10" × 14", with biosafety-level indicator and emergency contact. Landlord fabricates and installs at Tenant's cost (approx. $480).</w:t>
      </w:r>
    </w:p>
    <w:p>
      <w:pPr>
        <w:spacing w:before="0" w:after="120"/>
      </w:pPr>
      <w:r>
        <w:rPr>
          <w:b/>
          <w:bCs/>
        </w:rPr>
        <w:t xml:space="preserve">Lobby Directory. </w:t>
      </w:r>
      <w:r>
        <w:t xml:space="preserve">One (1) line on the main-lobby electronic directory.</w:t>
      </w:r>
    </w:p>
    <w:p>
      <w:pPr>
        <w:spacing w:before="0" w:after="120"/>
      </w:pPr>
      <w:r>
        <w:rPr>
          <w:b/>
          <w:bCs/>
        </w:rPr>
        <w:t xml:space="preserve">Monument Tile. </w:t>
      </w:r>
      <w:r>
        <w:t xml:space="preserve">One (1) tile on the Building monument sign at Foothill Drive, fabricated by Landlord's sign vendor at Tenant's cost (approx. $1,950).</w:t>
      </w:r>
    </w:p>
    <w:p>
      <w:pPr>
        <w:spacing w:before="0" w:after="120"/>
      </w:pPr>
      <w:r>
        <w:rPr>
          <w:b/>
          <w:bCs/>
        </w:rPr>
        <w:t xml:space="preserve">Biosafety / Hazard Signage. </w:t>
      </w:r>
      <w:r>
        <w:t xml:space="preserve">Required regulatory signage (biosafety level, laser, radiation, chemical hazard, oxygen-deficiency, NFPA diamond) shall be installed by Tenant at lab entries and at applicable equipment in conformance with Laws.</w:t>
      </w:r>
    </w:p>
    <w:p>
      <w:pPr>
        <w:spacing w:before="0" w:after="120"/>
      </w:pPr>
      <w:r>
        <w:rPr>
          <w:b/>
          <w:bCs/>
        </w:rPr>
        <w:t xml:space="preserve">Exterior Building Signage. </w:t>
      </w:r>
      <w:r>
        <w:t xml:space="preserve">Not permitted under this Lease.</w:t>
      </w:r>
    </w:p>
    <w:p>
      <w:pPr>
        <w:spacing w:before="0" w:after="120"/>
      </w:pPr>
      <w:r>
        <w:rPr>
          <w:b/>
          <w:bCs/>
        </w:rPr>
        <w:t xml:space="preserve">Removal. </w:t>
      </w:r>
      <w:r>
        <w:t xml:space="preserve">Tenant shall remove all signage at the Expiration Date and repair damage.</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Confirmation of Commencement Date</w:t>
      </w:r>
    </w:p>
    <w:p>
      <w:pPr>
        <w:spacing w:before="0" w:after="120"/>
      </w:pPr>
      <w:r>
        <w:t xml:space="preserve">Reference is made to that certain Life Sciences / Laboratory Lease dated April 9, 2026 (the "Lease") between Beehive Realty Trust, LLC, as Landlord, and Vellichor Therapeutics, Inc., as Tenant. Landlord and Tenant confirm: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500"/>
        <w:gridCol w:w="6000"/>
      </w:tblGrid>
      <w:tr>
        <w:tc>
          <w:tcPr>
            <w:tcW w:w="3500" w:type="dxa"/>
            <w:shd w:val="clear" w:color="auto" w:fill="E5E7EB"/>
          </w:tcPr>
          <w:p>
            <w:pPr>
              <w:spacing w:before="0" w:after="60"/>
            </w:pPr>
            <w:r>
              <w:rPr>
                <w:b/>
                <w:bCs/>
              </w:rPr>
              <w:t xml:space="preserve">Item</w:t>
            </w:r>
          </w:p>
        </w:tc>
        <w:tc>
          <w:tcPr>
            <w:tcW w:w="6000" w:type="dxa"/>
            <w:shd w:val="clear" w:color="auto" w:fill="E5E7EB"/>
          </w:tcPr>
          <w:p>
            <w:pPr>
              <w:spacing w:before="0" w:after="60"/>
            </w:pPr>
            <w:r>
              <w:rPr>
                <w:b/>
                <w:bCs/>
              </w:rPr>
              <w:t xml:space="preserve">Confirmed</w:t>
            </w:r>
          </w:p>
        </w:tc>
      </w:tr>
      <w:tr>
        <w:tc>
          <w:tcPr>
            <w:tcW w:w="3500" w:type="dxa"/>
          </w:tcPr>
          <w:p>
            <w:pPr>
              <w:spacing w:before="0" w:after="60"/>
            </w:pPr>
            <w:r>
              <w:t xml:space="preserve">Commencement Date</w:t>
            </w:r>
          </w:p>
        </w:tc>
        <w:tc>
          <w:tcPr>
            <w:tcW w:w="6000" w:type="dxa"/>
          </w:tcPr>
          <w:p>
            <w:pPr>
              <w:spacing w:before="0" w:after="60"/>
            </w:pPr>
            <w:r>
              <w:t xml:space="preserve">______________, 2026</w:t>
            </w:r>
          </w:p>
        </w:tc>
      </w:tr>
      <w:tr>
        <w:tc>
          <w:tcPr>
            <w:tcW w:w="3500" w:type="dxa"/>
          </w:tcPr>
          <w:p>
            <w:pPr>
              <w:spacing w:before="0" w:after="60"/>
            </w:pPr>
            <w:r>
              <w:t xml:space="preserve">Rent Commencement Date</w:t>
            </w:r>
          </w:p>
        </w:tc>
        <w:tc>
          <w:tcPr>
            <w:tcW w:w="6000" w:type="dxa"/>
          </w:tcPr>
          <w:p>
            <w:pPr>
              <w:spacing w:before="0" w:after="60"/>
            </w:pPr>
            <w:r>
              <w:t xml:space="preserve">November 1, 2026</w:t>
            </w:r>
          </w:p>
        </w:tc>
      </w:tr>
      <w:tr>
        <w:tc>
          <w:tcPr>
            <w:tcW w:w="3500" w:type="dxa"/>
          </w:tcPr>
          <w:p>
            <w:pPr>
              <w:spacing w:before="0" w:after="60"/>
            </w:pPr>
            <w:r>
              <w:t xml:space="preserve">Expiration Date</w:t>
            </w:r>
          </w:p>
        </w:tc>
        <w:tc>
          <w:tcPr>
            <w:tcW w:w="6000" w:type="dxa"/>
          </w:tcPr>
          <w:p>
            <w:pPr>
              <w:spacing w:before="0" w:after="60"/>
            </w:pPr>
            <w:r>
              <w:t xml:space="preserve">______________, 2036</w:t>
            </w:r>
          </w:p>
        </w:tc>
      </w:tr>
      <w:tr>
        <w:tc>
          <w:tcPr>
            <w:tcW w:w="3500" w:type="dxa"/>
          </w:tcPr>
          <w:p>
            <w:pPr>
              <w:spacing w:before="0" w:after="60"/>
            </w:pPr>
            <w:r>
              <w:t xml:space="preserve">Premises RSF</w:t>
            </w:r>
          </w:p>
        </w:tc>
        <w:tc>
          <w:tcPr>
            <w:tcW w:w="6000" w:type="dxa"/>
          </w:tcPr>
          <w:p>
            <w:pPr>
              <w:spacing w:before="0" w:after="60"/>
            </w:pPr>
            <w:r>
              <w:t xml:space="preserve">14,800</w:t>
            </w:r>
          </w:p>
        </w:tc>
      </w:tr>
      <w:tr>
        <w:tc>
          <w:tcPr>
            <w:tcW w:w="3500" w:type="dxa"/>
          </w:tcPr>
          <w:p>
            <w:pPr>
              <w:spacing w:before="0" w:after="60"/>
            </w:pPr>
            <w:r>
              <w:t xml:space="preserve">Reserved Lab-Exhaust Capacity</w:t>
            </w:r>
          </w:p>
        </w:tc>
        <w:tc>
          <w:tcPr>
            <w:tcW w:w="6000" w:type="dxa"/>
          </w:tcPr>
          <w:p>
            <w:pPr>
              <w:spacing w:before="0" w:after="60"/>
            </w:pPr>
            <w:r>
              <w:t xml:space="preserve">Sized for four (4) 6-ft fume hoods</w:t>
            </w:r>
          </w:p>
        </w:tc>
      </w:tr>
      <w:tr>
        <w:tc>
          <w:tcPr>
            <w:tcW w:w="3500" w:type="dxa"/>
          </w:tcPr>
          <w:p>
            <w:pPr>
              <w:spacing w:before="0" w:after="60"/>
            </w:pPr>
            <w:r>
              <w:t xml:space="preserve">Tenant Proportionate Share</w:t>
            </w:r>
          </w:p>
        </w:tc>
        <w:tc>
          <w:tcPr>
            <w:tcW w:w="6000" w:type="dxa"/>
          </w:tcPr>
          <w:p>
            <w:pPr>
              <w:spacing w:before="0" w:after="60"/>
            </w:pPr>
            <w:r>
              <w:t xml:space="preserve">9.74%</w:t>
            </w:r>
          </w:p>
        </w:tc>
      </w:tr>
      <w:tr>
        <w:tc>
          <w:tcPr>
            <w:tcW w:w="3500" w:type="dxa"/>
          </w:tcPr>
          <w:p>
            <w:pPr>
              <w:spacing w:before="0" w:after="60"/>
            </w:pPr>
            <w:r>
              <w:t xml:space="preserve">Landlord Delivery Complete</w:t>
            </w:r>
          </w:p>
        </w:tc>
        <w:tc>
          <w:tcPr>
            <w:tcW w:w="6000" w:type="dxa"/>
          </w:tcPr>
          <w:p>
            <w:pPr>
              <w:spacing w:before="0" w:after="60"/>
            </w:pPr>
            <w:r>
              <w:t xml:space="preserve">☐ Yes   ☐ Yes, subject to attached punch list   ☐ No</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Work Letter &amp; Tenant Improvement Allowance</w:t>
      </w:r>
    </w:p>
    <w:p>
      <w:pPr>
        <w:spacing w:before="0" w:after="120"/>
      </w:pPr>
      <w:r>
        <w:rPr>
          <w:b/>
          <w:bCs/>
        </w:rPr>
        <w:t xml:space="preserve">1.   Landlord Work / Landlord Lab Contribution. </w:t>
      </w:r>
      <w:r>
        <w:t xml:space="preserve">Landlord shall deliver the Premises in "lab-ready warm shell" condition: (a) demising walls drywall-finished and primed; (b) base-building HVAC distribution to the Premises sized for lab-grade air-change rates per Exhibit T, with separately controllable thermostats in Tenant's zones; (c) dedicated lab-exhaust riser capacity reserved for Tenant sized for four (4) 6-foot fume hoods, terminating at the perimeter of the Premises with stub-ins; (d) lab-air, lab-vacuum, and DI water stub-ins at the Premises perimeter; (e) central lab gas (CO2, N2) ports at the Premises perimeter; (f) 1,200-amp 277/480V three-phase service to a tenant electrical room, with a separate distribution panel for vivarium loads; (g) base-building plumbing risers stubbed for in-suite plumbing, including pretreatment-compliant lab waste lines; (h) base-building life-safety stub-outs; (i) freight-elevator access and freight-corridor route; (j) base-building emergency power per Section 4.4; and (k) a current Certificate of Occupancy covering the Building shell. The foregoing items (c) through (e) constitute the "Landlord Lab Contribution" and are not deducted from the TI Allowance.</w:t>
      </w:r>
    </w:p>
    <w:p>
      <w:pPr>
        <w:spacing w:before="0" w:after="120"/>
      </w:pPr>
      <w:r>
        <w:rPr>
          <w:b/>
          <w:bCs/>
        </w:rPr>
        <w:t xml:space="preserve">2.   Tenant's Work. </w:t>
      </w:r>
      <w:r>
        <w:t xml:space="preserve">Tenant's Work includes casework, fume hoods (delivery, installation, ducting connection to Landlord stub-ins, controls); BSCs; autoclave; glasswash; walk-in cold rooms and -80°C freezer hardpoints; vivarium fit-out (including dedicated HVAC interface, anteroom, cage wash, ventilated racks); supplemental in-suite HVAC for sensitive equipment; supplemental electrical; low-voltage cabling; lab finishes (epoxy or sealed floors, washable wall finishes); biohazard storage; FF&amp;E; signage; and security.</w:t>
      </w:r>
    </w:p>
    <w:p>
      <w:pPr>
        <w:spacing w:before="0" w:after="120"/>
      </w:pPr>
      <w:r>
        <w:rPr>
          <w:b/>
          <w:bCs/>
        </w:rPr>
        <w:t xml:space="preserve">3.   TI Allowance. </w:t>
      </w:r>
      <w:r>
        <w:t xml:space="preserve">Landlord shall provide a one-time TI Allowance of $125.00 per RSF ($1,850,000.00) payable to Tenant in arrears in up to four (4) draws against (a) paid invoices, (b) conditional lien waivers (unconditional for the final draw), (c) photographs of completed work, and (d) the General Contractor's sworn affidavit. The Allowance may be applied to permitting/architectural/MEP/biosafety-consultant soft costs up to twenty percent (20%) of the Allowance, and to qualifying equipment installation costs (cost of installation only, not the equipment itself) for fume hoods, BSCs, autoclave, walk-in cold rooms, and vivarium cage wash. Unused Allowance is forfeited eighteen (18) months after the Commencement Date.</w:t>
      </w:r>
    </w:p>
    <w:p>
      <w:pPr>
        <w:spacing w:before="0" w:after="120"/>
      </w:pPr>
      <w:r>
        <w:rPr>
          <w:b/>
          <w:bCs/>
        </w:rPr>
        <w:t xml:space="preserve">4.   Plans and Approvals. </w:t>
      </w:r>
      <w:r>
        <w:t xml:space="preserve">Tenant shall submit plans, specifications, biosafety risk assessment, vivarium design, and contractor list to Landlord for approval (not to be unreasonably withheld for matters consistent with this Lease and Exhibits R, S, and T). Landlord's review fee is waived.</w:t>
      </w:r>
    </w:p>
    <w:p>
      <w:pPr>
        <w:spacing w:before="0" w:after="120"/>
      </w:pPr>
      <w:r>
        <w:rPr>
          <w:b/>
          <w:bCs/>
        </w:rPr>
        <w:t xml:space="preserve">5.   Outside Date. </w:t>
      </w:r>
      <w:r>
        <w:t xml:space="preserve">Per Section 6.6.</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Form of Letter of Credit</w:t>
      </w:r>
    </w:p>
    <w:p>
      <w:pPr>
        <w:spacing w:before="0" w:after="120"/>
      </w:pPr>
      <w:r>
        <w:rPr>
          <w:b/>
          <w:bCs/>
        </w:rPr>
        <w:t xml:space="preserve">Issuer. </w:t>
      </w:r>
      <w:r>
        <w:t xml:space="preserve">A federally insured bank with a long-term unsecured credit rating of not less than A3/A- (Moody's/S&amp;P), with an office in Salt Lake County, Utah, or otherwise approved by Landlord.</w:t>
      </w:r>
    </w:p>
    <w:p>
      <w:pPr>
        <w:spacing w:before="0" w:after="120"/>
      </w:pPr>
      <w:r>
        <w:rPr>
          <w:b/>
          <w:bCs/>
        </w:rPr>
        <w:t xml:space="preserve">Form. </w:t>
      </w:r>
      <w:r>
        <w:t xml:space="preserve">Irrevocable standby letter of credit, automatically renewable through sixty (60) days after the Expiration Date with at least sixty (60) days' prior written notice of nonrenewal, transferable to a successor landlord (transfer fees paid by Tenant), and available by sight draft accompanied only by a written statement from Landlord that "an Event of Default has occurred and is continuing under the Lease, or the Letter of Credit has not been renewed or replaced as required by the Lease."</w:t>
      </w:r>
    </w:p>
    <w:p>
      <w:pPr>
        <w:spacing w:before="0" w:after="120"/>
      </w:pPr>
      <w:r>
        <w:rPr>
          <w:b/>
          <w:bCs/>
        </w:rPr>
        <w:t xml:space="preserve">Amount and Burn-Down. </w:t>
      </w:r>
      <w:r>
        <w:t xml:space="preserve">Initial amount: $420,000.00. Burn-down per Section 2.7.</w:t>
      </w:r>
    </w:p>
    <w:p>
      <w:pPr>
        <w:spacing w:before="0" w:after="120"/>
      </w:pPr>
      <w:r>
        <w:rPr>
          <w:b/>
          <w:bCs/>
        </w:rPr>
        <w:t xml:space="preserve">Draw Events. </w:t>
      </w:r>
      <w:r>
        <w:t xml:space="preserve">(a) an Event of Default; (b) nonrenewal or impairment within thirty (30) days of expiry without an acceptable replacement; (c) downgrade of the issuer below the minimum rating without replacement within thirty (30) days; or (d) a bankruptcy filing by Tenant or the issuer.</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w:t>
      </w:r>
    </w:p>
    <w:p>
      <w:pPr>
        <w:spacing w:before="0" w:after="120"/>
      </w:pPr>
      <w:r>
        <w:rPr>
          <w:b/>
          <w:bCs/>
        </w:rPr>
        <w:t xml:space="preserve">I.2   Mechanics' Liens. </w:t>
      </w:r>
      <w:r>
        <w:t xml:space="preserve">Liens released or bonded within thirty (30) days under Utah Code §38-1a et seq.; Landlord may post non-responsibility notices.</w:t>
      </w:r>
    </w:p>
    <w:p>
      <w:pPr>
        <w:spacing w:before="0" w:after="120"/>
      </w:pPr>
      <w:r>
        <w:rPr>
          <w:b/>
          <w:bCs/>
        </w:rPr>
        <w:t xml:space="preserve">I.3   Radiation. </w:t>
      </w:r>
      <w:r>
        <w:t xml:space="preserve">Tenant's use of any radioactive material or radiation-producing equipment requiring a license shall comply with the Utah Division of Waste Management and Radiation Control, including license, registered Radiation Safety Officer, surveys, and dosimetry. Tenant shall notify Landlord of any such license.</w:t>
      </w:r>
    </w:p>
    <w:p>
      <w:pPr>
        <w:spacing w:before="0" w:after="120"/>
      </w:pPr>
      <w:r>
        <w:rPr>
          <w:b/>
          <w:bCs/>
        </w:rPr>
        <w:t xml:space="preserve">I.4   Pretreatment / Discharge. </w:t>
      </w:r>
      <w:r>
        <w:t xml:space="preserve">Tenant shall comply with the Salt Lake County Pretreatment Program and Salt Lake City sewer-use ordinance, including required permits, sampling, and reporting.</w:t>
      </w:r>
    </w:p>
    <w:p>
      <w:pPr>
        <w:spacing w:before="0" w:after="120"/>
      </w:pPr>
      <w:r>
        <w:rPr>
          <w:b/>
          <w:bCs/>
        </w:rPr>
        <w:t xml:space="preserve">I.5   Stormwater. </w:t>
      </w:r>
      <w:r>
        <w:t xml:space="preserve">Tenant shall not discharge laboratory waste, biohazard, or chemicals to stormwater.</w:t>
      </w:r>
    </w:p>
    <w:p>
      <w:pPr>
        <w:spacing w:before="0" w:after="120"/>
      </w:pPr>
      <w:r>
        <w:rPr>
          <w:b/>
          <w:bCs/>
        </w:rPr>
        <w:t xml:space="preserve">I.6   Animal Welfare. </w:t>
      </w:r>
      <w:r>
        <w:t xml:space="preserve">Tenant's Vivarium operations shall comply with the federal Animal Welfare Act (9 CFR Parts 1, 2, and 3), the PHS Policy, the Guide for the Care and Use of Laboratory Animals, and applicable Utah Department of Agriculture and Food rules. AAALAC accreditation is encouraged.</w:t>
      </w:r>
    </w:p>
    <w:p>
      <w:pPr>
        <w:spacing w:before="0" w:after="120"/>
      </w:pPr>
      <w:r>
        <w:rPr>
          <w:b/>
          <w:bCs/>
        </w:rPr>
        <w:t xml:space="preserve">I.7   Controlled Substances. </w:t>
      </w:r>
      <w:r>
        <w:t xml:space="preserve">Tenant shall maintain DEA registration for any Schedule I–V controlled substances, with secure storage, recordkeeping, and 222-form discipline. Tenant shall notify Landlord of registration but is not required to disclose specific substance inventory.</w:t>
      </w:r>
    </w:p>
    <w:p>
      <w:pPr>
        <w:spacing w:before="0" w:after="120"/>
      </w:pPr>
      <w:r>
        <w:rPr>
          <w:b/>
          <w:bCs/>
        </w:rPr>
        <w:t xml:space="preserve">I.8   Broker Disclosure; ADA. </w:t>
      </w:r>
      <w:r>
        <w:t xml:space="preserve">Tenant Broker represents Tenant; Landlord Broker represents Landlord. Landlord is responsible for ADA compliance in common areas; Tenant is responsible within the Premises.</w:t>
      </w:r>
    </w:p>
    <w:p>
      <w:pPr>
        <w:spacing w:before="0" w:after="120"/>
      </w:pPr>
      <w:r>
        <w:rPr>
          <w:b/>
          <w:bCs/>
        </w:rPr>
        <w:t xml:space="preserve">I.9   Air Quality. </w:t>
      </w:r>
      <w:r>
        <w:t xml:space="preserve">Tenant's emissions through the lab-exhaust system shall comply with Utah Division of Air Quality requirements; Tenant shall coordinate with Landlord if a Permit-by-Rule, Approval Order, or other air permit is triggered.</w:t>
      </w:r>
    </w:p>
    <w:p>
      <w:r>
        <w:br w:type="page"/>
      </w:r>
    </w:p>
    <w:p>
      <w:pPr>
        <w:jc w:val="center"/>
        <w:spacing w:before="0" w:after="40"/>
      </w:pPr>
      <w:r>
        <w:rPr>
          <w:b/>
          <w:bCs/>
          <w:sz w:val="32"/>
          <w:szCs w:val="32"/>
        </w:rPr>
        <w:t xml:space="preserve">EXHIBIT K</w:t>
      </w:r>
    </w:p>
    <w:p>
      <w:pPr>
        <w:jc w:val="center"/>
        <w:spacing w:before="0" w:after="160"/>
      </w:pPr>
      <w:r>
        <w:rPr>
          <w:b/>
          <w:bCs/>
          <w:sz w:val="26"/>
          <w:szCs w:val="26"/>
        </w:rPr>
        <w:t xml:space="preserve">Environmental &amp; Chemical Hygiene Disclosure</w:t>
      </w:r>
    </w:p>
    <w:p>
      <w:pPr>
        <w:spacing w:before="0" w:after="120"/>
      </w:pPr>
      <w:r>
        <w:t xml:space="preserve">Tenant has completed the following initial disclosure and shall update annually and within thirty (30) days of any material change.</w:t>
      </w:r>
    </w:p>
    <w:p>
      <w:pPr>
        <w:spacing w:before="0" w:after="120"/>
      </w:pPr>
      <w:r>
        <w:rPr>
          <w:b/>
          <w:bCs/>
        </w:rPr>
        <w:t xml:space="preserve">Regulatory Status.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500"/>
        <w:gridCol w:w="5000"/>
      </w:tblGrid>
      <w:tr>
        <w:tc>
          <w:tcPr>
            <w:tcW w:w="4500" w:type="dxa"/>
            <w:shd w:val="clear" w:color="auto" w:fill="E5E7EB"/>
          </w:tcPr>
          <w:p>
            <w:pPr>
              <w:spacing w:before="0" w:after="60"/>
            </w:pPr>
            <w:r>
              <w:rPr>
                <w:b/>
                <w:bCs/>
              </w:rPr>
              <w:t xml:space="preserve">Program</w:t>
            </w:r>
          </w:p>
        </w:tc>
        <w:tc>
          <w:tcPr>
            <w:tcW w:w="5000" w:type="dxa"/>
            <w:shd w:val="clear" w:color="auto" w:fill="E5E7EB"/>
          </w:tcPr>
          <w:p>
            <w:pPr>
              <w:spacing w:before="0" w:after="60"/>
            </w:pPr>
            <w:r>
              <w:rPr>
                <w:b/>
                <w:bCs/>
              </w:rPr>
              <w:t xml:space="preserve">Tenant Status</w:t>
            </w:r>
          </w:p>
        </w:tc>
      </w:tr>
      <w:tr>
        <w:tc>
          <w:tcPr>
            <w:tcW w:w="4500" w:type="dxa"/>
          </w:tcPr>
          <w:p>
            <w:pPr>
              <w:spacing w:before="0" w:after="60"/>
            </w:pPr>
            <w:r>
              <w:t xml:space="preserve">EPA Hazardous Waste Generator ID</w:t>
            </w:r>
          </w:p>
        </w:tc>
        <w:tc>
          <w:tcPr>
            <w:tcW w:w="5000" w:type="dxa"/>
          </w:tcPr>
          <w:p>
            <w:pPr>
              <w:spacing w:before="0" w:after="60"/>
            </w:pPr>
            <w:r>
              <w:t xml:space="preserve">SQG (anticipated); UT EPA ID to be issued prior to Commencement Date.</w:t>
            </w:r>
          </w:p>
        </w:tc>
      </w:tr>
      <w:tr>
        <w:tc>
          <w:tcPr>
            <w:tcW w:w="4500" w:type="dxa"/>
          </w:tcPr>
          <w:p>
            <w:pPr>
              <w:spacing w:before="0" w:after="60"/>
            </w:pPr>
            <w:r>
              <w:t xml:space="preserve">SARA Title III §312 Tier II reporting</w:t>
            </w:r>
          </w:p>
        </w:tc>
        <w:tc>
          <w:tcPr>
            <w:tcW w:w="5000" w:type="dxa"/>
          </w:tcPr>
          <w:p>
            <w:pPr>
              <w:spacing w:before="0" w:after="60"/>
            </w:pPr>
            <w:r>
              <w:t xml:space="preserve">Anticipated for flammables/cryogens above thresholds.</w:t>
            </w:r>
          </w:p>
        </w:tc>
      </w:tr>
      <w:tr>
        <w:tc>
          <w:tcPr>
            <w:tcW w:w="4500" w:type="dxa"/>
          </w:tcPr>
          <w:p>
            <w:pPr>
              <w:spacing w:before="0" w:after="60"/>
            </w:pPr>
            <w:r>
              <w:t xml:space="preserve">Salt Lake County Pretreatment Permit</w:t>
            </w:r>
          </w:p>
        </w:tc>
        <w:tc>
          <w:tcPr>
            <w:tcW w:w="5000" w:type="dxa"/>
          </w:tcPr>
          <w:p>
            <w:pPr>
              <w:spacing w:before="0" w:after="60"/>
            </w:pPr>
            <w:r>
              <w:t xml:space="preserve">To be applied for prior to Commencement Date.</w:t>
            </w:r>
          </w:p>
        </w:tc>
      </w:tr>
      <w:tr>
        <w:tc>
          <w:tcPr>
            <w:tcW w:w="4500" w:type="dxa"/>
          </w:tcPr>
          <w:p>
            <w:pPr>
              <w:spacing w:before="0" w:after="60"/>
            </w:pPr>
            <w:r>
              <w:t xml:space="preserve">UPDES Stormwater (industrial)</w:t>
            </w:r>
          </w:p>
        </w:tc>
        <w:tc>
          <w:tcPr>
            <w:tcW w:w="5000" w:type="dxa"/>
          </w:tcPr>
          <w:p>
            <w:pPr>
              <w:spacing w:before="0" w:after="60"/>
            </w:pPr>
            <w:r>
              <w:t xml:space="preserve">Not anticipated for indoor-only lab operations.</w:t>
            </w:r>
          </w:p>
        </w:tc>
      </w:tr>
      <w:tr>
        <w:tc>
          <w:tcPr>
            <w:tcW w:w="4500" w:type="dxa"/>
          </w:tcPr>
          <w:p>
            <w:pPr>
              <w:spacing w:before="0" w:after="60"/>
            </w:pPr>
            <w:r>
              <w:t xml:space="preserve">NIH Guidelines (rDNA)</w:t>
            </w:r>
          </w:p>
        </w:tc>
        <w:tc>
          <w:tcPr>
            <w:tcW w:w="5000" w:type="dxa"/>
          </w:tcPr>
          <w:p>
            <w:pPr>
              <w:spacing w:before="0" w:after="60"/>
            </w:pPr>
            <w:r>
              <w:t xml:space="preserve">Yes — Tenant shall register an Institutional Biosafety Committee (IBC) and operate under it.</w:t>
            </w:r>
          </w:p>
        </w:tc>
      </w:tr>
      <w:tr>
        <w:tc>
          <w:tcPr>
            <w:tcW w:w="4500" w:type="dxa"/>
          </w:tcPr>
          <w:p>
            <w:pPr>
              <w:spacing w:before="0" w:after="60"/>
            </w:pPr>
            <w:r>
              <w:t xml:space="preserve">IACUC</w:t>
            </w:r>
          </w:p>
        </w:tc>
        <w:tc>
          <w:tcPr>
            <w:tcW w:w="5000" w:type="dxa"/>
          </w:tcPr>
          <w:p>
            <w:pPr>
              <w:spacing w:before="0" w:after="60"/>
            </w:pPr>
            <w:r>
              <w:t xml:space="preserve">Yes — Tenant shall maintain an Institutional Animal Care and Use Committee for the Vivarium.</w:t>
            </w:r>
          </w:p>
        </w:tc>
      </w:tr>
      <w:tr>
        <w:tc>
          <w:tcPr>
            <w:tcW w:w="4500" w:type="dxa"/>
          </w:tcPr>
          <w:p>
            <w:pPr>
              <w:spacing w:before="0" w:after="60"/>
            </w:pPr>
            <w:r>
              <w:t xml:space="preserve">AAALAC</w:t>
            </w:r>
          </w:p>
        </w:tc>
        <w:tc>
          <w:tcPr>
            <w:tcW w:w="5000" w:type="dxa"/>
          </w:tcPr>
          <w:p>
            <w:pPr>
              <w:spacing w:before="0" w:after="60"/>
            </w:pPr>
            <w:r>
              <w:t xml:space="preserve">Initial target accreditation within 36 months of Commencement Date.</w:t>
            </w:r>
          </w:p>
        </w:tc>
      </w:tr>
      <w:tr>
        <w:tc>
          <w:tcPr>
            <w:tcW w:w="4500" w:type="dxa"/>
          </w:tcPr>
          <w:p>
            <w:pPr>
              <w:spacing w:before="0" w:after="60"/>
            </w:pPr>
            <w:r>
              <w:t xml:space="preserve">DEA Registration</w:t>
            </w:r>
          </w:p>
        </w:tc>
        <w:tc>
          <w:tcPr>
            <w:tcW w:w="5000" w:type="dxa"/>
          </w:tcPr>
          <w:p>
            <w:pPr>
              <w:spacing w:before="0" w:after="60"/>
            </w:pPr>
            <w:r>
              <w:t xml:space="preserve">Yes if Schedule II–V used; secure storage planned.</w:t>
            </w:r>
          </w:p>
        </w:tc>
      </w:tr>
      <w:tr>
        <w:tc>
          <w:tcPr>
            <w:tcW w:w="4500" w:type="dxa"/>
          </w:tcPr>
          <w:p>
            <w:pPr>
              <w:spacing w:before="0" w:after="60"/>
            </w:pPr>
            <w:r>
              <w:t xml:space="preserve">USDA Animal Welfare Registration</w:t>
            </w:r>
          </w:p>
        </w:tc>
        <w:tc>
          <w:tcPr>
            <w:tcW w:w="5000" w:type="dxa"/>
          </w:tcPr>
          <w:p>
            <w:pPr>
              <w:spacing w:before="0" w:after="60"/>
            </w:pPr>
            <w:r>
              <w:t xml:space="preserve">Not anticipated for rodent-only Vivarium (USDA AWA does not cover laboratory rats and mice).</w:t>
            </w:r>
          </w:p>
        </w:tc>
      </w:tr>
      <w:tr>
        <w:tc>
          <w:tcPr>
            <w:tcW w:w="4500" w:type="dxa"/>
          </w:tcPr>
          <w:p>
            <w:pPr>
              <w:spacing w:before="0" w:after="60"/>
            </w:pPr>
            <w:r>
              <w:t xml:space="preserve">Utah Radiation Control</w:t>
            </w:r>
          </w:p>
        </w:tc>
        <w:tc>
          <w:tcPr>
            <w:tcW w:w="5000" w:type="dxa"/>
          </w:tcPr>
          <w:p>
            <w:pPr>
              <w:spacing w:before="0" w:after="60"/>
            </w:pPr>
            <w:r>
              <w:t xml:space="preserve">To be evaluated based on equipment selection.</w:t>
            </w:r>
          </w:p>
        </w:tc>
      </w:tr>
      <w:tr>
        <w:tc>
          <w:tcPr>
            <w:tcW w:w="4500" w:type="dxa"/>
          </w:tcPr>
          <w:p>
            <w:pPr>
              <w:spacing w:before="0" w:after="60"/>
            </w:pPr>
            <w:r>
              <w:t xml:space="preserve">FDA</w:t>
            </w:r>
          </w:p>
        </w:tc>
        <w:tc>
          <w:tcPr>
            <w:tcW w:w="5000" w:type="dxa"/>
          </w:tcPr>
          <w:p>
            <w:pPr>
              <w:spacing w:before="0" w:after="60"/>
            </w:pPr>
            <w:r>
              <w:t xml:space="preserve">Pre-IND interactions only at the Premises; no GMP manufacturing.</w:t>
            </w:r>
          </w:p>
        </w:tc>
      </w:tr>
    </w:tbl>
    <w:p>
      <w:pPr>
        <w:spacing w:before="0" w:after="80"/>
      </w:pPr>
    </w:p>
    <w:p>
      <w:pPr>
        <w:spacing w:before="0" w:after="120"/>
      </w:pPr>
      <w:r>
        <w:rPr>
          <w:b/>
          <w:bCs/>
        </w:rPr>
        <w:t xml:space="preserve">Materials Inventory (initial estimates).</w:t>
      </w:r>
    </w:p>
    <w:tbl>
      <w:tblPr>
        <w:tblW w:w="100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2200"/>
        <w:gridCol w:w="2700"/>
        <w:gridCol w:w="2400"/>
      </w:tblGrid>
      <w:tr>
        <w:tc>
          <w:tcPr>
            <w:tcW w:w="2700" w:type="dxa"/>
            <w:shd w:val="clear" w:color="auto" w:fill="E5E7EB"/>
          </w:tcPr>
          <w:p>
            <w:pPr>
              <w:spacing w:before="0" w:after="60"/>
            </w:pPr>
            <w:r>
              <w:rPr>
                <w:b/>
                <w:bCs/>
              </w:rPr>
              <w:t xml:space="preserve">Material</w:t>
            </w:r>
          </w:p>
        </w:tc>
        <w:tc>
          <w:tcPr>
            <w:tcW w:w="2200" w:type="dxa"/>
            <w:shd w:val="clear" w:color="auto" w:fill="E5E7EB"/>
          </w:tcPr>
          <w:p>
            <w:pPr>
              <w:spacing w:before="0" w:after="60"/>
            </w:pPr>
            <w:r>
              <w:rPr>
                <w:b/>
                <w:bCs/>
              </w:rPr>
              <w:t xml:space="preserve">Approx. Annual / Maximum on Site</w:t>
            </w:r>
          </w:p>
        </w:tc>
        <w:tc>
          <w:tcPr>
            <w:tcW w:w="2700" w:type="dxa"/>
            <w:shd w:val="clear" w:color="auto" w:fill="E5E7EB"/>
          </w:tcPr>
          <w:p>
            <w:pPr>
              <w:spacing w:before="0" w:after="60"/>
            </w:pPr>
            <w:r>
              <w:rPr>
                <w:b/>
                <w:bCs/>
              </w:rPr>
              <w:t xml:space="preserve">Storage</w:t>
            </w:r>
          </w:p>
        </w:tc>
        <w:tc>
          <w:tcPr>
            <w:tcW w:w="2400" w:type="dxa"/>
            <w:shd w:val="clear" w:color="auto" w:fill="E5E7EB"/>
          </w:tcPr>
          <w:p>
            <w:pPr>
              <w:spacing w:before="0" w:after="60"/>
            </w:pPr>
            <w:r>
              <w:rPr>
                <w:b/>
                <w:bCs/>
              </w:rPr>
              <w:t xml:space="preserve">Compliance / Permits</w:t>
            </w:r>
          </w:p>
        </w:tc>
      </w:tr>
      <w:tr>
        <w:tc>
          <w:tcPr>
            <w:tcW w:w="2700" w:type="dxa"/>
          </w:tcPr>
          <w:p>
            <w:pPr>
              <w:spacing w:before="0" w:after="60"/>
            </w:pPr>
            <w:r>
              <w:t xml:space="preserve">Aqueous reagents and buffers</w:t>
            </w:r>
          </w:p>
        </w:tc>
        <w:tc>
          <w:tcPr>
            <w:tcW w:w="2200" w:type="dxa"/>
          </w:tcPr>
          <w:p>
            <w:pPr>
              <w:spacing w:before="0" w:after="60"/>
            </w:pPr>
            <w:r>
              <w:t xml:space="preserve">As needed</w:t>
            </w:r>
          </w:p>
        </w:tc>
        <w:tc>
          <w:tcPr>
            <w:tcW w:w="2700" w:type="dxa"/>
          </w:tcPr>
          <w:p>
            <w:pPr>
              <w:spacing w:before="0" w:after="60"/>
            </w:pPr>
            <w:r>
              <w:t xml:space="preserve">Bench stock, cabinets</w:t>
            </w:r>
          </w:p>
        </w:tc>
        <w:tc>
          <w:tcPr>
            <w:tcW w:w="2400" w:type="dxa"/>
          </w:tcPr>
          <w:p>
            <w:pPr>
              <w:spacing w:before="0" w:after="60"/>
            </w:pPr>
            <w:r>
              <w:t xml:space="preserve">SDS; HazCom</w:t>
            </w:r>
          </w:p>
        </w:tc>
      </w:tr>
      <w:tr>
        <w:tc>
          <w:tcPr>
            <w:tcW w:w="2700" w:type="dxa"/>
          </w:tcPr>
          <w:p>
            <w:pPr>
              <w:spacing w:before="0" w:after="60"/>
            </w:pPr>
            <w:r>
              <w:t xml:space="preserve">Flammable solvents</w:t>
            </w:r>
          </w:p>
        </w:tc>
        <w:tc>
          <w:tcPr>
            <w:tcW w:w="2200" w:type="dxa"/>
          </w:tcPr>
          <w:p>
            <w:pPr>
              <w:spacing w:before="0" w:after="60"/>
            </w:pPr>
            <w:r>
              <w:t xml:space="preserve">&lt; 60 gal aggregate</w:t>
            </w:r>
          </w:p>
        </w:tc>
        <w:tc>
          <w:tcPr>
            <w:tcW w:w="2700" w:type="dxa"/>
          </w:tcPr>
          <w:p>
            <w:pPr>
              <w:spacing w:before="0" w:after="60"/>
            </w:pPr>
            <w:r>
              <w:t xml:space="preserve">FM-approved flammable cabinets</w:t>
            </w:r>
          </w:p>
        </w:tc>
        <w:tc>
          <w:tcPr>
            <w:tcW w:w="2400" w:type="dxa"/>
          </w:tcPr>
          <w:p>
            <w:pPr>
              <w:spacing w:before="0" w:after="60"/>
            </w:pPr>
            <w:r>
              <w:t xml:space="preserve">Fire code; HazCom; Tier II</w:t>
            </w:r>
          </w:p>
        </w:tc>
      </w:tr>
      <w:tr>
        <w:tc>
          <w:tcPr>
            <w:tcW w:w="2700" w:type="dxa"/>
          </w:tcPr>
          <w:p>
            <w:pPr>
              <w:spacing w:before="0" w:after="60"/>
            </w:pPr>
            <w:r>
              <w:t xml:space="preserve">Acids (corrosive)</w:t>
            </w:r>
          </w:p>
        </w:tc>
        <w:tc>
          <w:tcPr>
            <w:tcW w:w="2200" w:type="dxa"/>
          </w:tcPr>
          <w:p>
            <w:pPr>
              <w:spacing w:before="0" w:after="60"/>
            </w:pPr>
            <w:r>
              <w:t xml:space="preserve">&lt; 20 gal aggregate</w:t>
            </w:r>
          </w:p>
        </w:tc>
        <w:tc>
          <w:tcPr>
            <w:tcW w:w="2700" w:type="dxa"/>
          </w:tcPr>
          <w:p>
            <w:pPr>
              <w:spacing w:before="0" w:after="60"/>
            </w:pPr>
            <w:r>
              <w:t xml:space="preserve">Corrosive cabinets</w:t>
            </w:r>
          </w:p>
        </w:tc>
        <w:tc>
          <w:tcPr>
            <w:tcW w:w="2400" w:type="dxa"/>
          </w:tcPr>
          <w:p>
            <w:pPr>
              <w:spacing w:before="0" w:after="60"/>
            </w:pPr>
            <w:r>
              <w:t xml:space="preserve">Fire code; HazCom</w:t>
            </w:r>
          </w:p>
        </w:tc>
      </w:tr>
      <w:tr>
        <w:tc>
          <w:tcPr>
            <w:tcW w:w="2700" w:type="dxa"/>
          </w:tcPr>
          <w:p>
            <w:pPr>
              <w:spacing w:before="0" w:after="60"/>
            </w:pPr>
            <w:r>
              <w:t xml:space="preserve">Bases (corrosive)</w:t>
            </w:r>
          </w:p>
        </w:tc>
        <w:tc>
          <w:tcPr>
            <w:tcW w:w="2200" w:type="dxa"/>
          </w:tcPr>
          <w:p>
            <w:pPr>
              <w:spacing w:before="0" w:after="60"/>
            </w:pPr>
            <w:r>
              <w:t xml:space="preserve">&lt; 20 gal aggregate</w:t>
            </w:r>
          </w:p>
        </w:tc>
        <w:tc>
          <w:tcPr>
            <w:tcW w:w="2700" w:type="dxa"/>
          </w:tcPr>
          <w:p>
            <w:pPr>
              <w:spacing w:before="0" w:after="60"/>
            </w:pPr>
            <w:r>
              <w:t xml:space="preserve">Corrosive cabinets</w:t>
            </w:r>
          </w:p>
        </w:tc>
        <w:tc>
          <w:tcPr>
            <w:tcW w:w="2400" w:type="dxa"/>
          </w:tcPr>
          <w:p>
            <w:pPr>
              <w:spacing w:before="0" w:after="60"/>
            </w:pPr>
            <w:r>
              <w:t xml:space="preserve">Fire code; HazCom</w:t>
            </w:r>
          </w:p>
        </w:tc>
      </w:tr>
      <w:tr>
        <w:tc>
          <w:tcPr>
            <w:tcW w:w="2700" w:type="dxa"/>
          </w:tcPr>
          <w:p>
            <w:pPr>
              <w:spacing w:before="0" w:after="60"/>
            </w:pPr>
            <w:r>
              <w:t xml:space="preserve">Peroxide-forming chemicals</w:t>
            </w:r>
          </w:p>
        </w:tc>
        <w:tc>
          <w:tcPr>
            <w:tcW w:w="2200" w:type="dxa"/>
          </w:tcPr>
          <w:p>
            <w:pPr>
              <w:spacing w:before="0" w:after="60"/>
            </w:pPr>
            <w:r>
              <w:t xml:space="preserve">&lt; 5 gal aggregate, tracked</w:t>
            </w:r>
          </w:p>
        </w:tc>
        <w:tc>
          <w:tcPr>
            <w:tcW w:w="2700" w:type="dxa"/>
          </w:tcPr>
          <w:p>
            <w:pPr>
              <w:spacing w:before="0" w:after="60"/>
            </w:pPr>
            <w:r>
              <w:t xml:space="preserve">Date-of-receipt tracked</w:t>
            </w:r>
          </w:p>
        </w:tc>
        <w:tc>
          <w:tcPr>
            <w:tcW w:w="2400" w:type="dxa"/>
          </w:tcPr>
          <w:p>
            <w:pPr>
              <w:spacing w:before="0" w:after="60"/>
            </w:pPr>
            <w:r>
              <w:t xml:space="preserve">Chemical Hygiene Plan</w:t>
            </w:r>
          </w:p>
        </w:tc>
      </w:tr>
      <w:tr>
        <w:tc>
          <w:tcPr>
            <w:tcW w:w="2700" w:type="dxa"/>
          </w:tcPr>
          <w:p>
            <w:pPr>
              <w:spacing w:before="0" w:after="60"/>
            </w:pPr>
            <w:r>
              <w:t xml:space="preserve">Cryogens (liquid N2)</w:t>
            </w:r>
          </w:p>
        </w:tc>
        <w:tc>
          <w:tcPr>
            <w:tcW w:w="2200" w:type="dxa"/>
          </w:tcPr>
          <w:p>
            <w:pPr>
              <w:spacing w:before="0" w:after="60"/>
            </w:pPr>
            <w:r>
              <w:t xml:space="preserve">100–200 L Dewars</w:t>
            </w:r>
          </w:p>
        </w:tc>
        <w:tc>
          <w:tcPr>
            <w:tcW w:w="2700" w:type="dxa"/>
          </w:tcPr>
          <w:p>
            <w:pPr>
              <w:spacing w:before="0" w:after="60"/>
            </w:pPr>
            <w:r>
              <w:t xml:space="preserve">Vented storage; oxygen deficiency monitor in confined spaces</w:t>
            </w:r>
          </w:p>
        </w:tc>
        <w:tc>
          <w:tcPr>
            <w:tcW w:w="2400" w:type="dxa"/>
          </w:tcPr>
          <w:p>
            <w:pPr>
              <w:spacing w:before="0" w:after="60"/>
            </w:pPr>
            <w:r>
              <w:t xml:space="preserve">NFPA 55; HazCom</w:t>
            </w:r>
          </w:p>
        </w:tc>
      </w:tr>
      <w:tr>
        <w:tc>
          <w:tcPr>
            <w:tcW w:w="2700" w:type="dxa"/>
          </w:tcPr>
          <w:p>
            <w:pPr>
              <w:spacing w:before="0" w:after="60"/>
            </w:pPr>
            <w:r>
              <w:t xml:space="preserve">CO2, N2, O2, Argon, He cylinders</w:t>
            </w:r>
          </w:p>
        </w:tc>
        <w:tc>
          <w:tcPr>
            <w:tcW w:w="2200" w:type="dxa"/>
          </w:tcPr>
          <w:p>
            <w:pPr>
              <w:spacing w:before="0" w:after="60"/>
            </w:pPr>
            <w:r>
              <w:t xml:space="preserve">As needed</w:t>
            </w:r>
          </w:p>
        </w:tc>
        <w:tc>
          <w:tcPr>
            <w:tcW w:w="2700" w:type="dxa"/>
          </w:tcPr>
          <w:p>
            <w:pPr>
              <w:spacing w:before="0" w:after="60"/>
            </w:pPr>
            <w:r>
              <w:t xml:space="preserve">Chained, vented gas cabinet</w:t>
            </w:r>
          </w:p>
        </w:tc>
        <w:tc>
          <w:tcPr>
            <w:tcW w:w="2400" w:type="dxa"/>
          </w:tcPr>
          <w:p>
            <w:pPr>
              <w:spacing w:before="0" w:after="60"/>
            </w:pPr>
            <w:r>
              <w:t xml:space="preserve">NFPA 55; Tier II as triggered</w:t>
            </w:r>
          </w:p>
        </w:tc>
      </w:tr>
      <w:tr>
        <w:tc>
          <w:tcPr>
            <w:tcW w:w="2700" w:type="dxa"/>
          </w:tcPr>
          <w:p>
            <w:pPr>
              <w:spacing w:before="0" w:after="60"/>
            </w:pPr>
            <w:r>
              <w:t xml:space="preserve">BSL-2 biological agents</w:t>
            </w:r>
          </w:p>
        </w:tc>
        <w:tc>
          <w:tcPr>
            <w:tcW w:w="2200" w:type="dxa"/>
          </w:tcPr>
          <w:p>
            <w:pPr>
              <w:spacing w:before="0" w:after="60"/>
            </w:pPr>
            <w:r>
              <w:t xml:space="preserve">Per Exhibit R inventory</w:t>
            </w:r>
          </w:p>
        </w:tc>
        <w:tc>
          <w:tcPr>
            <w:tcW w:w="2700" w:type="dxa"/>
          </w:tcPr>
          <w:p>
            <w:pPr>
              <w:spacing w:before="0" w:after="60"/>
            </w:pPr>
            <w:r>
              <w:t xml:space="preserve">BSCs, cold storage, locked freezers</w:t>
            </w:r>
          </w:p>
        </w:tc>
        <w:tc>
          <w:tcPr>
            <w:tcW w:w="2400" w:type="dxa"/>
          </w:tcPr>
          <w:p>
            <w:pPr>
              <w:spacing w:before="0" w:after="60"/>
            </w:pPr>
            <w:r>
              <w:t xml:space="preserve">NIH Guidelines; IBC</w:t>
            </w:r>
          </w:p>
        </w:tc>
      </w:tr>
      <w:tr>
        <w:tc>
          <w:tcPr>
            <w:tcW w:w="2700" w:type="dxa"/>
          </w:tcPr>
          <w:p>
            <w:pPr>
              <w:spacing w:before="0" w:after="60"/>
            </w:pPr>
            <w:r>
              <w:t xml:space="preserve">Recombinant DNA constructs</w:t>
            </w:r>
          </w:p>
        </w:tc>
        <w:tc>
          <w:tcPr>
            <w:tcW w:w="2200" w:type="dxa"/>
          </w:tcPr>
          <w:p>
            <w:pPr>
              <w:spacing w:before="0" w:after="60"/>
            </w:pPr>
            <w:r>
              <w:t xml:space="preserve">As needed</w:t>
            </w:r>
          </w:p>
        </w:tc>
        <w:tc>
          <w:tcPr>
            <w:tcW w:w="2700" w:type="dxa"/>
          </w:tcPr>
          <w:p>
            <w:pPr>
              <w:spacing w:before="0" w:after="60"/>
            </w:pPr>
            <w:r>
              <w:t xml:space="preserve">Locked freezers</w:t>
            </w:r>
          </w:p>
        </w:tc>
        <w:tc>
          <w:tcPr>
            <w:tcW w:w="2400" w:type="dxa"/>
          </w:tcPr>
          <w:p>
            <w:pPr>
              <w:spacing w:before="0" w:after="60"/>
            </w:pPr>
            <w:r>
              <w:t xml:space="preserve">NIH Guidelines; IBC</w:t>
            </w:r>
          </w:p>
        </w:tc>
      </w:tr>
      <w:tr>
        <w:tc>
          <w:tcPr>
            <w:tcW w:w="2700" w:type="dxa"/>
          </w:tcPr>
          <w:p>
            <w:pPr>
              <w:spacing w:before="0" w:after="60"/>
            </w:pPr>
            <w:r>
              <w:t xml:space="preserve">Animal carcass waste (Vivarium)</w:t>
            </w:r>
          </w:p>
        </w:tc>
        <w:tc>
          <w:tcPr>
            <w:tcW w:w="2200" w:type="dxa"/>
          </w:tcPr>
          <w:p>
            <w:pPr>
              <w:spacing w:before="0" w:after="60"/>
            </w:pPr>
            <w:r>
              <w:t xml:space="preserve">As generated</w:t>
            </w:r>
          </w:p>
        </w:tc>
        <w:tc>
          <w:tcPr>
            <w:tcW w:w="2700" w:type="dxa"/>
          </w:tcPr>
          <w:p>
            <w:pPr>
              <w:spacing w:before="0" w:after="60"/>
            </w:pPr>
            <w:r>
              <w:t xml:space="preserve">Cold storage pending pickup</w:t>
            </w:r>
          </w:p>
        </w:tc>
        <w:tc>
          <w:tcPr>
            <w:tcW w:w="2400" w:type="dxa"/>
          </w:tcPr>
          <w:p>
            <w:pPr>
              <w:spacing w:before="0" w:after="60"/>
            </w:pPr>
            <w:r>
              <w:t xml:space="preserve">Exhibit S; medical-waste hauler</w:t>
            </w:r>
          </w:p>
        </w:tc>
      </w:tr>
      <w:tr>
        <w:tc>
          <w:tcPr>
            <w:tcW w:w="2700" w:type="dxa"/>
          </w:tcPr>
          <w:p>
            <w:pPr>
              <w:spacing w:before="0" w:after="60"/>
            </w:pPr>
            <w:r>
              <w:t xml:space="preserve">Sharps, biohazard, chemical waste</w:t>
            </w:r>
          </w:p>
        </w:tc>
        <w:tc>
          <w:tcPr>
            <w:tcW w:w="2200" w:type="dxa"/>
          </w:tcPr>
          <w:p>
            <w:pPr>
              <w:spacing w:before="0" w:after="60"/>
            </w:pPr>
            <w:r>
              <w:t xml:space="preserve">As generated</w:t>
            </w:r>
          </w:p>
        </w:tc>
        <w:tc>
          <w:tcPr>
            <w:tcW w:w="2700" w:type="dxa"/>
          </w:tcPr>
          <w:p>
            <w:pPr>
              <w:spacing w:before="0" w:after="60"/>
            </w:pPr>
            <w:r>
              <w:t xml:space="preserve">Labeled containers; Building Holding Room</w:t>
            </w:r>
          </w:p>
        </w:tc>
        <w:tc>
          <w:tcPr>
            <w:tcW w:w="2400" w:type="dxa"/>
          </w:tcPr>
          <w:p>
            <w:pPr>
              <w:spacing w:before="0" w:after="60"/>
            </w:pPr>
            <w:r>
              <w:t xml:space="preserve">EPA/UT hazardous waste; SLC County</w:t>
            </w:r>
          </w:p>
        </w:tc>
      </w:tr>
    </w:tbl>
    <w:p>
      <w:pPr>
        <w:spacing w:before="0" w:after="80"/>
      </w:pPr>
    </w:p>
    <w:p>
      <w:pPr>
        <w:spacing w:before="0" w:after="120"/>
      </w:pPr>
      <w:r>
        <w:rPr>
          <w:b/>
          <w:bCs/>
        </w:rPr>
        <w:t xml:space="preserve">Acknowledgment. </w:t>
      </w:r>
      <w:r>
        <w:t xml:space="preserve">Tenant represents that, giving effect to the controls described above and in Exhibits R and S, its operations as of the Effective Date will be conducted in compliance with applicable Environmental and biosafety Laws.</w:t>
      </w:r>
    </w:p>
    <w:p>
      <w:r>
        <w:br w:type="page"/>
      </w:r>
    </w:p>
    <w:p>
      <w:pPr>
        <w:jc w:val="center"/>
        <w:spacing w:before="0" w:after="40"/>
      </w:pPr>
      <w:r>
        <w:rPr>
          <w:b/>
          <w:bCs/>
          <w:sz w:val="32"/>
          <w:szCs w:val="32"/>
        </w:rPr>
        <w:t xml:space="preserve">EXHIBIT R</w:t>
      </w:r>
    </w:p>
    <w:p>
      <w:pPr>
        <w:jc w:val="center"/>
        <w:spacing w:before="0" w:after="160"/>
      </w:pPr>
      <w:r>
        <w:rPr>
          <w:b/>
          <w:bCs/>
          <w:sz w:val="26"/>
          <w:szCs w:val="26"/>
        </w:rPr>
        <w:t xml:space="preserve">Laboratory Operations, BSL-2 &amp; Biosafety</w:t>
      </w:r>
    </w:p>
    <w:p>
      <w:pPr>
        <w:spacing w:before="0" w:after="120"/>
      </w:pPr>
      <w:r>
        <w:rPr>
          <w:b/>
          <w:bCs/>
        </w:rPr>
        <w:t xml:space="preserve">R.1   Operating Standard. </w:t>
      </w:r>
      <w:r>
        <w:t xml:space="preserve">Tenant's laboratory operations shall comply with (a) the OSHA Laboratory Standard (29 CFR 1910.1450); (b) the OSHA Bloodborne Pathogen Standard (29 CFR 1910.1030); (c) the OSHA Hazard Communication Standard (29 CFR 1910.1200); (d) the CDC/NIH Biosafety in Microbiological and Biomedical Laboratories (BMBL); and (e) the NIH Guidelines for Research Involving Recombinant or Synthetic Nucleic Acid Molecules.</w:t>
      </w:r>
    </w:p>
    <w:p>
      <w:pPr>
        <w:spacing w:before="0" w:after="120"/>
      </w:pPr>
      <w:r>
        <w:rPr>
          <w:b/>
          <w:bCs/>
        </w:rPr>
        <w:t xml:space="preserve">R.2   IBC. </w:t>
      </w:r>
      <w:r>
        <w:t xml:space="preserve">Tenant shall register and maintain an Institutional Biosafety Committee in compliance with NIH Guidelines, with documented protocol review and risk assessment for all biological work, including rDNA and synthetic nucleic acid molecule work.</w:t>
      </w:r>
    </w:p>
    <w:p>
      <w:pPr>
        <w:spacing w:before="0" w:after="120"/>
      </w:pPr>
      <w:r>
        <w:rPr>
          <w:b/>
          <w:bCs/>
        </w:rPr>
        <w:t xml:space="preserve">R.3   Biosafety Officer. </w:t>
      </w:r>
      <w:r>
        <w:t xml:space="preserve">Tenant shall designate a Biosafety Officer responsible for biosafety program oversight, training, audits, incident investigation, and coordination with Building management. The Biosafety Officer's contact is listed in Exhibit D.</w:t>
      </w:r>
    </w:p>
    <w:p>
      <w:pPr>
        <w:spacing w:before="0" w:after="120"/>
      </w:pPr>
      <w:r>
        <w:rPr>
          <w:b/>
          <w:bCs/>
        </w:rPr>
        <w:t xml:space="preserve">R.4   Training. </w:t>
      </w:r>
      <w:r>
        <w:t xml:space="preserve">Initial and annual refresher biosafety training for all lab personnel, including BSL-2 practices, hazard communication, bloodborne pathogens, spill response, and biological waste handling. Records retained for the duration of employment plus three (3) years.</w:t>
      </w:r>
    </w:p>
    <w:p>
      <w:pPr>
        <w:spacing w:before="0" w:after="120"/>
      </w:pPr>
      <w:r>
        <w:rPr>
          <w:b/>
          <w:bCs/>
        </w:rPr>
        <w:t xml:space="preserve">R.5   Engineering Controls. </w:t>
      </w:r>
      <w:r>
        <w:t xml:space="preserve">Class II Biosafety Cabinets shall be NSF-49 listed, certified at installation and annually thereafter by a qualified technician, with airflow verification and HEPA filter integrity testing; certificates retained on site. Chemical fume hoods shall be tested per ANSI/AIHA Z9.5 with face-velocity verification annually.</w:t>
      </w:r>
    </w:p>
    <w:p>
      <w:pPr>
        <w:spacing w:before="0" w:after="120"/>
      </w:pPr>
      <w:r>
        <w:rPr>
          <w:b/>
          <w:bCs/>
        </w:rPr>
        <w:t xml:space="preserve">R.6   Required Reports to Landlord. </w:t>
      </w:r>
      <w:r>
        <w:t xml:space="preserve">Tenant shall deliver to Landlord, within sixty (60) days after each anniversary of the Commencement Date (subject to confidentiality and any redaction of protocol-specific information): (a) confirmation of IBC and IACUC registration status; (b) summary of biosafety incidents (excluding personally identifiable information) reportable to NIH OSP, CDC/USDA, or OSHA; (c) confirmation of current annual BSC and fume hood certifications; and (d) summary of biosafety training completion.</w:t>
      </w:r>
    </w:p>
    <w:p>
      <w:pPr>
        <w:spacing w:before="0" w:after="120"/>
      </w:pPr>
      <w:r>
        <w:rPr>
          <w:b/>
          <w:bCs/>
        </w:rPr>
        <w:t xml:space="preserve">R.7   Material Transfer. </w:t>
      </w:r>
      <w:r>
        <w:t xml:space="preserve">Biological materials entering or leaving the Premises shall be handled per industry-standard Material Transfer Agreements and packaged in IATA/DOT-compliant containers for shipping.</w:t>
      </w:r>
    </w:p>
    <w:p>
      <w:pPr>
        <w:spacing w:before="0" w:after="120"/>
      </w:pPr>
      <w:r>
        <w:rPr>
          <w:b/>
          <w:bCs/>
        </w:rPr>
        <w:t xml:space="preserve">R.8   Emergency Response. </w:t>
      </w:r>
      <w:r>
        <w:t xml:space="preserve">Tenant maintains an Emergency Response Plan integrated with the Salt Lake City Fire Department's pre-incident plan for the Building. Tenant participates in coordinated drills not less than annually with Landlord and other lab tenants.</w:t>
      </w:r>
    </w:p>
    <w:p>
      <w:r>
        <w:br w:type="page"/>
      </w:r>
    </w:p>
    <w:p>
      <w:pPr>
        <w:jc w:val="center"/>
        <w:spacing w:before="0" w:after="40"/>
      </w:pPr>
      <w:r>
        <w:rPr>
          <w:b/>
          <w:bCs/>
          <w:sz w:val="32"/>
          <w:szCs w:val="32"/>
        </w:rPr>
        <w:t xml:space="preserve">EXHIBIT S</w:t>
      </w:r>
    </w:p>
    <w:p>
      <w:pPr>
        <w:jc w:val="center"/>
        <w:spacing w:before="0" w:after="160"/>
      </w:pPr>
      <w:r>
        <w:rPr>
          <w:b/>
          <w:bCs/>
          <w:sz w:val="26"/>
          <w:szCs w:val="26"/>
        </w:rPr>
        <w:t xml:space="preserve">Vivarium Operations</w:t>
      </w:r>
    </w:p>
    <w:p>
      <w:pPr>
        <w:spacing w:before="0" w:after="120"/>
      </w:pPr>
      <w:r>
        <w:rPr>
          <w:b/>
          <w:bCs/>
        </w:rPr>
        <w:t xml:space="preserve">S.1   Permitted Species and Volume. </w:t>
      </w:r>
      <w:r>
        <w:t xml:space="preserve">The Vivarium is approved for SPF (Specific Pathogen Free) laboratory rats and mice only, with a maximum housing capacity of approximately 800 cages on ventilated rack systems. Any change in species (including transgenic models with elevated biosafety concerns), volume increase, or breeding-colony establishment shall be addressed with Landlord before commencement.</w:t>
      </w:r>
    </w:p>
    <w:p>
      <w:pPr>
        <w:spacing w:before="0" w:after="120"/>
      </w:pPr>
      <w:r>
        <w:rPr>
          <w:b/>
          <w:bCs/>
        </w:rPr>
        <w:t xml:space="preserve">S.2   Governance. </w:t>
      </w:r>
      <w:r>
        <w:t xml:space="preserve">Tenant shall maintain an IACUC consistent with the federal Animal Welfare Act (9 CFR Parts 1, 2, and 3), the PHS Policy on Humane Care and Use of Laboratory Animals, and the Guide for the Care and Use of Laboratory Animals. AAALAC accreditation target per Exhibit K. The Vivarium shall be under the direction of an Attending Veterinarian (listed in Exhibit D) and a Vivarium Manager.</w:t>
      </w:r>
    </w:p>
    <w:p>
      <w:pPr>
        <w:spacing w:before="0" w:after="120"/>
      </w:pPr>
      <w:r>
        <w:rPr>
          <w:b/>
          <w:bCs/>
        </w:rPr>
        <w:t xml:space="preserve">S.3   Engineering Controls. </w:t>
      </w:r>
      <w:r>
        <w:t xml:space="preserve">The Vivarium shall be operated with (a) dedicated supply and exhaust HVAC at not less than 10 air changes per hour, negative pressure relative to surrounding spaces, with HEPA exhaust to a dedicated rooftop stack (no recirculation); (b) ventilated rack housing; (c) anteroom with sticky mat, gowning, hand hygiene; (d) cage wash equipped with hot-water sanitization and validated cycles; (e) feed and bedding storage with pest exclusion; (f) deceased-animal cold storage with prompt pickup by medical-waste hauler; and (g) backup air-handling redundancy at the building or in-suite level sufficient to maintain temperature, humidity, and pressure for at least two (2) hours during a primary unit failure.</w:t>
      </w:r>
    </w:p>
    <w:p>
      <w:pPr>
        <w:spacing w:before="0" w:after="120"/>
      </w:pPr>
      <w:r>
        <w:rPr>
          <w:b/>
          <w:bCs/>
        </w:rPr>
        <w:t xml:space="preserve">S.4   Environmental Conditions. </w:t>
      </w:r>
      <w:r>
        <w:t xml:space="preserve">Temperature 68–79°F, relative humidity 30–70%, photoperiod consistent with Guide recommendations; continuous monitoring with BMS alarms tied to on-call Vivarium Manager. Tenant shall maintain documentation of environmental conditions and corrective actions.</w:t>
      </w:r>
    </w:p>
    <w:p>
      <w:pPr>
        <w:spacing w:before="0" w:after="120"/>
      </w:pPr>
      <w:r>
        <w:rPr>
          <w:b/>
          <w:bCs/>
        </w:rPr>
        <w:t xml:space="preserve">S.5   Pest Control; Biosecurity. </w:t>
      </w:r>
      <w:r>
        <w:t xml:space="preserve">Tenant shall maintain a written pest-control program (with non-toxic interventions in vivarium-adjacent areas), strict pathogen exclusion at intake (vendor-certified SPF animals; sentinel monitoring; quarantine where required), and biosecurity protocols including PPE, work-flow segregation (dirty to clean), and access logs.</w:t>
      </w:r>
    </w:p>
    <w:p>
      <w:pPr>
        <w:spacing w:before="0" w:after="120"/>
      </w:pPr>
      <w:r>
        <w:rPr>
          <w:b/>
          <w:bCs/>
        </w:rPr>
        <w:t xml:space="preserve">S.6   Personnel; Training. </w:t>
      </w:r>
      <w:r>
        <w:t xml:space="preserve">All Vivarium personnel shall complete initial and annual training in animal handling, biosafety, occupational health (including allergy/zoonotic risk), and emergency response. Tenant shall offer Tenant's standard occupational-health surveillance.</w:t>
      </w:r>
    </w:p>
    <w:p>
      <w:pPr>
        <w:spacing w:before="0" w:after="120"/>
      </w:pPr>
      <w:r>
        <w:rPr>
          <w:b/>
          <w:bCs/>
        </w:rPr>
        <w:t xml:space="preserve">S.7   Access. </w:t>
      </w:r>
      <w:r>
        <w:t xml:space="preserve">Vivarium access is restricted to authorized personnel via keypad/badge with electronic log. Visitors require Vivarium Manager escort. Landlord access (e.g., for utility maintenance) shall be coordinated through the Vivarium Manager and shall comply with gowning and pathogen exclusion protocols.</w:t>
      </w:r>
    </w:p>
    <w:p>
      <w:pPr>
        <w:spacing w:before="0" w:after="120"/>
      </w:pPr>
      <w:r>
        <w:rPr>
          <w:b/>
          <w:bCs/>
        </w:rPr>
        <w:t xml:space="preserve">S.8   Notifications. </w:t>
      </w:r>
      <w:r>
        <w:t xml:space="preserve">Tenant shall notify Landlord within four (4) hours of (a) any animal escape outside the Vivarium suite, (b) any Vivarium HVAC failure exceeding two (2) hours, (c) any sentinel-positive pathogen finding requiring depopulation or quarantine, or (d) any agency inspection (USDA, IACUC site visit by AAALAC).</w:t>
      </w:r>
    </w:p>
    <w:p>
      <w:pPr>
        <w:spacing w:before="0" w:after="120"/>
      </w:pPr>
      <w:r>
        <w:rPr>
          <w:b/>
          <w:bCs/>
        </w:rPr>
        <w:t xml:space="preserve">S.9   Depopulation at Surrender. </w:t>
      </w:r>
      <w:r>
        <w:t xml:space="preserve">At surrender per Exhibit B, Tenant shall depopulate humanely under IACUC-approved protocols, sanitize, decontaminate, decommission the cage wash and ventilated racks, deliver agency closure documentation, and provide written confirmation that no live animals remain.</w:t>
      </w:r>
    </w:p>
    <w:p>
      <w:pPr>
        <w:spacing w:before="0" w:after="120"/>
      </w:pPr>
      <w:r>
        <w:rPr>
          <w:b/>
          <w:bCs/>
        </w:rPr>
        <w:t xml:space="preserve">S.10   No Off-Site Disposal of Animals. </w:t>
      </w:r>
      <w:r>
        <w:t xml:space="preserve">Animal carcass waste shall be removed only via Tenant's licensed medical-waste hauler; on-site disposal (other than short-term cold-storage staging in the Vivarium's designated freezer) is prohibited.</w:t>
      </w:r>
    </w:p>
    <w:p>
      <w:r>
        <w:br w:type="page"/>
      </w:r>
    </w:p>
    <w:p>
      <w:pPr>
        <w:jc w:val="center"/>
        <w:spacing w:before="0" w:after="40"/>
      </w:pPr>
      <w:r>
        <w:rPr>
          <w:b/>
          <w:bCs/>
          <w:sz w:val="32"/>
          <w:szCs w:val="32"/>
        </w:rPr>
        <w:t xml:space="preserve">EXHIBIT T</w:t>
      </w:r>
    </w:p>
    <w:p>
      <w:pPr>
        <w:jc w:val="center"/>
        <w:spacing w:before="0" w:after="160"/>
      </w:pPr>
      <w:r>
        <w:rPr>
          <w:b/>
          <w:bCs/>
          <w:sz w:val="26"/>
          <w:szCs w:val="26"/>
        </w:rPr>
        <w:t xml:space="preserve">Shared Building Services &amp; Utilities Allocation</w:t>
      </w:r>
    </w:p>
    <w:p>
      <w:pPr>
        <w:spacing w:before="0" w:after="120"/>
      </w:pPr>
      <w:r>
        <w:rPr>
          <w:b/>
          <w:bCs/>
        </w:rPr>
        <w:t xml:space="preserve">T.1   Base-Building Services Provided. </w:t>
      </w:r>
      <w:r>
        <w:t xml:space="preserve">Landlord furnishes, as Operating Expenses under Article 3: (a) base-building HVAC and air-handling at lab-grade air-change rates (typically 6–10 ACH for lab areas, with separately controllable thermostats in Tenant zones); (b) dedicated lab-exhaust riser capacity as reserved for Tenant; (c) central deionized water plant; (d) central lab gas distribution (CO2, N2); (e) lab-air and lab-vacuum; (f) low-pressure steam for autoclaves; (g) the Building Biohazardous and Chemical Waste Holding Room (short-term staging only; long-term storage and hauler arrangement are Tenant's responsibility); (h) base-building life-safety; (i) freight-elevator service with biohazard transfer protocol and booking; (j) base-building emergency standby generator and UPS supporting base-building exhaust and life-safety; (k) common-area HVAC, lighting, janitorial, security cameras, and 24/7 card-access control.</w:t>
      </w:r>
    </w:p>
    <w:p>
      <w:pPr>
        <w:spacing w:before="0" w:after="120"/>
      </w:pPr>
      <w:r>
        <w:rPr>
          <w:b/>
          <w:bCs/>
        </w:rPr>
        <w:t xml:space="preserve">T.2   Reserved Capacities for the Premises. </w:t>
      </w:r>
      <w:r>
        <w:t xml:space="preserve">Landlord reserves for Tenant the following base-building shared service capacities, included in Operating Expenses and not reducible without Tenant's consent:</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Service</w:t>
            </w:r>
          </w:p>
        </w:tc>
        <w:tc>
          <w:tcPr>
            <w:tcW w:w="6500" w:type="dxa"/>
            <w:shd w:val="clear" w:color="auto" w:fill="E5E7EB"/>
          </w:tcPr>
          <w:p>
            <w:pPr>
              <w:spacing w:before="0" w:after="60"/>
            </w:pPr>
            <w:r>
              <w:rPr>
                <w:b/>
                <w:bCs/>
              </w:rPr>
              <w:t xml:space="preserve">Reserved for Tenant</w:t>
            </w:r>
          </w:p>
        </w:tc>
      </w:tr>
      <w:tr>
        <w:tc>
          <w:tcPr>
            <w:tcW w:w="3000" w:type="dxa"/>
          </w:tcPr>
          <w:p>
            <w:pPr>
              <w:spacing w:before="0" w:after="60"/>
            </w:pPr>
            <w:r>
              <w:t xml:space="preserve">Lab Exhaust</w:t>
            </w:r>
          </w:p>
        </w:tc>
        <w:tc>
          <w:tcPr>
            <w:tcW w:w="6500" w:type="dxa"/>
          </w:tcPr>
          <w:p>
            <w:pPr>
              <w:spacing w:before="0" w:after="60"/>
            </w:pPr>
            <w:r>
              <w:t xml:space="preserve">Capacity for four (4) 6-foot fume hoods plus standard general lab exhaust per the Premises' RSF.</w:t>
            </w:r>
          </w:p>
        </w:tc>
      </w:tr>
      <w:tr>
        <w:tc>
          <w:tcPr>
            <w:tcW w:w="3000" w:type="dxa"/>
          </w:tcPr>
          <w:p>
            <w:pPr>
              <w:spacing w:before="0" w:after="60"/>
            </w:pPr>
            <w:r>
              <w:t xml:space="preserve">Lab Air</w:t>
            </w:r>
          </w:p>
        </w:tc>
        <w:tc>
          <w:tcPr>
            <w:tcW w:w="6500" w:type="dxa"/>
          </w:tcPr>
          <w:p>
            <w:pPr>
              <w:spacing w:before="0" w:after="60"/>
            </w:pPr>
            <w:r>
              <w:t xml:space="preserve">60 SCFM at 80–100 psi at the perimeter stub-in.</w:t>
            </w:r>
          </w:p>
        </w:tc>
      </w:tr>
      <w:tr>
        <w:tc>
          <w:tcPr>
            <w:tcW w:w="3000" w:type="dxa"/>
          </w:tcPr>
          <w:p>
            <w:pPr>
              <w:spacing w:before="0" w:after="60"/>
            </w:pPr>
            <w:r>
              <w:t xml:space="preserve">Lab Vacuum</w:t>
            </w:r>
          </w:p>
        </w:tc>
        <w:tc>
          <w:tcPr>
            <w:tcW w:w="6500" w:type="dxa"/>
          </w:tcPr>
          <w:p>
            <w:pPr>
              <w:spacing w:before="0" w:after="60"/>
            </w:pPr>
            <w:r>
              <w:t xml:space="preserve">20 inHg at the perimeter stub-in.</w:t>
            </w:r>
          </w:p>
        </w:tc>
      </w:tr>
      <w:tr>
        <w:tc>
          <w:tcPr>
            <w:tcW w:w="3000" w:type="dxa"/>
          </w:tcPr>
          <w:p>
            <w:pPr>
              <w:spacing w:before="0" w:after="60"/>
            </w:pPr>
            <w:r>
              <w:t xml:space="preserve">Deionized Water</w:t>
            </w:r>
          </w:p>
        </w:tc>
        <w:tc>
          <w:tcPr>
            <w:tcW w:w="6500" w:type="dxa"/>
          </w:tcPr>
          <w:p>
            <w:pPr>
              <w:spacing w:before="0" w:after="60"/>
            </w:pPr>
            <w:r>
              <w:t xml:space="preserve">3 GPM at the perimeter stub-in (Type II water; Tenant polishes to Type I if required).</w:t>
            </w:r>
          </w:p>
        </w:tc>
      </w:tr>
      <w:tr>
        <w:tc>
          <w:tcPr>
            <w:tcW w:w="3000" w:type="dxa"/>
          </w:tcPr>
          <w:p>
            <w:pPr>
              <w:spacing w:before="0" w:after="60"/>
            </w:pPr>
            <w:r>
              <w:t xml:space="preserve">CO2 / N2</w:t>
            </w:r>
          </w:p>
        </w:tc>
        <w:tc>
          <w:tcPr>
            <w:tcW w:w="6500" w:type="dxa"/>
          </w:tcPr>
          <w:p>
            <w:pPr>
              <w:spacing w:before="0" w:after="60"/>
            </w:pPr>
            <w:r>
              <w:t xml:space="preserve">Customary laboratory pressures at perimeter stub-ins.</w:t>
            </w:r>
          </w:p>
        </w:tc>
      </w:tr>
      <w:tr>
        <w:tc>
          <w:tcPr>
            <w:tcW w:w="3000" w:type="dxa"/>
          </w:tcPr>
          <w:p>
            <w:pPr>
              <w:spacing w:before="0" w:after="60"/>
            </w:pPr>
            <w:r>
              <w:t xml:space="preserve">Electrical</w:t>
            </w:r>
          </w:p>
        </w:tc>
        <w:tc>
          <w:tcPr>
            <w:tcW w:w="6500" w:type="dxa"/>
          </w:tcPr>
          <w:p>
            <w:pPr>
              <w:spacing w:before="0" w:after="60"/>
            </w:pPr>
            <w:r>
              <w:t xml:space="preserve">1,200 amps at 277/480V three-phase to a tenant electrical room; separately routed vivarium subpanel.</w:t>
            </w:r>
          </w:p>
        </w:tc>
      </w:tr>
      <w:tr>
        <w:tc>
          <w:tcPr>
            <w:tcW w:w="3000" w:type="dxa"/>
          </w:tcPr>
          <w:p>
            <w:pPr>
              <w:spacing w:before="0" w:after="60"/>
            </w:pPr>
            <w:r>
              <w:t xml:space="preserve">Emergency Power</w:t>
            </w:r>
          </w:p>
        </w:tc>
        <w:tc>
          <w:tcPr>
            <w:tcW w:w="6500" w:type="dxa"/>
          </w:tcPr>
          <w:p>
            <w:pPr>
              <w:spacing w:before="0" w:after="60"/>
            </w:pPr>
            <w:r>
              <w:t xml:space="preserve">Lab exhaust and life-safety only at the base-building level. Tenant freezer/incubator/vivarium emergency power is Tenant's responsibility.</w:t>
            </w:r>
          </w:p>
        </w:tc>
      </w:tr>
      <w:tr>
        <w:tc>
          <w:tcPr>
            <w:tcW w:w="3000" w:type="dxa"/>
          </w:tcPr>
          <w:p>
            <w:pPr>
              <w:spacing w:before="0" w:after="60"/>
            </w:pPr>
            <w:r>
              <w:t xml:space="preserve">Freight Elevator</w:t>
            </w:r>
          </w:p>
        </w:tc>
        <w:tc>
          <w:tcPr>
            <w:tcW w:w="6500" w:type="dxa"/>
          </w:tcPr>
          <w:p>
            <w:pPr>
              <w:spacing w:before="0" w:after="60"/>
            </w:pPr>
            <w:r>
              <w:t xml:space="preserve">Bookable in advance; biohazard/animal/cryogen transfers prioritized.</w:t>
            </w:r>
          </w:p>
        </w:tc>
      </w:tr>
    </w:tbl>
    <w:p>
      <w:pPr>
        <w:spacing w:before="0" w:after="80"/>
      </w:pPr>
    </w:p>
    <w:p>
      <w:pPr>
        <w:spacing w:before="0" w:after="120"/>
      </w:pPr>
      <w:r>
        <w:rPr>
          <w:b/>
          <w:bCs/>
        </w:rPr>
        <w:t xml:space="preserve">T.3   After-Hours Use. </w:t>
      </w:r>
      <w:r>
        <w:t xml:space="preserve">The Building operates 24/7 for laboratory tenants. Tenant's after-hours operations do not incur additional HVAC charges, except (a) extraordinary HVAC requests outside Tenant's reserved capacities, and (b) supplemental cooling for Tenant-specified equipment.</w:t>
      </w:r>
    </w:p>
    <w:p>
      <w:pPr>
        <w:spacing w:before="0" w:after="120"/>
      </w:pPr>
      <w:r>
        <w:rPr>
          <w:b/>
          <w:bCs/>
        </w:rPr>
        <w:t xml:space="preserve">T.4   Vibration Sensitivity. </w:t>
      </w:r>
      <w:r>
        <w:t xml:space="preserve">Suite 220 is located on the second floor with vibration isolation appropriate for general lab use. Tenant's vibration-sensitive equipment (e.g., scanning electron microscope, NMR) requires advance discussion and may require Tenant-installed supplemental isolation pads.</w:t>
      </w:r>
    </w:p>
    <w:p>
      <w:pPr>
        <w:spacing w:before="0" w:after="120"/>
      </w:pPr>
      <w:r>
        <w:rPr>
          <w:b/>
          <w:bCs/>
        </w:rPr>
        <w:t xml:space="preserve">T.5   Salt Lake County Pretreatment Coordination. </w:t>
      </w:r>
      <w:r>
        <w:t xml:space="preserve">Landlord operates the Building under any Building-level Pretreatment Permit (if required); Tenant shall obtain its tenant-specific Pretreatment Permit as required by Salt Lake County and shall coordinate sampling, reporting, and any required pre-treatment with Landlord.</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ten-year, triple-net wet-lab and life-sciences lease for Suite 220 in Granite Bench Bioscience Center, a 152,000 SF multi-tenant lab building in Salt Lake City. Tenant is a Delaware-incorporated biotech (Vellichor Therapeutics, Inc.) operating a BSL-2 R&amp;D program with a small SPF rodent vivarium and pre-IND preclinical work. The deal includes a six-month free-rent period (accommodating lab build-out, vivarium commissioning, IBC/IACUC startup, and BSL-2 certification), 3% annual escalations, a substantial $125/SF TI allowance plus a separately funded Landlord Lab Contribution for reserved exhaust capacity and lab-utility stub-ins, a stepped-down LC tied to either credit or operational milestones, and one five-year FMR renewal option.</w:t>
      </w:r>
    </w:p>
    <w:p>
      <w:pPr>
        <w:spacing w:before="0" w:after="120"/>
      </w:pPr>
      <w:r>
        <w:rPr>
          <w:b/>
          <w:bCs/>
          <w:sz w:val="24"/>
          <w:szCs w:val="24"/>
        </w:rPr>
        <w:t xml:space="preserve">Archetype. </w:t>
      </w:r>
    </w:p>
    <w:p>
      <w:pPr>
        <w:spacing w:before="0" w:after="120"/>
      </w:pPr>
      <w:r>
        <w:t xml:space="preserve">Multi-tenant wet-lab / life-sciences lease with a heavy operations module (Chemical Hygiene Plan, BSL-2 biosafety, IBC, IACUC-governed vivarium, AAALAC orientation, pretreatment, lab-exhaust capacity reservation) and a shared-building-services architecture appropriate for an institutional life-sciences building. Reflects market practice for emerging biotech in a multi-tenant lab building (LC instead of cash deposit, base-building emergency power for lab exhaust only, Permitted Transfers built for the biotech capital-formation cycle).</w:t>
      </w:r>
    </w:p>
    <w:p>
      <w:pPr>
        <w:spacing w:before="0" w:after="120"/>
      </w:pPr>
      <w:r>
        <w:rPr>
          <w:b/>
          <w:bCs/>
          <w:sz w:val="24"/>
          <w:szCs w:val="24"/>
        </w:rPr>
        <w:t xml:space="preserve">Key Drafting Notes. </w:t>
      </w:r>
    </w:p>
    <w:p>
      <w:pPr>
        <w:spacing w:before="0" w:after="120"/>
      </w:pPr>
      <w:r>
        <w:t xml:space="preserve">•   Rent structure is triple-net from day one (no base year), reflecting lab-building OpEx volatility.</w:t>
      </w:r>
    </w:p>
    <w:p>
      <w:pPr>
        <w:spacing w:before="0" w:after="120"/>
      </w:pPr>
      <w:r>
        <w:t xml:space="preserve">•   Six-month free rent reflects lab build-out lead time; LC ($420K) sized at five months of initial gross rent equivalent, with two-step burn-down conditioned on either operational milestones (IBC/IACUC/BSL-2) or credit metrics.</w:t>
      </w:r>
    </w:p>
    <w:p>
      <w:pPr>
        <w:spacing w:before="0" w:after="120"/>
      </w:pPr>
      <w:r>
        <w:t xml:space="preserve">•   $125/SF TI plus a separately funded Landlord Lab Contribution for reserved exhaust and lab utilities is the market split for institutional lab buildings.</w:t>
      </w:r>
    </w:p>
    <w:p>
      <w:pPr>
        <w:spacing w:before="0" w:after="120"/>
      </w:pPr>
      <w:r>
        <w:t xml:space="preserve">•   Permitted Use is calibrated to BSL-2; BSL-3/4, Select Agent, and gain-of-function are prohibited; species limited to SPF rodents.</w:t>
      </w:r>
    </w:p>
    <w:p>
      <w:pPr>
        <w:spacing w:before="0" w:after="120"/>
      </w:pPr>
      <w:r>
        <w:t xml:space="preserve">•   Exhibit R (BSL-2/biosafety) and Exhibit S (Vivarium) are heavy operational modules with reporting, training, engineering controls, and surrender protocols.</w:t>
      </w:r>
    </w:p>
    <w:p>
      <w:pPr>
        <w:spacing w:before="0" w:after="120"/>
      </w:pPr>
      <w:r>
        <w:t xml:space="preserve">•   Exhibit T (shared services) sets reserved capacities (lab exhaust for 4× 6-ft hoods, lab air, vacuum, DI water, CO2/N2, electrical, emergency power) so the deal economics are documented and protected.</w:t>
      </w:r>
    </w:p>
    <w:p>
      <w:pPr>
        <w:spacing w:before="0" w:after="120"/>
      </w:pPr>
      <w:r>
        <w:t xml:space="preserve">•   Permitted Transfers (Section 8.4) accommodate financing rounds, SPAC/reverse merger, and sponsored research with CROs and academic partners — typical biotech transactions.</w:t>
      </w:r>
    </w:p>
    <w:p>
      <w:pPr>
        <w:spacing w:before="0" w:after="120"/>
      </w:pPr>
      <w:r>
        <w:t xml:space="preserve">•   Section 25.10 (IP) explicitly disclaims Landlord interest in Tenant research and IP; combined with the confidentiality acknowledgment for facility access, gives Tenant's investors comfort.</w:t>
      </w:r>
    </w:p>
    <w:p>
      <w:pPr>
        <w:spacing w:before="0" w:after="120"/>
      </w:pPr>
      <w:r>
        <w:t xml:space="preserve">•   Surrender (Article 21 + Exhibit B) requires a 240-day-before Laboratory Decommissioning and Closure Plan, vivarium depopulation, and BSC/fume hood decontamination certification.</w:t>
      </w:r>
    </w:p>
    <w:p>
      <w:pPr>
        <w:spacing w:before="0" w:after="120"/>
      </w:pPr>
      <w:r>
        <w:rPr>
          <w:b/>
          <w:bCs/>
          <w:sz w:val="24"/>
          <w:szCs w:val="24"/>
        </w:rPr>
        <w:t xml:space="preserve">Items Intentionally Omitted. </w:t>
      </w:r>
    </w:p>
    <w:p>
      <w:pPr>
        <w:spacing w:before="0" w:after="120"/>
      </w:pPr>
      <w:r>
        <w:t xml:space="preserve">Cash security deposit (LC structure preferred); corporate or personal guaranty; relocation right; expansion option (lab building expansion is complex and addressed in stand-alone documents at the time); ROFO/ROFR; LEED/sustainability addendum (sustainability is handled via benchmarking under Operating Expenses); ground-lease provisions; landlord lien waiver for equipment financing (Tenant's equipment lenders typically request a separate UCC/lien waiver instrument).</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Apr 9, 2026</w:t>
            </w:r>
          </w:p>
        </w:tc>
        <w:tc>
          <w:tcPr>
            <w:tcW w:w="6800" w:type="dxa"/>
          </w:tcPr>
          <w:p>
            <w:pPr>
              <w:spacing w:before="0" w:after="60"/>
            </w:pPr>
            <w:r>
              <w:t xml:space="preserve">Lease executed; first payments, LC, and COIs due within 5 business days.</w:t>
            </w:r>
          </w:p>
        </w:tc>
      </w:tr>
      <w:tr>
        <w:tc>
          <w:tcPr>
            <w:tcW w:w="2700" w:type="dxa"/>
          </w:tcPr>
          <w:p>
            <w:pPr>
              <w:spacing w:before="0" w:after="60"/>
            </w:pPr>
            <w:r>
              <w:t xml:space="preserve">Apr 13, 2026</w:t>
            </w:r>
          </w:p>
        </w:tc>
        <w:tc>
          <w:tcPr>
            <w:tcW w:w="6800" w:type="dxa"/>
          </w:tcPr>
          <w:p>
            <w:pPr>
              <w:spacing w:before="0" w:after="60"/>
            </w:pPr>
            <w:r>
              <w:t xml:space="preserve">Early access for Tenant's Work begins.</w:t>
            </w:r>
          </w:p>
        </w:tc>
      </w:tr>
      <w:tr>
        <w:tc>
          <w:tcPr>
            <w:tcW w:w="2700" w:type="dxa"/>
          </w:tcPr>
          <w:p>
            <w:pPr>
              <w:spacing w:before="0" w:after="60"/>
            </w:pPr>
            <w:r>
              <w:t xml:space="preserve">May 1, 2026</w:t>
            </w:r>
          </w:p>
        </w:tc>
        <w:tc>
          <w:tcPr>
            <w:tcW w:w="6800" w:type="dxa"/>
          </w:tcPr>
          <w:p>
            <w:pPr>
              <w:spacing w:before="0" w:after="60"/>
            </w:pPr>
            <w:r>
              <w:t xml:space="preserve">Commencement Date; Abatement Period begins; Tenant's Work continues; IBC registration; BSL-2 certification commencing; Vivarium commissioning.</w:t>
            </w:r>
          </w:p>
        </w:tc>
      </w:tr>
      <w:tr>
        <w:tc>
          <w:tcPr>
            <w:tcW w:w="2700" w:type="dxa"/>
          </w:tcPr>
          <w:p>
            <w:pPr>
              <w:spacing w:before="0" w:after="60"/>
            </w:pPr>
            <w:r>
              <w:t xml:space="preserve">Jun 15, 2026</w:t>
            </w:r>
          </w:p>
        </w:tc>
        <w:tc>
          <w:tcPr>
            <w:tcW w:w="6800" w:type="dxa"/>
          </w:tcPr>
          <w:p>
            <w:pPr>
              <w:spacing w:before="0" w:after="60"/>
            </w:pPr>
            <w:r>
              <w:t xml:space="preserve">Outside Date for Landlord delivery in required condition.</w:t>
            </w:r>
          </w:p>
        </w:tc>
      </w:tr>
      <w:tr>
        <w:tc>
          <w:tcPr>
            <w:tcW w:w="2700" w:type="dxa"/>
          </w:tcPr>
          <w:p>
            <w:pPr>
              <w:spacing w:before="0" w:after="60"/>
            </w:pPr>
            <w:r>
              <w:t xml:space="preserve">Nov 1, 2026</w:t>
            </w:r>
          </w:p>
        </w:tc>
        <w:tc>
          <w:tcPr>
            <w:tcW w:w="6800" w:type="dxa"/>
          </w:tcPr>
          <w:p>
            <w:pPr>
              <w:spacing w:before="0" w:after="60"/>
            </w:pPr>
            <w:r>
              <w:t xml:space="preserve">Rent Commencement Date; first $69,066.67 Base Rent installment due.</w:t>
            </w:r>
          </w:p>
        </w:tc>
      </w:tr>
      <w:tr>
        <w:tc>
          <w:tcPr>
            <w:tcW w:w="2700" w:type="dxa"/>
          </w:tcPr>
          <w:p>
            <w:pPr>
              <w:spacing w:before="0" w:after="60"/>
            </w:pPr>
            <w:r>
              <w:t xml:space="preserve">Apr 30, 2027</w:t>
            </w:r>
          </w:p>
        </w:tc>
        <w:tc>
          <w:tcPr>
            <w:tcW w:w="6800" w:type="dxa"/>
          </w:tcPr>
          <w:p>
            <w:pPr>
              <w:spacing w:before="0" w:after="60"/>
            </w:pPr>
            <w:r>
              <w:t xml:space="preserve">Latest delivery of 2026 Operating Expense reconciliation.</w:t>
            </w:r>
          </w:p>
        </w:tc>
      </w:tr>
      <w:tr>
        <w:tc>
          <w:tcPr>
            <w:tcW w:w="2700" w:type="dxa"/>
          </w:tcPr>
          <w:p>
            <w:pPr>
              <w:spacing w:before="0" w:after="60"/>
            </w:pPr>
            <w:r>
              <w:t xml:space="preserve">Nov 1, 2028</w:t>
            </w:r>
          </w:p>
        </w:tc>
        <w:tc>
          <w:tcPr>
            <w:tcW w:w="6800" w:type="dxa"/>
          </w:tcPr>
          <w:p>
            <w:pPr>
              <w:spacing w:before="0" w:after="60"/>
            </w:pPr>
            <w:r>
              <w:t xml:space="preserve">LC burn-down step #1 (to $300,000), conditioned on Section 2.7.</w:t>
            </w:r>
          </w:p>
        </w:tc>
      </w:tr>
      <w:tr>
        <w:tc>
          <w:tcPr>
            <w:tcW w:w="2700" w:type="dxa"/>
          </w:tcPr>
          <w:p>
            <w:pPr>
              <w:spacing w:before="0" w:after="60"/>
            </w:pPr>
            <w:r>
              <w:t xml:space="preserve">Nov 1, 2030</w:t>
            </w:r>
          </w:p>
        </w:tc>
        <w:tc>
          <w:tcPr>
            <w:tcW w:w="6800" w:type="dxa"/>
          </w:tcPr>
          <w:p>
            <w:pPr>
              <w:spacing w:before="0" w:after="60"/>
            </w:pPr>
            <w:r>
              <w:t xml:space="preserve">LC burn-down step #2 (to $200,000), conditioned on Section 2.7.</w:t>
            </w:r>
          </w:p>
        </w:tc>
      </w:tr>
      <w:tr>
        <w:tc>
          <w:tcPr>
            <w:tcW w:w="2700" w:type="dxa"/>
          </w:tcPr>
          <w:p>
            <w:pPr>
              <w:spacing w:before="0" w:after="60"/>
            </w:pPr>
            <w:r>
              <w:t xml:space="preserve">Sep 1, 2035 – Nov 30, 2035</w:t>
            </w:r>
          </w:p>
        </w:tc>
        <w:tc>
          <w:tcPr>
            <w:tcW w:w="6800" w:type="dxa"/>
          </w:tcPr>
          <w:p>
            <w:pPr>
              <w:spacing w:before="0" w:after="60"/>
            </w:pPr>
            <w:r>
              <w:t xml:space="preserve">Renewal option window (12–15 months prior to Expiration).</w:t>
            </w:r>
          </w:p>
        </w:tc>
      </w:tr>
      <w:tr>
        <w:tc>
          <w:tcPr>
            <w:tcW w:w="2700" w:type="dxa"/>
          </w:tcPr>
          <w:p>
            <w:pPr>
              <w:spacing w:before="0" w:after="60"/>
            </w:pPr>
            <w:r>
              <w:t xml:space="preserve">Sep 3, 2035</w:t>
            </w:r>
          </w:p>
        </w:tc>
        <w:tc>
          <w:tcPr>
            <w:tcW w:w="6800" w:type="dxa"/>
          </w:tcPr>
          <w:p>
            <w:pPr>
              <w:spacing w:before="0" w:after="60"/>
            </w:pPr>
            <w:r>
              <w:t xml:space="preserve">Laboratory Decommissioning and Closure Plan due (240 days before Expiration).</w:t>
            </w:r>
          </w:p>
        </w:tc>
      </w:tr>
      <w:tr>
        <w:tc>
          <w:tcPr>
            <w:tcW w:w="2700" w:type="dxa"/>
          </w:tcPr>
          <w:p>
            <w:pPr>
              <w:spacing w:before="0" w:after="60"/>
            </w:pPr>
            <w:r>
              <w:t xml:space="preserve">Apr 30, 2036</w:t>
            </w:r>
          </w:p>
        </w:tc>
        <w:tc>
          <w:tcPr>
            <w:tcW w:w="6800" w:type="dxa"/>
          </w:tcPr>
          <w:p>
            <w:pPr>
              <w:spacing w:before="0" w:after="60"/>
            </w:pPr>
            <w:r>
              <w:t xml:space="preserve">Expiration Date; surrender per Exhibit B (decommissioning, vivarium depopulation, BSC/hood certification).</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