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jc w:val="center"/>
        <w:spacing w:before="0" w:after="80"/>
      </w:pPr>
      <w:r>
        <w:rPr>
          <w:b/>
          <w:bCs/>
          <w:sz w:val="36"/>
          <w:szCs w:val="36"/>
        </w:rPr>
        <w:t xml:space="preserve">GROUND LEASE</w:t>
      </w:r>
    </w:p>
    <w:p>
      <w:pPr>
        <w:jc w:val="center"/>
        <w:spacing w:before="0" w:after="80"/>
      </w:pPr>
      <w:r>
        <w:rPr>
          <w:b/>
          <w:bCs/>
          <w:sz w:val="24"/>
          <w:szCs w:val="24"/>
        </w:rPr>
        <w:t xml:space="preserve">(Build-to-Suit — Self-Storage Facility)</w:t>
      </w:r>
    </w:p>
    <w:p>
      <w:pPr>
        <w:jc w:val="center"/>
        <w:spacing w:before="0" w:after="80"/>
      </w:pPr>
      <w:r>
        <w:rPr>
          <w:sz w:val="24"/>
          <w:szCs w:val="24"/>
        </w:rPr>
        <w:t xml:space="preserve">1860 East Pony Express Parkway, Saratoga Springs, Utah</w:t>
      </w:r>
    </w:p>
    <w:p>
      <w:pPr>
        <w:jc w:val="center"/>
        <w:spacing w:before="0" w:after="40"/>
      </w:pPr>
      <w:r>
        <w:rPr>
          <w:sz w:val="22"/>
          <w:szCs w:val="22"/>
        </w:rPr>
        <w:t xml:space="preserve">between BEEHIVE REALTY TRUST, LLC, as Landlord,</w:t>
      </w:r>
    </w:p>
    <w:p>
      <w:pPr>
        <w:jc w:val="center"/>
        <w:spacing w:before="0" w:after="240"/>
      </w:pPr>
      <w:r>
        <w:rPr>
          <w:sz w:val="22"/>
          <w:szCs w:val="22"/>
        </w:rPr>
        <w:t xml:space="preserve">and SALTGRASS STORAGE GROUP, LLC, as Tenant</w:t>
      </w:r>
    </w:p>
    <w:p>
      <w:pPr>
        <w:spacing w:before="0" w:after="120"/>
      </w:pPr>
      <w:r>
        <w:t xml:space="preserve">This Ground Lease (the "Lease") is entered into as of the Effective Date set forth in Article 1, by and between Landlord and Tenant. Landlord is the fee owner of the land described in Exhibit A. Tenant intends to construct, finance, own, and operate a self-storage facility and related outdoor RV/boat/auto storage on the land. In consideration of the mutual covenants set forth herein, and intending to be legally bound, Landlord and Tenant agree as follows.</w:t>
      </w:r>
    </w:p>
    <w:p>
      <w:pPr>
        <w:spacing w:before="280" w:after="140"/>
        <w:keepNext/>
      </w:pPr>
      <w:r>
        <w:rPr>
          <w:b/>
          <w:bCs/>
          <w:sz w:val="28"/>
          <w:szCs w:val="28"/>
        </w:rPr>
        <w:t xml:space="preserve">ARTICLE 1.   KEY DEFINED TERMS</w:t>
      </w:r>
    </w:p>
    <w:tbl>
      <w:tblPr>
        <w:tblW w:w="9500" w:type="dxa"/>
        <w:tblBorders>
          <w:top w:val="single" w:sz="4" w:color="9CA3AF"/>
          <w:left w:val="single" w:sz="4" w:color="9CA3AF"/>
          <w:bottom w:val="single" w:sz="4" w:color="9CA3AF"/>
          <w:right w:val="single" w:sz="4" w:color="9CA3AF"/>
          <w:insideH w:val="single" w:sz="4" w:color="9CA3AF"/>
          <w:insideV w:val="single" w:sz="4" w:color="9CA3AF"/>
        </w:tblBorders>
      </w:tblPr>
      <w:tblGrid>
        <w:gridCol w:w="3000"/>
        <w:gridCol w:w="6500"/>
      </w:tblGrid>
      <w:tr>
        <w:tc>
          <w:tcPr>
            <w:tcW w:w="3000" w:type="dxa"/>
            <w:shd w:val="clear" w:color="auto" w:fill="E5E7EB"/>
          </w:tcPr>
          <w:p>
            <w:pPr>
              <w:spacing w:before="0" w:after="60"/>
            </w:pPr>
            <w:r>
              <w:rPr>
                <w:b/>
                <w:bCs/>
              </w:rPr>
              <w:t xml:space="preserve">Defined Term</w:t>
            </w:r>
          </w:p>
        </w:tc>
        <w:tc>
          <w:tcPr>
            <w:tcW w:w="6500" w:type="dxa"/>
            <w:shd w:val="clear" w:color="auto" w:fill="E5E7EB"/>
          </w:tcPr>
          <w:p>
            <w:pPr>
              <w:spacing w:before="0" w:after="60"/>
            </w:pPr>
            <w:r>
              <w:rPr>
                <w:b/>
                <w:bCs/>
              </w:rPr>
              <w:t xml:space="preserve">Entry</w:t>
            </w:r>
          </w:p>
        </w:tc>
      </w:tr>
      <w:tr>
        <w:tc>
          <w:tcPr>
            <w:tcW w:w="3000" w:type="dxa"/>
          </w:tcPr>
          <w:p>
            <w:pPr>
              <w:spacing w:before="0" w:after="60"/>
            </w:pPr>
            <w:r>
              <w:t xml:space="preserve">Effective Date</w:t>
            </w:r>
          </w:p>
        </w:tc>
        <w:tc>
          <w:tcPr>
            <w:tcW w:w="6500" w:type="dxa"/>
          </w:tcPr>
          <w:p>
            <w:pPr>
              <w:spacing w:before="0" w:after="60"/>
            </w:pPr>
            <w:r>
              <w:t xml:space="preserve">October 23, 2026.</w:t>
            </w:r>
          </w:p>
        </w:tc>
      </w:tr>
      <w:tr>
        <w:tc>
          <w:tcPr>
            <w:tcW w:w="3000" w:type="dxa"/>
          </w:tcPr>
          <w:p>
            <w:pPr>
              <w:spacing w:before="0" w:after="60"/>
            </w:pPr>
            <w:r>
              <w:t xml:space="preserve">Landlord</w:t>
            </w:r>
          </w:p>
        </w:tc>
        <w:tc>
          <w:tcPr>
            <w:tcW w:w="6500" w:type="dxa"/>
          </w:tcPr>
          <w:p>
            <w:pPr>
              <w:spacing w:before="0" w:after="60"/>
            </w:pPr>
            <w:r>
              <w:t xml:space="preserve">Beehive Realty Trust, LLC, a Utah limited liability company.</w:t>
            </w:r>
          </w:p>
        </w:tc>
      </w:tr>
      <w:tr>
        <w:tc>
          <w:tcPr>
            <w:tcW w:w="3000" w:type="dxa"/>
          </w:tcPr>
          <w:p>
            <w:pPr>
              <w:spacing w:before="0" w:after="60"/>
            </w:pPr>
            <w:r>
              <w:t xml:space="preserve">Tenant</w:t>
            </w:r>
          </w:p>
        </w:tc>
        <w:tc>
          <w:tcPr>
            <w:tcW w:w="6500" w:type="dxa"/>
          </w:tcPr>
          <w:p>
            <w:pPr>
              <w:spacing w:before="0" w:after="60"/>
            </w:pPr>
            <w:r>
              <w:t xml:space="preserve">Saltgrass Storage Group, LLC, a Utah limited liability company.</w:t>
            </w:r>
          </w:p>
        </w:tc>
      </w:tr>
      <w:tr>
        <w:tc>
          <w:tcPr>
            <w:tcW w:w="3000" w:type="dxa"/>
          </w:tcPr>
          <w:p>
            <w:pPr>
              <w:spacing w:before="0" w:after="60"/>
            </w:pPr>
            <w:r>
              <w:t xml:space="preserve">Premises</w:t>
            </w:r>
          </w:p>
        </w:tc>
        <w:tc>
          <w:tcPr>
            <w:tcW w:w="6500" w:type="dxa"/>
          </w:tcPr>
          <w:p>
            <w:pPr>
              <w:spacing w:before="0" w:after="60"/>
            </w:pPr>
            <w:r>
              <w:t xml:space="preserve">The land located at 1860 East Pony Express Parkway, Saratoga Springs, Utah 84045, consisting of approximately 5.2 acres, as more particularly described in Exhibit A (Legal Description) and depicted on Exhibit A-1 (Site Plan). This Lease is a ground lease; the Premises are land only, together with rights of access, utilities, easements, and air rights as set forth herein.</w:t>
            </w:r>
          </w:p>
        </w:tc>
      </w:tr>
      <w:tr>
        <w:tc>
          <w:tcPr>
            <w:tcW w:w="3000" w:type="dxa"/>
          </w:tcPr>
          <w:p>
            <w:pPr>
              <w:spacing w:before="0" w:after="60"/>
            </w:pPr>
            <w:r>
              <w:t xml:space="preserve">Improvements</w:t>
            </w:r>
          </w:p>
        </w:tc>
        <w:tc>
          <w:tcPr>
            <w:tcW w:w="6500" w:type="dxa"/>
          </w:tcPr>
          <w:p>
            <w:pPr>
              <w:spacing w:before="0" w:after="60"/>
            </w:pPr>
            <w:r>
              <w:t xml:space="preserve">All buildings, structures, fixtures, paving, fencing, signage, utilities, landscaping, and other improvements constructed by or for Tenant on the Premises during the Term, as further described in Article 5 and Exhibit G.</w:t>
            </w:r>
          </w:p>
        </w:tc>
      </w:tr>
      <w:tr>
        <w:tc>
          <w:tcPr>
            <w:tcW w:w="3000" w:type="dxa"/>
          </w:tcPr>
          <w:p>
            <w:pPr>
              <w:spacing w:before="0" w:after="60"/>
            </w:pPr>
            <w:r>
              <w:t xml:space="preserve">Commencement Date</w:t>
            </w:r>
          </w:p>
        </w:tc>
        <w:tc>
          <w:tcPr>
            <w:tcW w:w="6500" w:type="dxa"/>
          </w:tcPr>
          <w:p>
            <w:pPr>
              <w:spacing w:before="0" w:after="60"/>
            </w:pPr>
            <w:r>
              <w:t xml:space="preserve">November 1, 2026.</w:t>
            </w:r>
          </w:p>
        </w:tc>
      </w:tr>
      <w:tr>
        <w:tc>
          <w:tcPr>
            <w:tcW w:w="3000" w:type="dxa"/>
          </w:tcPr>
          <w:p>
            <w:pPr>
              <w:spacing w:before="0" w:after="60"/>
            </w:pPr>
            <w:r>
              <w:t xml:space="preserve">Term</w:t>
            </w:r>
          </w:p>
        </w:tc>
        <w:tc>
          <w:tcPr>
            <w:tcW w:w="6500" w:type="dxa"/>
          </w:tcPr>
          <w:p>
            <w:pPr>
              <w:spacing w:before="0" w:after="60"/>
            </w:pPr>
            <w:r>
              <w:t xml:space="preserve">Seventy-five (75) years, commencing on the Commencement Date and expiring at 11:59 p.m. on October 31, 2101 (the "Expiration Date"), unless sooner terminated as provided herein. No extension or renewal options are granted.</w:t>
            </w:r>
          </w:p>
        </w:tc>
      </w:tr>
      <w:tr>
        <w:tc>
          <w:tcPr>
            <w:tcW w:w="3000" w:type="dxa"/>
          </w:tcPr>
          <w:p>
            <w:pPr>
              <w:spacing w:before="0" w:after="60"/>
            </w:pPr>
            <w:r>
              <w:t xml:space="preserve">Rent Commencement Date</w:t>
            </w:r>
          </w:p>
        </w:tc>
        <w:tc>
          <w:tcPr>
            <w:tcW w:w="6500" w:type="dxa"/>
          </w:tcPr>
          <w:p>
            <w:pPr>
              <w:spacing w:before="0" w:after="60"/>
            </w:pPr>
            <w:r>
              <w:t xml:space="preserve">November 1, 2026 (no Abatement Period applies; ground rent begins at the Commencement Date).</w:t>
            </w:r>
          </w:p>
        </w:tc>
      </w:tr>
      <w:tr>
        <w:tc>
          <w:tcPr>
            <w:tcW w:w="3000" w:type="dxa"/>
          </w:tcPr>
          <w:p>
            <w:pPr>
              <w:spacing w:before="0" w:after="60"/>
            </w:pPr>
            <w:r>
              <w:t xml:space="preserve">Initial Annual Base Rent</w:t>
            </w:r>
          </w:p>
        </w:tc>
        <w:tc>
          <w:tcPr>
            <w:tcW w:w="6500" w:type="dxa"/>
          </w:tcPr>
          <w:p>
            <w:pPr>
              <w:spacing w:before="0" w:after="60"/>
            </w:pPr>
            <w:r>
              <w:t xml:space="preserve">$385,000.00 per year ($32,083.33 per month) for the first five (5) Lease Years.</w:t>
            </w:r>
          </w:p>
        </w:tc>
      </w:tr>
      <w:tr>
        <w:tc>
          <w:tcPr>
            <w:tcW w:w="3000" w:type="dxa"/>
          </w:tcPr>
          <w:p>
            <w:pPr>
              <w:spacing w:before="0" w:after="60"/>
            </w:pPr>
            <w:r>
              <w:t xml:space="preserve">Rent Resets</w:t>
            </w:r>
          </w:p>
        </w:tc>
        <w:tc>
          <w:tcPr>
            <w:tcW w:w="6500" w:type="dxa"/>
          </w:tcPr>
          <w:p>
            <w:pPr>
              <w:spacing w:before="0" w:after="60"/>
            </w:pPr>
            <w:r>
              <w:t xml:space="preserve">Periodic resets to Fair Market Rent every ten (10) years beginning in Lease Year 11, with cap and floor under Article 4. Years 6–10 step to $425,000.00 per year ($35,416.67 per month).</w:t>
            </w:r>
          </w:p>
        </w:tc>
      </w:tr>
      <w:tr>
        <w:tc>
          <w:tcPr>
            <w:tcW w:w="3000" w:type="dxa"/>
          </w:tcPr>
          <w:p>
            <w:pPr>
              <w:spacing w:before="0" w:after="60"/>
            </w:pPr>
            <w:r>
              <w:t xml:space="preserve">Permitted Use</w:t>
            </w:r>
          </w:p>
        </w:tc>
        <w:tc>
          <w:tcPr>
            <w:tcW w:w="6500" w:type="dxa"/>
          </w:tcPr>
          <w:p>
            <w:pPr>
              <w:spacing w:before="0" w:after="60"/>
            </w:pPr>
            <w:r>
              <w:t xml:space="preserve">Construction, ownership, financing, operation, and management of a self-storage facility, together with ancillary outdoor RV, boat, automobile, and trailer storage, an on-site leasing office, and customary related uses (truck rental, packing supply sale, tenant insurance). No other use is permitted without Landlord's prior written consent.</w:t>
            </w:r>
          </w:p>
        </w:tc>
      </w:tr>
      <w:tr>
        <w:tc>
          <w:tcPr>
            <w:tcW w:w="3000" w:type="dxa"/>
          </w:tcPr>
          <w:p>
            <w:pPr>
              <w:spacing w:before="0" w:after="60"/>
            </w:pPr>
            <w:r>
              <w:t xml:space="preserve">Construction</w:t>
            </w:r>
          </w:p>
        </w:tc>
        <w:tc>
          <w:tcPr>
            <w:tcW w:w="6500" w:type="dxa"/>
          </w:tcPr>
          <w:p>
            <w:pPr>
              <w:spacing w:before="0" w:after="60"/>
            </w:pPr>
            <w:r>
              <w:t xml:space="preserve">Tenant shall construct the Phase I improvements depicted on Exhibit A-1 in accordance with Exhibit G (Construction Obligations and Milestones), with substantial completion not later than the Construction Outside Date.</w:t>
            </w:r>
          </w:p>
        </w:tc>
      </w:tr>
      <w:tr>
        <w:tc>
          <w:tcPr>
            <w:tcW w:w="3000" w:type="dxa"/>
          </w:tcPr>
          <w:p>
            <w:pPr>
              <w:spacing w:before="0" w:after="60"/>
            </w:pPr>
            <w:r>
              <w:t xml:space="preserve">Construction Outside Date</w:t>
            </w:r>
          </w:p>
        </w:tc>
        <w:tc>
          <w:tcPr>
            <w:tcW w:w="6500" w:type="dxa"/>
          </w:tcPr>
          <w:p>
            <w:pPr>
              <w:spacing w:before="0" w:after="60"/>
            </w:pPr>
            <w:r>
              <w:t xml:space="preserve">March 31, 2028, subject to extension for Force Majeure and Permit Delay as defined in Exhibit G.</w:t>
            </w:r>
          </w:p>
        </w:tc>
      </w:tr>
      <w:tr>
        <w:tc>
          <w:tcPr>
            <w:tcW w:w="3000" w:type="dxa"/>
          </w:tcPr>
          <w:p>
            <w:pPr>
              <w:spacing w:before="0" w:after="60"/>
            </w:pPr>
            <w:r>
              <w:t xml:space="preserve">Leasehold Mortgage</w:t>
            </w:r>
          </w:p>
        </w:tc>
        <w:tc>
          <w:tcPr>
            <w:tcW w:w="6500" w:type="dxa"/>
          </w:tcPr>
          <w:p>
            <w:pPr>
              <w:spacing w:before="0" w:after="60"/>
            </w:pPr>
            <w:r>
              <w:t xml:space="preserve">Tenant may encumber its leasehold estate (but not the fee) with one or more leasehold mortgages on the terms in Article 8.</w:t>
            </w:r>
          </w:p>
        </w:tc>
      </w:tr>
      <w:tr>
        <w:tc>
          <w:tcPr>
            <w:tcW w:w="3000" w:type="dxa"/>
          </w:tcPr>
          <w:p>
            <w:pPr>
              <w:spacing w:before="0" w:after="60"/>
            </w:pPr>
            <w:r>
              <w:t xml:space="preserve">Memorandum of Lease</w:t>
            </w:r>
          </w:p>
        </w:tc>
        <w:tc>
          <w:tcPr>
            <w:tcW w:w="6500" w:type="dxa"/>
          </w:tcPr>
          <w:p>
            <w:pPr>
              <w:spacing w:before="0" w:after="60"/>
            </w:pPr>
            <w:r>
              <w:t xml:space="preserve">The parties shall execute and record a Memorandum of Lease in the form of Exhibit F within thirty (30) days after the Effective Date.</w:t>
            </w:r>
          </w:p>
        </w:tc>
      </w:tr>
      <w:tr>
        <w:tc>
          <w:tcPr>
            <w:tcW w:w="3000" w:type="dxa"/>
          </w:tcPr>
          <w:p>
            <w:pPr>
              <w:spacing w:before="0" w:after="60"/>
            </w:pPr>
            <w:r>
              <w:t xml:space="preserve">Brokers</w:t>
            </w:r>
          </w:p>
        </w:tc>
        <w:tc>
          <w:tcPr>
            <w:tcW w:w="6500" w:type="dxa"/>
          </w:tcPr>
          <w:p>
            <w:pPr>
              <w:spacing w:before="0" w:after="60"/>
            </w:pPr>
            <w:r>
              <w:t xml:space="preserve">Tenant Broker: Crestwood Land Brokerage, LLC. Landlord Broker: Beehive Realty Trust, LLC (in-house).</w:t>
            </w:r>
          </w:p>
        </w:tc>
      </w:tr>
      <w:tr>
        <w:tc>
          <w:tcPr>
            <w:tcW w:w="3000" w:type="dxa"/>
          </w:tcPr>
          <w:p>
            <w:pPr>
              <w:spacing w:before="0" w:after="60"/>
            </w:pPr>
            <w:r>
              <w:t xml:space="preserve">Tenant Notice Address</w:t>
            </w:r>
          </w:p>
        </w:tc>
        <w:tc>
          <w:tcPr>
            <w:tcW w:w="6500" w:type="dxa"/>
          </w:tcPr>
          <w:p>
            <w:pPr>
              <w:spacing w:before="0" w:after="60"/>
            </w:pPr>
            <w:r>
              <w:t xml:space="preserve">Saltgrass Storage Group, LLC, Attn: Beatrix M. Hollander, Managing Member, 480 South 1200 East, Suite 200, Lehi, UT 84043; courtesy email copy to bhollander@saltgrassstorage.example.</w:t>
            </w:r>
          </w:p>
        </w:tc>
      </w:tr>
      <w:tr>
        <w:tc>
          <w:tcPr>
            <w:tcW w:w="3000" w:type="dxa"/>
          </w:tcPr>
          <w:p>
            <w:pPr>
              <w:spacing w:before="0" w:after="60"/>
            </w:pPr>
            <w:r>
              <w:t xml:space="preserve">Landlord Notice Address</w:t>
            </w:r>
          </w:p>
        </w:tc>
        <w:tc>
          <w:tcPr>
            <w:tcW w:w="6500" w:type="dxa"/>
          </w:tcPr>
          <w:p>
            <w:pPr>
              <w:spacing w:before="0" w:after="60"/>
            </w:pPr>
            <w:r>
              <w:t xml:space="preserve">Beehive Realty Trust, LLC, Attn: Lease Administration, 175 East 400 South, Suite 900, Salt Lake City, UT 84111; courtesy email copy to leases@beehiverealtytrust.example.</w:t>
            </w:r>
          </w:p>
        </w:tc>
      </w:tr>
      <w:tr>
        <w:tc>
          <w:tcPr>
            <w:tcW w:w="3000" w:type="dxa"/>
          </w:tcPr>
          <w:p>
            <w:pPr>
              <w:spacing w:before="0" w:after="60"/>
            </w:pPr>
            <w:r>
              <w:t xml:space="preserve">Exhibits</w:t>
            </w:r>
          </w:p>
        </w:tc>
        <w:tc>
          <w:tcPr>
            <w:tcW w:w="6500" w:type="dxa"/>
          </w:tcPr>
          <w:p>
            <w:pPr>
              <w:spacing w:before="0" w:after="60"/>
            </w:pPr>
            <w:r>
              <w:t xml:space="preserve">Exhibit A (Legal Description); Exhibit A-1 (Site Plan — Proposed Improvements); Exhibit B (Permitted Encumbrances); Exhibit C (Insurance Requirements); Exhibit D (Tenant Contact Information); Exhibit E (Form of Leasehold Mortgagee Recognition Agreement); Exhibit F (Memorandum of Lease); Exhibit G (Construction Obligations and Milestones); Exhibit H (Form of Estoppel); Exhibit I (Utah-Specific Provisions); Exhibit J (Outdoor Storage Operations); Exhibit K (Environmental Disclosure). All other exhibits referenced in the Beehive standard form are intentionally omitted as inapplicable.</w:t>
            </w:r>
          </w:p>
        </w:tc>
      </w:tr>
    </w:tbl>
    <w:p>
      <w:pPr>
        <w:spacing w:before="0" w:after="80"/>
      </w:pPr>
    </w:p>
    <w:p>
      <w:pPr>
        <w:spacing w:before="280" w:after="140"/>
        <w:keepNext/>
      </w:pPr>
      <w:r>
        <w:rPr>
          <w:b/>
          <w:bCs/>
          <w:sz w:val="28"/>
          <w:szCs w:val="28"/>
        </w:rPr>
        <w:t xml:space="preserve">ARTICLE 2.   DEMISE; CONDITION; QUIET ENJOYMENT</w:t>
      </w:r>
    </w:p>
    <w:p>
      <w:pPr>
        <w:spacing w:before="0" w:after="120"/>
      </w:pPr>
      <w:r>
        <w:rPr>
          <w:b/>
          <w:bCs/>
        </w:rPr>
        <w:t xml:space="preserve">2.1   Demise. </w:t>
      </w:r>
      <w:r>
        <w:t xml:space="preserve">Landlord leases the Premises (land only) to Tenant, and Tenant leases the Premises from Landlord, for the Term, subject to this Lease and the Permitted Encumbrances set forth on Exhibit B.</w:t>
      </w:r>
    </w:p>
    <w:p>
      <w:pPr>
        <w:spacing w:before="0" w:after="120"/>
      </w:pPr>
      <w:r>
        <w:rPr>
          <w:b/>
          <w:bCs/>
        </w:rPr>
        <w:t xml:space="preserve">2.2   Condition. </w:t>
      </w:r>
      <w:r>
        <w:t xml:space="preserve">Tenant accepts the Premises in their "AS IS, WHERE IS" condition, having had the opportunity to conduct due diligence (including title, survey, geotechnical, environmental Phase I, traffic, and utility availability) prior to execution. Landlord makes no representations or warranties as to suitability for Tenant's intended use, except as expressly set forth in Article 9.</w:t>
      </w:r>
    </w:p>
    <w:p>
      <w:pPr>
        <w:spacing w:before="0" w:after="120"/>
      </w:pPr>
      <w:r>
        <w:rPr>
          <w:b/>
          <w:bCs/>
        </w:rPr>
        <w:t xml:space="preserve">2.3   Quiet Enjoyment. </w:t>
      </w:r>
      <w:r>
        <w:t xml:space="preserve">Provided Tenant is not in uncured Default, Tenant shall have quiet and peaceful possession and enjoyment of the Premises during the Term, subject to this Lease and the Permitted Encumbrances.</w:t>
      </w:r>
    </w:p>
    <w:p>
      <w:pPr>
        <w:spacing w:before="0" w:after="120"/>
      </w:pPr>
      <w:r>
        <w:rPr>
          <w:b/>
          <w:bCs/>
        </w:rPr>
        <w:t xml:space="preserve">2.4   No Subordination by Landlord. </w:t>
      </w:r>
      <w:r>
        <w:t xml:space="preserve">Landlord shall not subordinate the fee estate or this Lease to any mortgage, deed of trust, or other encumbrance placed on the fee, except to Permitted Encumbrances. Any future fee mortgage shall be expressly subordinate to this Lease (and to any Leasehold Mortgage permitted under Article 8) by its terms.</w:t>
      </w:r>
    </w:p>
    <w:p>
      <w:pPr>
        <w:spacing w:before="280" w:after="140"/>
        <w:keepNext/>
      </w:pPr>
      <w:r>
        <w:rPr>
          <w:b/>
          <w:bCs/>
          <w:sz w:val="28"/>
          <w:szCs w:val="28"/>
        </w:rPr>
        <w:t xml:space="preserve">ARTICLE 3.   TERM</w:t>
      </w:r>
    </w:p>
    <w:p>
      <w:pPr>
        <w:spacing w:before="0" w:after="120"/>
      </w:pPr>
      <w:r>
        <w:t xml:space="preserve">The Term is seventy-five (75) years, commencing on the Commencement Date and expiring on the Expiration Date. No renewal or extension options are granted. The parties acknowledge that the Term has been negotiated to support Tenant's capital structure, including leasehold financing and depreciation of improvements over their useful lives.</w:t>
      </w:r>
    </w:p>
    <w:p>
      <w:pPr>
        <w:spacing w:before="280" w:after="140"/>
        <w:keepNext/>
      </w:pPr>
      <w:r>
        <w:rPr>
          <w:b/>
          <w:bCs/>
          <w:sz w:val="28"/>
          <w:szCs w:val="28"/>
        </w:rPr>
        <w:t xml:space="preserve">ARTICLE 4.   GROUND RENT</w:t>
      </w:r>
    </w:p>
    <w:p>
      <w:pPr>
        <w:spacing w:before="0" w:after="120"/>
      </w:pPr>
      <w:r>
        <w:rPr>
          <w:b/>
          <w:bCs/>
        </w:rPr>
        <w:t xml:space="preserve">4.1   Payment. </w:t>
      </w:r>
      <w:r>
        <w:t xml:space="preserve">Tenant shall pay Annual Base Rent in equal monthly installments, in advance, on the first day of each calendar month, beginning on the Commencement Date and continuing throughout the Term, without demand, deduction, abatement, counterclaim, or setoff, except as expressly provided in Articles 11 (Casualty) and 12 (Condemnation).</w:t>
      </w:r>
    </w:p>
    <w:p>
      <w:pPr>
        <w:spacing w:before="0" w:after="120"/>
      </w:pPr>
      <w:r>
        <w:rPr>
          <w:b/>
          <w:bCs/>
        </w:rPr>
        <w:t xml:space="preserve">4.2   Initial Rent and First Step. </w:t>
      </w:r>
    </w:p>
    <w:tbl>
      <w:tblPr>
        <w:tblW w:w="10000" w:type="dxa"/>
        <w:tblBorders>
          <w:top w:val="single" w:sz="4" w:color="9CA3AF"/>
          <w:left w:val="single" w:sz="4" w:color="9CA3AF"/>
          <w:bottom w:val="single" w:sz="4" w:color="9CA3AF"/>
          <w:right w:val="single" w:sz="4" w:color="9CA3AF"/>
          <w:insideH w:val="single" w:sz="4" w:color="9CA3AF"/>
          <w:insideV w:val="single" w:sz="4" w:color="9CA3AF"/>
        </w:tblBorders>
      </w:tblPr>
      <w:tblGrid>
        <w:gridCol w:w="5000"/>
        <w:gridCol w:w="2500"/>
        <w:gridCol w:w="2500"/>
      </w:tblGrid>
      <w:tr>
        <w:tc>
          <w:tcPr>
            <w:tcW w:w="5000" w:type="dxa"/>
            <w:shd w:val="clear" w:color="auto" w:fill="E5E7EB"/>
          </w:tcPr>
          <w:p>
            <w:pPr>
              <w:spacing w:before="0" w:after="60"/>
            </w:pPr>
            <w:r>
              <w:rPr>
                <w:b/>
                <w:bCs/>
              </w:rPr>
              <w:t xml:space="preserve">Period</w:t>
            </w:r>
          </w:p>
        </w:tc>
        <w:tc>
          <w:tcPr>
            <w:tcW w:w="2500" w:type="dxa"/>
            <w:shd w:val="clear" w:color="auto" w:fill="E5E7EB"/>
          </w:tcPr>
          <w:p>
            <w:pPr>
              <w:spacing w:before="0" w:after="60"/>
            </w:pPr>
            <w:r>
              <w:rPr>
                <w:b/>
                <w:bCs/>
              </w:rPr>
              <w:t xml:space="preserve">Annual Base Rent</w:t>
            </w:r>
          </w:p>
        </w:tc>
        <w:tc>
          <w:tcPr>
            <w:tcW w:w="2500" w:type="dxa"/>
            <w:shd w:val="clear" w:color="auto" w:fill="E5E7EB"/>
          </w:tcPr>
          <w:p>
            <w:pPr>
              <w:spacing w:before="0" w:after="60"/>
            </w:pPr>
            <w:r>
              <w:rPr>
                <w:b/>
                <w:bCs/>
              </w:rPr>
              <w:t xml:space="preserve">Monthly Base Rent</w:t>
            </w:r>
          </w:p>
        </w:tc>
      </w:tr>
      <w:tr>
        <w:tc>
          <w:tcPr>
            <w:tcW w:w="5000" w:type="dxa"/>
          </w:tcPr>
          <w:p>
            <w:pPr>
              <w:spacing w:before="0" w:after="60"/>
            </w:pPr>
            <w:r>
              <w:t xml:space="preserve">Lease Years 1–5 (Nov 1, 2026 – Oct 31, 2031)</w:t>
            </w:r>
          </w:p>
        </w:tc>
        <w:tc>
          <w:tcPr>
            <w:tcW w:w="2500" w:type="dxa"/>
          </w:tcPr>
          <w:p>
            <w:pPr>
              <w:spacing w:before="0" w:after="60"/>
            </w:pPr>
            <w:r>
              <w:t xml:space="preserve">$385,000.00</w:t>
            </w:r>
          </w:p>
        </w:tc>
        <w:tc>
          <w:tcPr>
            <w:tcW w:w="2500" w:type="dxa"/>
          </w:tcPr>
          <w:p>
            <w:pPr>
              <w:spacing w:before="0" w:after="60"/>
            </w:pPr>
            <w:r>
              <w:t xml:space="preserve">$32,083.33</w:t>
            </w:r>
          </w:p>
        </w:tc>
      </w:tr>
      <w:tr>
        <w:tc>
          <w:tcPr>
            <w:tcW w:w="5000" w:type="dxa"/>
          </w:tcPr>
          <w:p>
            <w:pPr>
              <w:spacing w:before="0" w:after="60"/>
            </w:pPr>
            <w:r>
              <w:t xml:space="preserve">Lease Years 6–10 (Nov 1, 2031 – Oct 31, 2036)</w:t>
            </w:r>
          </w:p>
        </w:tc>
        <w:tc>
          <w:tcPr>
            <w:tcW w:w="2500" w:type="dxa"/>
          </w:tcPr>
          <w:p>
            <w:pPr>
              <w:spacing w:before="0" w:after="60"/>
            </w:pPr>
            <w:r>
              <w:t xml:space="preserve">$425,000.00</w:t>
            </w:r>
          </w:p>
        </w:tc>
        <w:tc>
          <w:tcPr>
            <w:tcW w:w="2500" w:type="dxa"/>
          </w:tcPr>
          <w:p>
            <w:pPr>
              <w:spacing w:before="0" w:after="60"/>
            </w:pPr>
            <w:r>
              <w:t xml:space="preserve">$35,416.67</w:t>
            </w:r>
          </w:p>
        </w:tc>
      </w:tr>
    </w:tbl>
    <w:p>
      <w:pPr>
        <w:spacing w:before="0" w:after="80"/>
      </w:pPr>
    </w:p>
    <w:p>
      <w:pPr>
        <w:spacing w:before="0" w:after="120"/>
      </w:pPr>
      <w:r>
        <w:rPr>
          <w:b/>
          <w:bCs/>
        </w:rPr>
        <w:t xml:space="preserve">4.3   Decennial Rent Resets. </w:t>
      </w:r>
      <w:r>
        <w:t xml:space="preserve">Beginning at the start of Lease Year 11 (November 1, 2036) and at each ten-year anniversary thereafter (each, a "Reset Date"), the Annual Base Rent shall reset to the Fair Market Rent of the Premises (land only, unimproved, but with the entitlements and access then in place) as of the Reset Date, subject to the Cap and Floor in Section 4.4.</w:t>
      </w:r>
    </w:p>
    <w:p>
      <w:pPr>
        <w:spacing w:before="0" w:after="120"/>
      </w:pPr>
      <w:r>
        <w:rPr>
          <w:b/>
          <w:bCs/>
        </w:rPr>
        <w:t xml:space="preserve">4.4   Cap and Floor. </w:t>
      </w:r>
      <w:r>
        <w:t xml:space="preserve">At each Reset Date, the new Annual Base Rent shall not be less than the Annual Base Rent in effect immediately prior to the Reset Date (the "Floor"), and shall not exceed (a) the Annual Base Rent in effect immediately prior to the Reset Date, compounded at three percent (3%) per annum for the ten-year period since the prior Reset Date (the "Cap"). If the Cap and Floor would result in an inconsistent outcome with Fair Market Rent, the Cap governs.</w:t>
      </w:r>
    </w:p>
    <w:p>
      <w:pPr>
        <w:spacing w:before="0" w:after="120"/>
      </w:pPr>
      <w:r>
        <w:rPr>
          <w:b/>
          <w:bCs/>
        </w:rPr>
        <w:t xml:space="preserve">4.5   FMR Procedure. </w:t>
      </w:r>
      <w:r>
        <w:t xml:space="preserve">Not earlier than twelve (12) months and not later than nine (9) months prior to a Reset Date, either party may initiate a Fair Market Rent determination by written notice. The parties shall negotiate in good faith for sixty (60) days. Failing agreement, each party shall select a qualified MAI appraiser experienced in Utah ground leases and self-storage land valuation, and the two appraisers shall jointly select a third within thirty (30) days. The Fair Market Rent shall be the average of the two closest of the three appraisals, delivered within ninety (90) days. Each party shall bear the cost of its own appraiser; the third appraiser's cost shall be shared equally. If a Reset Date passes before Fair Market Rent is determined, Tenant shall continue to pay the prior Annual Base Rent and, upon determination, shall pay (or receive a credit for) the difference back to the Reset Date.</w:t>
      </w:r>
    </w:p>
    <w:p>
      <w:pPr>
        <w:spacing w:before="0" w:after="120"/>
      </w:pPr>
      <w:r>
        <w:rPr>
          <w:b/>
          <w:bCs/>
        </w:rPr>
        <w:t xml:space="preserve">4.6   Method of Payment; Late Charge; Interest. </w:t>
      </w:r>
      <w:r>
        <w:t xml:space="preserve">Rent shall be paid by ACH. Rent not paid within five (5) days after due bears a five percent (5%) late charge; Rent not paid within thirty (30) days bears interest at the lesser of ten percent (10%) per annum or the maximum lawful rate.</w:t>
      </w:r>
    </w:p>
    <w:p>
      <w:pPr>
        <w:spacing w:before="0" w:after="120"/>
      </w:pPr>
      <w:r>
        <w:rPr>
          <w:b/>
          <w:bCs/>
        </w:rPr>
        <w:t xml:space="preserve">4.7   Additional Rent. </w:t>
      </w:r>
      <w:r>
        <w:t xml:space="preserve">All sums payable by Tenant under this Lease other than Annual Base Rent (including taxes, utilities, insurance reimbursements, indemnity obligations, and amounts cured by Landlord at Tenant's expense) constitute Additional Rent.</w:t>
      </w:r>
    </w:p>
    <w:p>
      <w:pPr>
        <w:spacing w:before="0" w:after="120"/>
      </w:pPr>
      <w:r>
        <w:rPr>
          <w:b/>
          <w:bCs/>
        </w:rPr>
        <w:t xml:space="preserve">4.8   Net Lease. </w:t>
      </w:r>
      <w:r>
        <w:t xml:space="preserve">This Lease is "absolutely net" to Landlord. Except as expressly set forth herein, all costs, expenses, and obligations of every kind relating to the Premises or the Improvements during the Term are the responsibility of Tenant.</w:t>
      </w:r>
    </w:p>
    <w:p>
      <w:pPr>
        <w:spacing w:before="280" w:after="140"/>
        <w:keepNext/>
      </w:pPr>
      <w:r>
        <w:rPr>
          <w:b/>
          <w:bCs/>
          <w:sz w:val="28"/>
          <w:szCs w:val="28"/>
        </w:rPr>
        <w:t xml:space="preserve">ARTICLE 5.   CONSTRUCTION OF IMPROVEMENTS</w:t>
      </w:r>
    </w:p>
    <w:p>
      <w:pPr>
        <w:spacing w:before="0" w:after="120"/>
      </w:pPr>
      <w:r>
        <w:rPr>
          <w:b/>
          <w:bCs/>
        </w:rPr>
        <w:t xml:space="preserve">5.1   Tenant's Obligation to Construct. </w:t>
      </w:r>
      <w:r>
        <w:t xml:space="preserve">Tenant shall, at its sole cost, design, permit, finance, construct, equip, and complete the Phase I Improvements substantially in accordance with the site plan and outline specifications attached as Exhibit A-1 and the construction obligations and milestones in Exhibit G, with substantial completion not later than the Construction Outside Date.</w:t>
      </w:r>
    </w:p>
    <w:p>
      <w:pPr>
        <w:spacing w:before="0" w:after="120"/>
      </w:pPr>
      <w:r>
        <w:rPr>
          <w:b/>
          <w:bCs/>
        </w:rPr>
        <w:t xml:space="preserve">5.2   Pre-Approved Plans; Subsequent Approvals. </w:t>
      </w:r>
      <w:r>
        <w:t xml:space="preserve">The Phase I site plan and outline specifications described in Exhibit A-1 and Exhibit G are pre-approved by Landlord. Material changes to the building footprint, height, frontage treatment, signage placement, or use of the outdoor storage areas require Landlord's prior written consent, not to be unreasonably withheld. Phase II improvements and any future expansion are also pre-approved at a conceptual level on Exhibit A-1, subject to Landlord's reasonable design review at the time of permitting.</w:t>
      </w:r>
    </w:p>
    <w:p>
      <w:pPr>
        <w:spacing w:before="0" w:after="120"/>
      </w:pPr>
      <w:r>
        <w:rPr>
          <w:b/>
          <w:bCs/>
        </w:rPr>
        <w:t xml:space="preserve">5.3   Permits; Cooperation. </w:t>
      </w:r>
      <w:r>
        <w:t xml:space="preserve">Tenant shall obtain all permits required for design, construction, and operation, including any conditional-use permits, site-plan approvals, traffic mitigation, and stormwater permits required by Saratoga Springs and Utah County. Landlord shall reasonably cooperate, without cost or liability to Landlord, by executing applications and consents as fee owner where required.</w:t>
      </w:r>
    </w:p>
    <w:p>
      <w:pPr>
        <w:spacing w:before="0" w:after="120"/>
      </w:pPr>
      <w:r>
        <w:rPr>
          <w:b/>
          <w:bCs/>
        </w:rPr>
        <w:t xml:space="preserve">5.4   Construction Standards. </w:t>
      </w:r>
      <w:r>
        <w:t xml:space="preserve">Tenant shall construct the Improvements (a) using licensed and insured contractors; (b) in accordance with all applicable Laws, the International Building Code as adopted by Utah, and NFPA standards; (c) in a good and workmanlike manner; (d) in compliance with the insurance program in Exhibit C, including builder's risk insurance during construction; (e) with payment and performance bonds in form and amount required by Exhibit G; and (f) with adherence to mechanics' lien and prevailing-wage requirements as applicable.</w:t>
      </w:r>
    </w:p>
    <w:p>
      <w:pPr>
        <w:spacing w:before="0" w:after="120"/>
      </w:pPr>
      <w:r>
        <w:rPr>
          <w:b/>
          <w:bCs/>
        </w:rPr>
        <w:t xml:space="preserve">5.5   Construction Insurance and Indemnity. </w:t>
      </w:r>
      <w:r>
        <w:t xml:space="preserve">Tenant shall maintain the construction-phase insurance described in Exhibit C, including builder's risk on a completed-value basis and contractor's pollution liability. Tenant shall defend and indemnify Landlord from claims arising out of or relating to the construction of the Improvements (excluding losses caused solely by Landlord's gross negligence or willful misconduct).</w:t>
      </w:r>
    </w:p>
    <w:p>
      <w:pPr>
        <w:spacing w:before="0" w:after="120"/>
      </w:pPr>
      <w:r>
        <w:rPr>
          <w:b/>
          <w:bCs/>
        </w:rPr>
        <w:t xml:space="preserve">5.6   Progress Reporting; Inspection. </w:t>
      </w:r>
      <w:r>
        <w:t xml:space="preserve">Tenant shall deliver monthly construction reports to Landlord during construction and shall provide Landlord and its consultants reasonable access to inspect the work, subject to safety requirements. Inspection shall not be deemed Landlord's approval of the work or relieve Tenant of any obligation.</w:t>
      </w:r>
    </w:p>
    <w:p>
      <w:pPr>
        <w:spacing w:before="0" w:after="120"/>
      </w:pPr>
      <w:r>
        <w:rPr>
          <w:b/>
          <w:bCs/>
        </w:rPr>
        <w:t xml:space="preserve">5.7   Mechanics' Liens; Notice of Non-Responsibility. </w:t>
      </w:r>
      <w:r>
        <w:t xml:space="preserve">Tenant shall keep the Premises and the fee free of any mechanics', materialmen's, or similar liens arising out of Tenant's work, and shall cause any such lien to be released or bonded within thirty (30) days under Utah Code §38-1a et seq. Landlord may post and maintain on the Premises notices of non-responsibility as permitted by Utah law. Tenant's failure to release or bond a lien within the cure period is an Event of Default.</w:t>
      </w:r>
    </w:p>
    <w:p>
      <w:pPr>
        <w:spacing w:before="0" w:after="120"/>
      </w:pPr>
      <w:r>
        <w:rPr>
          <w:b/>
          <w:bCs/>
        </w:rPr>
        <w:t xml:space="preserve">5.8   Substantial Completion; Certificate of Occupancy. </w:t>
      </w:r>
      <w:r>
        <w:t xml:space="preserve">"Substantial Completion" of Phase I occurs upon (a) issuance of a Certificate of Occupancy or its functional equivalent for the Phase I building, and (b) operational readiness for customer occupancy (including the leasing office, climate control, fire-suppression, and access systems). Tenant shall deliver to Landlord copies of the Certificate of Occupancy and customary closeout documentation (as-built drawings, equipment manuals, warranties, lien waivers).</w:t>
      </w:r>
    </w:p>
    <w:p>
      <w:pPr>
        <w:spacing w:before="0" w:after="120"/>
      </w:pPr>
      <w:r>
        <w:rPr>
          <w:b/>
          <w:bCs/>
        </w:rPr>
        <w:t xml:space="preserve">5.9   Failure to Achieve Substantial Completion. </w:t>
      </w:r>
      <w:r>
        <w:t xml:space="preserve">If Tenant fails to achieve Substantial Completion of Phase I by the Construction Outside Date (as extended for Force Majeure and Permit Delay per Exhibit G), Landlord may exercise the remedies set forth in Exhibit G, including milestone-default damages, Tenant's pledge to bond around any delay, and, after a further cure period, termination as an Event of Default under Article 14.</w:t>
      </w:r>
    </w:p>
    <w:p>
      <w:pPr>
        <w:spacing w:before="0" w:after="120"/>
      </w:pPr>
      <w:r>
        <w:rPr>
          <w:b/>
          <w:bCs/>
        </w:rPr>
        <w:t xml:space="preserve">5.10   No Disturbance During Construction. </w:t>
      </w:r>
      <w:r>
        <w:t xml:space="preserve">Construction activities shall be limited to hours permitted by Saratoga Springs ordinance and shall not unreasonably interfere with adjacent owners.</w:t>
      </w:r>
    </w:p>
    <w:p>
      <w:pPr>
        <w:spacing w:before="280" w:after="140"/>
        <w:keepNext/>
      </w:pPr>
      <w:r>
        <w:rPr>
          <w:b/>
          <w:bCs/>
          <w:sz w:val="28"/>
          <w:szCs w:val="28"/>
        </w:rPr>
        <w:t xml:space="preserve">ARTICLE 6.   USE AND OPERATIONS</w:t>
      </w:r>
    </w:p>
    <w:p>
      <w:pPr>
        <w:spacing w:before="0" w:after="120"/>
      </w:pPr>
      <w:r>
        <w:rPr>
          <w:b/>
          <w:bCs/>
        </w:rPr>
        <w:t xml:space="preserve">6.1   Permitted Use; Compliance. </w:t>
      </w:r>
      <w:r>
        <w:t xml:space="preserve">Tenant shall use the Premises only for the Permitted Use. Tenant shall comply with all Laws, zoning, certificates of occupancy, licenses, permits, fire code (including NFPA 13 for sprinklered self-storage), Saratoga Springs ordinances, recorded restrictions, and the standards in Exhibit J for outdoor storage.</w:t>
      </w:r>
    </w:p>
    <w:p>
      <w:pPr>
        <w:spacing w:before="0" w:after="120"/>
      </w:pPr>
      <w:r>
        <w:rPr>
          <w:b/>
          <w:bCs/>
        </w:rPr>
        <w:t xml:space="preserve">6.2   Customer Subleases. </w:t>
      </w:r>
      <w:r>
        <w:t xml:space="preserve">Tenant's rental of individual self-storage units, outdoor stalls, and ancillary space to its customers under customary self-storage rental agreements does not constitute a sublease for purposes of Article 13 and does not require Landlord's consent, provided that each customer agreement (a) is on a month-to-month or short-term basis, (b) is in a form consistent with industry practice, and (c) acknowledges that the customer's rights are subject and subordinate to this Lease.</w:t>
      </w:r>
    </w:p>
    <w:p>
      <w:pPr>
        <w:spacing w:before="0" w:after="120"/>
      </w:pPr>
      <w:r>
        <w:rPr>
          <w:b/>
          <w:bCs/>
        </w:rPr>
        <w:t xml:space="preserve">6.3   Operating Standard. </w:t>
      </w:r>
      <w:r>
        <w:t xml:space="preserve">Tenant shall operate the facility in accordance with customary self-storage industry standards, including security (cameras, gates, lighting), pest control, cleanliness of the leasing office and common areas, and prompt response to customer service issues.</w:t>
      </w:r>
    </w:p>
    <w:p>
      <w:pPr>
        <w:spacing w:before="0" w:after="120"/>
      </w:pPr>
      <w:r>
        <w:rPr>
          <w:b/>
          <w:bCs/>
        </w:rPr>
        <w:t xml:space="preserve">6.4   Outdoor Storage Operations. </w:t>
      </w:r>
      <w:r>
        <w:t xml:space="preserve">Outdoor RV, boat, automobile, and trailer storage shall comply with Exhibit J, including fencing, lighting, surface treatments, restrictions on hazardous-materials storage in vehicles, recreational-vehicle-only stalls, and Saratoga Springs site-plan conditions.</w:t>
      </w:r>
    </w:p>
    <w:p>
      <w:pPr>
        <w:spacing w:before="0" w:after="120"/>
      </w:pPr>
      <w:r>
        <w:rPr>
          <w:b/>
          <w:bCs/>
        </w:rPr>
        <w:t xml:space="preserve">6.5   Hours of Operation. </w:t>
      </w:r>
      <w:r>
        <w:t xml:space="preserve">Customer access shall be permitted at the hours set forth in Exhibit J, consistent with Saratoga Springs city ordinances; the leasing office shall be staffed during business hours customary in the self-storage industry.</w:t>
      </w:r>
    </w:p>
    <w:p>
      <w:pPr>
        <w:spacing w:before="0" w:after="120"/>
      </w:pPr>
      <w:r>
        <w:rPr>
          <w:b/>
          <w:bCs/>
        </w:rPr>
        <w:t xml:space="preserve">6.6   Prohibited Uses. </w:t>
      </w:r>
      <w:r>
        <w:t xml:space="preserve">No use of the Premises for residential occupancy (customer use of units shall be limited to storage and shall expressly prohibit habitation); no manufacturing; no auto repair or service (other than emergency repairs of customer vehicles by their owners); no Hazardous Materials in customer units beyond customary household items; no on-site processing of waste or recyclables; and no adult entertainment, cannabis retail, or gambling.</w:t>
      </w:r>
    </w:p>
    <w:p>
      <w:pPr>
        <w:spacing w:before="280" w:after="140"/>
        <w:keepNext/>
      </w:pPr>
      <w:r>
        <w:rPr>
          <w:b/>
          <w:bCs/>
          <w:sz w:val="28"/>
          <w:szCs w:val="28"/>
        </w:rPr>
        <w:t xml:space="preserve">ARTICLE 7.   TAXES, UTILITIES, AND INSURANCE</w:t>
      </w:r>
    </w:p>
    <w:p>
      <w:pPr>
        <w:spacing w:before="0" w:after="120"/>
      </w:pPr>
      <w:r>
        <w:rPr>
          <w:b/>
          <w:bCs/>
        </w:rPr>
        <w:t xml:space="preserve">7.1   Real Property Taxes. </w:t>
      </w:r>
      <w:r>
        <w:t xml:space="preserve">Tenant shall pay, directly to the taxing authority before delinquency, all real property taxes and assessments levied against the Premises and the Improvements throughout the Term. To the extent the taxing authority assesses the fee and the leasehold separately, Tenant shall pay both. Tenant shall provide Landlord with paid receipts within thirty (30) days. Tenant may, at its own expense, contest taxes in good faith with Landlord's reasonable cooperation.</w:t>
      </w:r>
    </w:p>
    <w:p>
      <w:pPr>
        <w:spacing w:before="0" w:after="120"/>
      </w:pPr>
      <w:r>
        <w:rPr>
          <w:b/>
          <w:bCs/>
        </w:rPr>
        <w:t xml:space="preserve">7.2   Personal Property and Other Taxes. </w:t>
      </w:r>
      <w:r>
        <w:t xml:space="preserve">Tenant shall pay all personal property taxes on Tenant's and Tenant's customers' personal property, sales/use/occupancy taxes on Tenant's rentals to customers, business license fees, and other taxes attributable to Tenant's operations.</w:t>
      </w:r>
    </w:p>
    <w:p>
      <w:pPr>
        <w:spacing w:before="0" w:after="120"/>
      </w:pPr>
      <w:r>
        <w:rPr>
          <w:b/>
          <w:bCs/>
        </w:rPr>
        <w:t xml:space="preserve">7.3   Utilities. </w:t>
      </w:r>
      <w:r>
        <w:t xml:space="preserve">Tenant shall arrange for, and pay directly to the utility providers, all utilities serving the Premises (electric, gas, water, sewer, stormwater, fire-service water, trash, telecommunications, security monitoring).</w:t>
      </w:r>
    </w:p>
    <w:p>
      <w:pPr>
        <w:spacing w:before="0" w:after="120"/>
      </w:pPr>
      <w:r>
        <w:rPr>
          <w:b/>
          <w:bCs/>
        </w:rPr>
        <w:t xml:space="preserve">7.4   Insurance. </w:t>
      </w:r>
      <w:r>
        <w:t xml:space="preserve">Tenant shall maintain throughout the Term the insurance described in Exhibit C, including (a) commercial general liability; (b) Tenant's commercial property (special form, replacement cost) for the Improvements; (c) Tenant's personal property; (d) workers' compensation and employer's liability; (e) business income/extra expense; (f) commercial auto liability; (g) builder's risk during construction; (h) contractor's pollution liability during construction; (i) umbrella/excess; and (j) such other insurance as is customary for self-storage operators. Landlord and its lender (if any) shall be named as additional insureds on the CGL, Auto, and Umbrella policies on a primary and noncontributory basis.</w:t>
      </w:r>
    </w:p>
    <w:p>
      <w:pPr>
        <w:spacing w:before="0" w:after="120"/>
      </w:pPr>
      <w:r>
        <w:rPr>
          <w:b/>
          <w:bCs/>
        </w:rPr>
        <w:t xml:space="preserve">7.5   Mutual Waiver of Subrogation. </w:t>
      </w:r>
      <w:r>
        <w:t xml:space="preserve">Landlord and Tenant waive claims against each other for losses to the extent covered, or required to be covered, by the property insurance policies maintained or required under this Lease.</w:t>
      </w:r>
    </w:p>
    <w:p>
      <w:pPr>
        <w:spacing w:before="280" w:after="140"/>
        <w:keepNext/>
      </w:pPr>
      <w:r>
        <w:rPr>
          <w:b/>
          <w:bCs/>
          <w:sz w:val="28"/>
          <w:szCs w:val="28"/>
        </w:rPr>
        <w:t xml:space="preserve">ARTICLE 8.   LEASEHOLD MORTGAGE; LENDER PROTECTIONS</w:t>
      </w:r>
    </w:p>
    <w:p>
      <w:pPr>
        <w:spacing w:before="0" w:after="120"/>
      </w:pPr>
      <w:r>
        <w:rPr>
          <w:b/>
          <w:bCs/>
        </w:rPr>
        <w:t xml:space="preserve">8.1   Right to Encumber. </w:t>
      </w:r>
      <w:r>
        <w:t xml:space="preserve">Tenant may, without Landlord's consent but with prior written notice to Landlord, encumber Tenant's leasehold estate (but not the fee) with one or more Leasehold Mortgages from a Qualifying Lender to secure financing of Tenant's construction and operation of the Improvements. The fee shall remain unencumbered by any Leasehold Mortgage; this Lease shall not be subordinated to any Leasehold Mortgage.</w:t>
      </w:r>
    </w:p>
    <w:p>
      <w:pPr>
        <w:spacing w:before="0" w:after="120"/>
      </w:pPr>
      <w:r>
        <w:rPr>
          <w:b/>
          <w:bCs/>
        </w:rPr>
        <w:t xml:space="preserve">8.2   Qualifying Lender. </w:t>
      </w:r>
      <w:r>
        <w:t xml:space="preserve">A "Qualifying Lender" means (a) a federally insured commercial bank, savings institution, insurance company, pension fund, or investment fund of recognized standing; (b) a real estate investment trust; or (c) an entity reasonably approved by Landlord. SBA-program lenders and CMBS conduit originators are deemed Qualifying Lenders.</w:t>
      </w:r>
    </w:p>
    <w:p>
      <w:pPr>
        <w:spacing w:before="0" w:after="120"/>
      </w:pPr>
      <w:r>
        <w:rPr>
          <w:b/>
          <w:bCs/>
        </w:rPr>
        <w:t xml:space="preserve">8.3   Notice to Lender; Cure Period. </w:t>
      </w:r>
      <w:r>
        <w:t xml:space="preserve">Provided that Tenant or the Leasehold Mortgagee has delivered to Landlord written notice of the Leasehold Mortgage (with the mortgagee's notice address), Landlord shall not exercise any right to terminate this Lease or Tenant's right of possession by reason of an Event of Default unless Landlord has first delivered a copy of any notice of default to the Leasehold Mortgagee and the Leasehold Mortgagee has failed to cure the Default within: (a) for monetary defaults, thirty (30) days beyond the cure period otherwise applicable to Tenant; and (b) for non-monetary defaults, ninety (90) days beyond the cure period otherwise applicable to Tenant, except that, if such non-monetary cure reasonably requires possession (e.g., to commence and complete construction), the Leasehold Mortgagee shall have such additional time as is reasonably necessary, provided the Leasehold Mortgagee diligently pursues a foreclosure or other action to take possession and, upon obtaining possession, diligently pursues cure.</w:t>
      </w:r>
    </w:p>
    <w:p>
      <w:pPr>
        <w:spacing w:before="0" w:after="120"/>
      </w:pPr>
      <w:r>
        <w:rPr>
          <w:b/>
          <w:bCs/>
        </w:rPr>
        <w:t xml:space="preserve">8.4   New Lease. </w:t>
      </w:r>
      <w:r>
        <w:t xml:space="preserve">If this Lease is terminated due to an Event of Default by Tenant, or due to a bankruptcy rejection, Landlord shall, on written request of the most senior Leasehold Mortgagee delivered within sixty (60) days after such termination or rejection, enter into a new lease with the Leasehold Mortgagee or its designee on the same terms as this Lease (except this Section 8.4) for the remainder of the Term, provided the Leasehold Mortgagee (a) pays all amounts then due under this Lease and all reasonable expenses incurred by Landlord, and (b) agrees to cure all then-existing non-monetary defaults reasonably susceptible of cure.</w:t>
      </w:r>
    </w:p>
    <w:p>
      <w:pPr>
        <w:spacing w:before="0" w:after="120"/>
      </w:pPr>
      <w:r>
        <w:rPr>
          <w:b/>
          <w:bCs/>
        </w:rPr>
        <w:t xml:space="preserve">8.5   No Amendment Without Lender Consent. </w:t>
      </w:r>
      <w:r>
        <w:t xml:space="preserve">After Landlord receives notice of a Leasehold Mortgage, Landlord and Tenant shall not amend, modify, surrender, or terminate this Lease without the prior written consent of the most senior Leasehold Mortgagee, which consent shall not be unreasonably withheld.</w:t>
      </w:r>
    </w:p>
    <w:p>
      <w:pPr>
        <w:spacing w:before="0" w:after="120"/>
      </w:pPr>
      <w:r>
        <w:rPr>
          <w:b/>
          <w:bCs/>
        </w:rPr>
        <w:t xml:space="preserve">8.6   Recognition Agreement. </w:t>
      </w:r>
      <w:r>
        <w:t xml:space="preserve">At the Leasehold Mortgagee's request, Landlord shall execute and deliver a Leasehold Mortgagee Recognition Agreement substantially in the form of Exhibit E, with such commercially reasonable modifications as the Leasehold Mortgagee may require.</w:t>
      </w:r>
    </w:p>
    <w:p>
      <w:pPr>
        <w:spacing w:before="0" w:after="120"/>
      </w:pPr>
      <w:r>
        <w:rPr>
          <w:b/>
          <w:bCs/>
        </w:rPr>
        <w:t xml:space="preserve">8.7   Insurance and Casualty Proceeds. </w:t>
      </w:r>
      <w:r>
        <w:t xml:space="preserve">Casualty insurance proceeds and condemnation awards relating to the Improvements shall be applied as provided in Articles 11 and 12, subject to the Leasehold Mortgagee's rights under the Leasehold Mortgage. The parties shall reasonably cooperate to comply with the Leasehold Mortgagee's deposit, holdback, and disbursement requirements.</w:t>
      </w:r>
    </w:p>
    <w:p>
      <w:pPr>
        <w:spacing w:before="0" w:after="120"/>
      </w:pPr>
      <w:r>
        <w:rPr>
          <w:b/>
          <w:bCs/>
        </w:rPr>
        <w:t xml:space="preserve">8.8   No Merger. </w:t>
      </w:r>
      <w:r>
        <w:t xml:space="preserve">No merger of the leasehold and fee estates shall occur by reason of acquisition by one person of both estates, except by an express written instrument joined in by all Leasehold Mortgagees of record.</w:t>
      </w:r>
    </w:p>
    <w:p>
      <w:pPr>
        <w:spacing w:before="0" w:after="120"/>
      </w:pPr>
      <w:r>
        <w:rPr>
          <w:b/>
          <w:bCs/>
        </w:rPr>
        <w:t xml:space="preserve">8.9   Assignment by Foreclosure. </w:t>
      </w:r>
      <w:r>
        <w:t xml:space="preserve">A foreclosure of a Leasehold Mortgage (or assignment in lieu thereof) and any subsequent transfer of the leasehold to a third party meeting Article 13 transferee criteria shall not require Landlord's consent.</w:t>
      </w:r>
    </w:p>
    <w:p>
      <w:pPr>
        <w:spacing w:before="280" w:after="140"/>
        <w:keepNext/>
      </w:pPr>
      <w:r>
        <w:rPr>
          <w:b/>
          <w:bCs/>
          <w:sz w:val="28"/>
          <w:szCs w:val="28"/>
        </w:rPr>
        <w:t xml:space="preserve">ARTICLE 9.   ENVIRONMENTAL MATTERS</w:t>
      </w:r>
    </w:p>
    <w:p>
      <w:pPr>
        <w:spacing w:before="0" w:after="120"/>
      </w:pPr>
      <w:r>
        <w:rPr>
          <w:b/>
          <w:bCs/>
        </w:rPr>
        <w:t xml:space="preserve">9.1   Landlord's Representation. </w:t>
      </w:r>
      <w:r>
        <w:t xml:space="preserve">Landlord represents that, to its actual knowledge as of the Effective Date, and based on the Phase I environmental site assessment delivered to Tenant during due diligence (a copy of which is incorporated by reference), there is no known release or material presence of Hazardous Materials on the Premises that would require remediation under Environmental Laws.</w:t>
      </w:r>
    </w:p>
    <w:p>
      <w:pPr>
        <w:spacing w:before="0" w:after="120"/>
      </w:pPr>
      <w:r>
        <w:rPr>
          <w:b/>
          <w:bCs/>
        </w:rPr>
        <w:t xml:space="preserve">9.2   Tenant's Obligations. </w:t>
      </w:r>
      <w:r>
        <w:t xml:space="preserve">Tenant shall comply with all Environmental Laws applicable to its construction and operations and shall not generate, store, use, treat, transport, release, or dispose of Hazardous Materials at the Premises, except (a) de minimis office and cleaning supplies; (b) customary lubricants, paint, and small quantities of fuel necessary for facility maintenance and stored in code-compliant containers; and (c) such items as may be brought onto the Premises by self-storage customers in their individual units, subject to customary self-storage rental agreement restrictions (no flammable liquids, no explosives, no biological/medical waste, no hazardous waste). Tenant shall include such restrictions in its customer rental agreements.</w:t>
      </w:r>
    </w:p>
    <w:p>
      <w:pPr>
        <w:spacing w:before="0" w:after="120"/>
      </w:pPr>
      <w:r>
        <w:rPr>
          <w:b/>
          <w:bCs/>
        </w:rPr>
        <w:t xml:space="preserve">9.3   Notice; Remediation. </w:t>
      </w:r>
      <w:r>
        <w:t xml:space="preserve">Tenant shall promptly notify Landlord of any spill, release, regulatory inspection, or notice of violation. Tenant shall, at its sole cost, investigate, clean up, remediate, and restore any release caused, contributed to, or exacerbated by Tenant, its contractors, employees, or customers. Tenant is not responsible for any pre-existing contamination that exists as of the Commencement Date and that was not caused or exacerbated by Tenant or by Tenant's construction activities.</w:t>
      </w:r>
    </w:p>
    <w:p>
      <w:pPr>
        <w:spacing w:before="0" w:after="120"/>
      </w:pPr>
      <w:r>
        <w:rPr>
          <w:b/>
          <w:bCs/>
        </w:rPr>
        <w:t xml:space="preserve">9.4   Survival. </w:t>
      </w:r>
      <w:r>
        <w:t xml:space="preserve">The environmental obligations of the parties survive the expiration or earlier termination of this Lease.</w:t>
      </w:r>
    </w:p>
    <w:p>
      <w:pPr>
        <w:spacing w:before="280" w:after="140"/>
        <w:keepNext/>
      </w:pPr>
      <w:r>
        <w:rPr>
          <w:b/>
          <w:bCs/>
          <w:sz w:val="28"/>
          <w:szCs w:val="28"/>
        </w:rPr>
        <w:t xml:space="preserve">ARTICLE 10.   MAINTENANCE AND REPAIR</w:t>
      </w:r>
    </w:p>
    <w:p>
      <w:pPr>
        <w:spacing w:before="0" w:after="120"/>
      </w:pPr>
      <w:r>
        <w:rPr>
          <w:b/>
          <w:bCs/>
        </w:rPr>
        <w:t xml:space="preserve">10.1   Tenant's Obligation. </w:t>
      </w:r>
      <w:r>
        <w:t xml:space="preserve">Tenant shall, at its sole cost, maintain the Premises and all Improvements (now or hereafter situated thereon) in good condition and repair, including the building structure, roof, exterior, foundation, slab, HVAC, plumbing, electrical, fire-suppression and security systems, paving, fencing, signage, landscaping, irrigation, lighting, stormwater, snow and ice removal, and all customer-occupied units and outdoor storage areas.</w:t>
      </w:r>
    </w:p>
    <w:p>
      <w:pPr>
        <w:spacing w:before="0" w:after="120"/>
      </w:pPr>
      <w:r>
        <w:rPr>
          <w:b/>
          <w:bCs/>
        </w:rPr>
        <w:t xml:space="preserve">10.2   No Waste; Compliance with Laws. </w:t>
      </w:r>
      <w:r>
        <w:t xml:space="preserve">Tenant shall commit no waste and shall comply with all Laws applicable to the Premises and Improvements during the Term, including any required ADA upgrades, fire-code retrofits, and stormwater compliance enacted after the Effective Date.</w:t>
      </w:r>
    </w:p>
    <w:p>
      <w:pPr>
        <w:spacing w:before="0" w:after="120"/>
      </w:pPr>
      <w:r>
        <w:rPr>
          <w:b/>
          <w:bCs/>
        </w:rPr>
        <w:t xml:space="preserve">10.3   Capital Replacements. </w:t>
      </w:r>
      <w:r>
        <w:t xml:space="preserve">Capital replacements of building components (e.g., roof membrane, paving, HVAC, fire-suppression system) at the end of their useful lives are Tenant's responsibility and shall be performed before the components fail. Tenant shall maintain a reasonable reserve for capital replacements consistent with industry practice.</w:t>
      </w:r>
    </w:p>
    <w:p>
      <w:pPr>
        <w:spacing w:before="280" w:after="140"/>
        <w:keepNext/>
      </w:pPr>
      <w:r>
        <w:rPr>
          <w:b/>
          <w:bCs/>
          <w:sz w:val="28"/>
          <w:szCs w:val="28"/>
        </w:rPr>
        <w:t xml:space="preserve">ARTICLE 11.   CASUALTY</w:t>
      </w:r>
    </w:p>
    <w:p>
      <w:pPr>
        <w:spacing w:before="0" w:after="120"/>
      </w:pPr>
      <w:r>
        <w:rPr>
          <w:b/>
          <w:bCs/>
        </w:rPr>
        <w:t xml:space="preserve">11.1   Tenant's Obligation to Restore. </w:t>
      </w:r>
      <w:r>
        <w:t xml:space="preserve">If the Improvements are damaged or destroyed by casualty, Tenant shall, at its sole cost (subject to the Leasehold Mortgagee's rights and insurance proceeds disbursement requirements), promptly commence and diligently complete restoration of the Improvements to substantially the condition prior to the casualty, or to a different but substantially equivalent design approved by Landlord (not to be unreasonably withheld).</w:t>
      </w:r>
    </w:p>
    <w:p>
      <w:pPr>
        <w:spacing w:before="0" w:after="120"/>
      </w:pPr>
      <w:r>
        <w:rPr>
          <w:b/>
          <w:bCs/>
        </w:rPr>
        <w:t xml:space="preserve">11.2   No Termination; No Rent Abatement. </w:t>
      </w:r>
      <w:r>
        <w:t xml:space="preserve">Casualty shall not entitle Tenant to terminate this Lease or to abatement of Rent, except as set forth in Section 11.3. The parties acknowledge that this Lease is "absolutely net" and that ground rent continues during restoration; Tenant's business income insurance is intended to address Tenant's loss during restoration.</w:t>
      </w:r>
    </w:p>
    <w:p>
      <w:pPr>
        <w:spacing w:before="0" w:after="120"/>
      </w:pPr>
      <w:r>
        <w:rPr>
          <w:b/>
          <w:bCs/>
        </w:rPr>
        <w:t xml:space="preserve">11.3   End-of-Term Casualty. </w:t>
      </w:r>
      <w:r>
        <w:t xml:space="preserve">If a casualty occurs during the last ten (10) years of the Term and Tenant reasonably determines that restoration is not economically feasible, Tenant may, with the consent of the most senior Leasehold Mortgagee, terminate this Lease on one hundred eighty (180) days' notice, in which case (a) Tenant shall remove the damaged Improvements at Tenant's cost (or, at Landlord's election, leave them in place subject to a reasonable demolition allowance from Tenant), and (b) all insurance proceeds for the Improvements shall be paid to the Leasehold Mortgagee and Tenant (with the Leasehold Mortgagee's rights paid first); Landlord shall be entitled to insurance proceeds, if any, allocated to the residual reversion value, as determined by appraisal.</w:t>
      </w:r>
    </w:p>
    <w:p>
      <w:pPr>
        <w:spacing w:before="280" w:after="140"/>
        <w:keepNext/>
      </w:pPr>
      <w:r>
        <w:rPr>
          <w:b/>
          <w:bCs/>
          <w:sz w:val="28"/>
          <w:szCs w:val="28"/>
        </w:rPr>
        <w:t xml:space="preserve">ARTICLE 12.   CONDEMNATION</w:t>
      </w:r>
    </w:p>
    <w:p>
      <w:pPr>
        <w:spacing w:before="0" w:after="120"/>
      </w:pPr>
      <w:r>
        <w:rPr>
          <w:b/>
          <w:bCs/>
        </w:rPr>
        <w:t xml:space="preserve">12.1   Total Taking. </w:t>
      </w:r>
      <w:r>
        <w:t xml:space="preserve">If all or substantially all of the Premises is taken by eminent domain or deed in lieu of condemnation, this Lease terminates as of the date title vests in the condemnor.</w:t>
      </w:r>
    </w:p>
    <w:p>
      <w:pPr>
        <w:spacing w:before="0" w:after="120"/>
      </w:pPr>
      <w:r>
        <w:rPr>
          <w:b/>
          <w:bCs/>
        </w:rPr>
        <w:t xml:space="preserve">12.2   Partial Taking. </w:t>
      </w:r>
      <w:r>
        <w:t xml:space="preserve">If a partial taking renders the remainder of the Premises unsuitable for Tenant's use, as determined by Tenant in good faith with Leasehold Mortgagee consent, Tenant may terminate on sixty (60) days' notice. Otherwise, this Lease continues with respect to the remainder, Tenant shall restore the Improvements to a configuration appropriate to the remainder, and Annual Base Rent shall be equitably adjusted based on the relative land value taken.</w:t>
      </w:r>
    </w:p>
    <w:p>
      <w:pPr>
        <w:spacing w:before="0" w:after="120"/>
      </w:pPr>
      <w:r>
        <w:rPr>
          <w:b/>
          <w:bCs/>
        </w:rPr>
        <w:t xml:space="preserve">12.3   Allocation of Award. </w:t>
      </w:r>
      <w:r>
        <w:t xml:space="preserve">The condemnation award shall be allocated between Landlord and Tenant based on each party's respective interests: (a) Landlord receives the value of the fee taken (giving effect to the encumbrance of this Lease and the obligation to pay ground rent for the remainder of the Term); and (b) Tenant receives the value of its leasehold interest, including the value of the Improvements taken, any leasehold bonus value, and an amount equal to the unamortized portion of Tenant's investment in the Improvements. To the extent permitted by law, Tenant may pursue a separate award for moving costs, trade fixtures, business damages, and the Leasehold Mortgagee's claim, without reducing Landlord's award.</w:t>
      </w:r>
    </w:p>
    <w:p>
      <w:pPr>
        <w:spacing w:before="280" w:after="140"/>
        <w:keepNext/>
      </w:pPr>
      <w:r>
        <w:rPr>
          <w:b/>
          <w:bCs/>
          <w:sz w:val="28"/>
          <w:szCs w:val="28"/>
        </w:rPr>
        <w:t xml:space="preserve">ARTICLE 13.   ASSIGNMENT AND TRANSFER</w:t>
      </w:r>
    </w:p>
    <w:p>
      <w:pPr>
        <w:spacing w:before="0" w:after="120"/>
      </w:pPr>
      <w:r>
        <w:rPr>
          <w:b/>
          <w:bCs/>
        </w:rPr>
        <w:t xml:space="preserve">13.1   Right to Transfer. </w:t>
      </w:r>
      <w:r>
        <w:t xml:space="preserve">Following Substantial Completion of the Phase I Improvements, Tenant may assign this Lease, in whole, to a transferee that (a) is a single-purpose entity formed to own and operate self-storage facilities, or a self-storage operator/owner with reasonable experience and financial capacity; (b) assumes all obligations under this Lease in writing; and (c) (together with any guarantor) has a tangible net worth not less than $20,000,000. Such a transfer does not require Landlord's consent but does require Landlord's acknowledgment of compliance with this Section 13.1, not to be unreasonably withheld.</w:t>
      </w:r>
    </w:p>
    <w:p>
      <w:pPr>
        <w:spacing w:before="0" w:after="120"/>
      </w:pPr>
      <w:r>
        <w:rPr>
          <w:b/>
          <w:bCs/>
        </w:rPr>
        <w:t xml:space="preserve">13.2   Other Transfers. </w:t>
      </w:r>
      <w:r>
        <w:t xml:space="preserve">Transfers that do not meet Section 13.1 require Landlord's prior written consent, not to be unreasonably withheld.</w:t>
      </w:r>
    </w:p>
    <w:p>
      <w:pPr>
        <w:spacing w:before="0" w:after="120"/>
      </w:pPr>
      <w:r>
        <w:rPr>
          <w:b/>
          <w:bCs/>
        </w:rPr>
        <w:t xml:space="preserve">13.3   Sub-Subleases / Operator Agreements. </w:t>
      </w:r>
      <w:r>
        <w:t xml:space="preserve">Tenant may engage operators or property managers to manage the facility without Landlord's consent. Customer rental agreements are governed by Section 6.2.</w:t>
      </w:r>
    </w:p>
    <w:p>
      <w:pPr>
        <w:spacing w:before="0" w:after="120"/>
      </w:pPr>
      <w:r>
        <w:rPr>
          <w:b/>
          <w:bCs/>
        </w:rPr>
        <w:t xml:space="preserve">13.4   No Excess Consideration Sharing. </w:t>
      </w:r>
      <w:r>
        <w:t xml:space="preserve">No excess consideration is shared with Landlord on transfers under this Article 13. The parties acknowledge that this Lease is a long-term ground lease and that the residual reversion value to Landlord (the Improvements at the Expiration Date) is the primary economic benefit beyond ground rent.</w:t>
      </w:r>
    </w:p>
    <w:p>
      <w:pPr>
        <w:spacing w:before="0" w:after="120"/>
      </w:pPr>
      <w:r>
        <w:rPr>
          <w:b/>
          <w:bCs/>
        </w:rPr>
        <w:t xml:space="preserve">13.5   Effect of Transfer. </w:t>
      </w:r>
      <w:r>
        <w:t xml:space="preserve">Upon a transfer in compliance with this Article 13 in which the original Tenant transfers its entire interest, the original Tenant is released from obligations accruing after the transfer, provided the transferee assumes all obligations. The Leasehold Mortgagee's rights are preserved.</w:t>
      </w:r>
    </w:p>
    <w:p>
      <w:pPr>
        <w:spacing w:before="280" w:after="140"/>
        <w:keepNext/>
      </w:pPr>
      <w:r>
        <w:rPr>
          <w:b/>
          <w:bCs/>
          <w:sz w:val="28"/>
          <w:szCs w:val="28"/>
        </w:rPr>
        <w:t xml:space="preserve">ARTICLE 14.   EVENTS OF DEFAULT; REMEDIES</w:t>
      </w:r>
    </w:p>
    <w:p>
      <w:pPr>
        <w:spacing w:before="0" w:after="120"/>
      </w:pPr>
      <w:r>
        <w:rPr>
          <w:b/>
          <w:bCs/>
        </w:rPr>
        <w:t xml:space="preserve">14.1   Events of Default. </w:t>
      </w:r>
      <w:r>
        <w:t xml:space="preserve">Each of the following is an Event of Default: (a) failure to pay Annual Base Rent or other Rent within fifteen (15) days after written notice that the same is past due; (b) failure to maintain required insurance; (c) failure to commence construction within the milestone in Exhibit G or to achieve Substantial Completion by the Construction Outside Date as extended; (d) failure to maintain or restore the Improvements as required by Article 10 or Article 11; (e) imposition of liens not released or bonded within thirty (30) days after notice; (f) abandonment for more than ninety (90) consecutive days following Substantial Completion; (g) material misrepresentation; (h) insolvency, assignment for the benefit of creditors, or bankruptcy not dismissed within ninety (90) days; (i) an unauthorized transfer in violation of Article 13; and (j) failure to perform any other material covenant within sixty (60) days after written notice (subject to extension for matters that cannot reasonably be cured within that period if Tenant diligently pursues cure).</w:t>
      </w:r>
    </w:p>
    <w:p>
      <w:pPr>
        <w:spacing w:before="0" w:after="120"/>
      </w:pPr>
      <w:r>
        <w:rPr>
          <w:b/>
          <w:bCs/>
        </w:rPr>
        <w:t xml:space="preserve">14.2   Remedies. </w:t>
      </w:r>
      <w:r>
        <w:t xml:space="preserve">Subject in all cases to the cure rights of the Leasehold Mortgagee under Article 8, upon an Event of Default Landlord may (a) terminate this Lease, (b) terminate Tenant's right of possession without terminating this Lease, (c) cure the Default at Tenant's expense, (d) recover all unpaid Rent and damages, and (e) seek injunctive relief. Landlord shall use commercially reasonable efforts to mitigate as required by Utah law.</w:t>
      </w:r>
    </w:p>
    <w:p>
      <w:pPr>
        <w:spacing w:before="0" w:after="120"/>
      </w:pPr>
      <w:r>
        <w:rPr>
          <w:b/>
          <w:bCs/>
        </w:rPr>
        <w:t xml:space="preserve">14.3   Cumulative; No Waiver. </w:t>
      </w:r>
      <w:r>
        <w:t xml:space="preserve">Remedies are cumulative and not exclusive.</w:t>
      </w:r>
    </w:p>
    <w:p>
      <w:pPr>
        <w:spacing w:before="0" w:after="120"/>
      </w:pPr>
      <w:r>
        <w:rPr>
          <w:b/>
          <w:bCs/>
        </w:rPr>
        <w:t xml:space="preserve">14.4   Attorneys' Fees. </w:t>
      </w:r>
      <w:r>
        <w:t xml:space="preserve">Prevailing party recovers reasonable attorneys' fees and costs.</w:t>
      </w:r>
    </w:p>
    <w:p>
      <w:pPr>
        <w:spacing w:before="280" w:after="140"/>
        <w:keepNext/>
      </w:pPr>
      <w:r>
        <w:rPr>
          <w:b/>
          <w:bCs/>
          <w:sz w:val="28"/>
          <w:szCs w:val="28"/>
        </w:rPr>
        <w:t xml:space="preserve">ARTICLE 15.   SURRENDER AND REVERSION</w:t>
      </w:r>
    </w:p>
    <w:p>
      <w:pPr>
        <w:spacing w:before="0" w:after="120"/>
      </w:pPr>
      <w:r>
        <w:rPr>
          <w:b/>
          <w:bCs/>
        </w:rPr>
        <w:t xml:space="preserve">15.1   Reversion of Improvements. </w:t>
      </w:r>
      <w:r>
        <w:t xml:space="preserve">Upon the Expiration Date or earlier termination, all Improvements then situated on the Premises (excluding Tenant's removable personal property and any items Landlord requires Tenant to remove under Section 15.2) automatically revert to and become the property of Landlord, free and clear of any Leasehold Mortgage and free and clear of customer rental agreements, all of which terminate automatically as to the Improvements upon reversion.</w:t>
      </w:r>
    </w:p>
    <w:p>
      <w:pPr>
        <w:spacing w:before="0" w:after="120"/>
      </w:pPr>
      <w:r>
        <w:rPr>
          <w:b/>
          <w:bCs/>
        </w:rPr>
        <w:t xml:space="preserve">15.2   Surrender Condition. </w:t>
      </w:r>
      <w:r>
        <w:t xml:space="preserve">Tenant shall surrender the Premises and Improvements in reasonably good condition, in compliance with Laws, with all major building systems operational (or with reasonable remaining useful life consistent with prudent management throughout the Term). Tenant shall (a) deliver as-built drawings, warranty assignments, and equipment manuals; (b) remove personal property, signage, and customer goods; (c) deliver vacant possession with customer rental agreements terminated; (d) deliver an environmental closure letter from a qualified consultant confirming compliance with Article 9; (e) discharge all liens on the Improvements; and (f) deliver keys, access codes, and operating credentials.</w:t>
      </w:r>
    </w:p>
    <w:p>
      <w:pPr>
        <w:spacing w:before="0" w:after="120"/>
      </w:pPr>
      <w:r>
        <w:rPr>
          <w:b/>
          <w:bCs/>
        </w:rPr>
        <w:t xml:space="preserve">15.3   End-of-Term Condition Inspection. </w:t>
      </w:r>
      <w:r>
        <w:t xml:space="preserve">Beginning twenty-four (24) months prior to the Expiration Date, Landlord and Tenant shall jointly inspect the Improvements at six-month intervals to confirm condition. Any reasonable deferred maintenance items identified shall be addressed by Tenant on a schedule mutually agreed.</w:t>
      </w:r>
    </w:p>
    <w:p>
      <w:pPr>
        <w:spacing w:before="0" w:after="120"/>
      </w:pPr>
      <w:r>
        <w:rPr>
          <w:b/>
          <w:bCs/>
        </w:rPr>
        <w:t xml:space="preserve">15.4   No Holdover. </w:t>
      </w:r>
      <w:r>
        <w:t xml:space="preserve">Tenant shall not remain in possession after the Expiration Date. Any holdover shall be subject to holdover rent at one hundred fifty percent (150%) of the most-recent Annual Base Rent for the first ninety (90) days and two hundred percent (200%) thereafter, plus all damages and costs incurred by Landlord.</w:t>
      </w:r>
    </w:p>
    <w:p>
      <w:pPr>
        <w:spacing w:before="280" w:after="140"/>
        <w:keepNext/>
      </w:pPr>
      <w:r>
        <w:rPr>
          <w:b/>
          <w:bCs/>
          <w:sz w:val="28"/>
          <w:szCs w:val="28"/>
        </w:rPr>
        <w:t xml:space="preserve">ARTICLE 16.   INDEMNIFICATION; LIMITATION OF LIABILITY</w:t>
      </w:r>
    </w:p>
    <w:p>
      <w:pPr>
        <w:spacing w:before="0" w:after="120"/>
      </w:pPr>
      <w:r>
        <w:rPr>
          <w:b/>
          <w:bCs/>
        </w:rPr>
        <w:t xml:space="preserve">16.1   Tenant Indemnity. </w:t>
      </w:r>
      <w:r>
        <w:t xml:space="preserve">Tenant shall indemnify, defend, and hold harmless Landlord and its affiliates, members, managers, officers, employees, and agents from losses arising out of (a) Tenant's Default; (b) the negligence or willful misconduct of Tenant or any Tenant party; (c) Tenant's construction, ownership, use, occupancy, or operations at the Premises (including outdoor storage); (d) any Hazardous Materials caused by Tenant; and (e) any violation of Laws by Tenant or any Tenant party.</w:t>
      </w:r>
    </w:p>
    <w:p>
      <w:pPr>
        <w:spacing w:before="0" w:after="120"/>
      </w:pPr>
      <w:r>
        <w:rPr>
          <w:b/>
          <w:bCs/>
        </w:rPr>
        <w:t xml:space="preserve">16.2   Landlord Indemnity. </w:t>
      </w:r>
      <w:r>
        <w:t xml:space="preserve">Landlord shall indemnify Tenant from losses directly caused by Landlord's gross negligence or willful misconduct, subject to Section 16.3.</w:t>
      </w:r>
    </w:p>
    <w:p>
      <w:pPr>
        <w:spacing w:before="0" w:after="120"/>
      </w:pPr>
      <w:r>
        <w:rPr>
          <w:b/>
          <w:bCs/>
        </w:rPr>
        <w:t xml:space="preserve">16.3   Limitation. </w:t>
      </w:r>
      <w:r>
        <w:t xml:space="preserve">Tenant shall look solely to Landlord's interest in the Premises for recovery. No member, manager, officer, employee, or agent of Landlord has personal liability under this Lease.</w:t>
      </w:r>
    </w:p>
    <w:p>
      <w:pPr>
        <w:spacing w:before="280" w:after="140"/>
        <w:keepNext/>
      </w:pPr>
      <w:r>
        <w:rPr>
          <w:b/>
          <w:bCs/>
          <w:sz w:val="28"/>
          <w:szCs w:val="28"/>
        </w:rPr>
        <w:t xml:space="preserve">ARTICLE 17.   FORCE MAJEURE</w:t>
      </w:r>
    </w:p>
    <w:p>
      <w:pPr>
        <w:spacing w:before="0" w:after="120"/>
      </w:pPr>
      <w:r>
        <w:t xml:space="preserve">Except for payment of Rent, maintenance of insurance, surrender obligations, environmental obligations, and exercise of option/notice deadlines (other than the Construction Outside Date, which is extended for Force Majeure and Permit Delay as provided in Exhibit G), performance is extended for delays caused by events beyond reasonable control.</w:t>
      </w:r>
    </w:p>
    <w:p>
      <w:pPr>
        <w:spacing w:before="280" w:after="140"/>
        <w:keepNext/>
      </w:pPr>
      <w:r>
        <w:rPr>
          <w:b/>
          <w:bCs/>
          <w:sz w:val="28"/>
          <w:szCs w:val="28"/>
        </w:rPr>
        <w:t xml:space="preserve">ARTICLE 18.   ESTOPPEL; LIMITED SUBORDINATION</w:t>
      </w:r>
    </w:p>
    <w:p>
      <w:pPr>
        <w:spacing w:before="0" w:after="120"/>
      </w:pPr>
      <w:r>
        <w:rPr>
          <w:b/>
          <w:bCs/>
        </w:rPr>
        <w:t xml:space="preserve">18.1   Estoppel. </w:t>
      </w:r>
      <w:r>
        <w:t xml:space="preserve">Each party shall deliver an estoppel certificate within ten (10) business days after request, in the form of Exhibit H (Form of Estoppel).</w:t>
      </w:r>
    </w:p>
    <w:p>
      <w:pPr>
        <w:spacing w:before="0" w:after="120"/>
      </w:pPr>
      <w:r>
        <w:rPr>
          <w:b/>
          <w:bCs/>
        </w:rPr>
        <w:t xml:space="preserve">18.2   No Subordination by Landlord. </w:t>
      </w:r>
      <w:r>
        <w:t xml:space="preserve">Per Section 2.4, Landlord shall not subordinate the fee or this Lease to any fee-side mortgage. Any future fee mortgagee shall acknowledge in writing that this Lease and any Leasehold Mortgage are senior to its lien.</w:t>
      </w:r>
    </w:p>
    <w:p>
      <w:pPr>
        <w:spacing w:before="280" w:after="140"/>
        <w:keepNext/>
      </w:pPr>
      <w:r>
        <w:rPr>
          <w:b/>
          <w:bCs/>
          <w:sz w:val="28"/>
          <w:szCs w:val="28"/>
        </w:rPr>
        <w:t xml:space="preserve">ARTICLE 19.   MISCELLANEOUS</w:t>
      </w:r>
    </w:p>
    <w:p>
      <w:pPr>
        <w:spacing w:before="0" w:after="120"/>
      </w:pPr>
      <w:r>
        <w:rPr>
          <w:b/>
          <w:bCs/>
        </w:rPr>
        <w:t xml:space="preserve">19.1   Governing Law; Venue. </w:t>
      </w:r>
      <w:r>
        <w:t xml:space="preserve">Utah law governs. Venue is exclusively in the state and federal courts in Salt Lake County, Utah, except that disputes concerning rent resets shall be determined by appraisal procedures as set forth in Section 4.5.</w:t>
      </w:r>
    </w:p>
    <w:p>
      <w:pPr>
        <w:spacing w:before="0" w:after="120"/>
      </w:pPr>
      <w:r>
        <w:rPr>
          <w:b/>
          <w:bCs/>
        </w:rPr>
        <w:t xml:space="preserve">19.2   Notices. </w:t>
      </w:r>
      <w:r>
        <w:t xml:space="preserve">In writing, by personal delivery, certified mail (return receipt requested), or overnight courier, to the Article 1 addresses.</w:t>
      </w:r>
    </w:p>
    <w:p>
      <w:pPr>
        <w:spacing w:before="0" w:after="120"/>
      </w:pPr>
      <w:r>
        <w:rPr>
          <w:b/>
          <w:bCs/>
        </w:rPr>
        <w:t xml:space="preserve">19.3   Entire Agreement; Amendment. </w:t>
      </w:r>
      <w:r>
        <w:t xml:space="preserve">This Lease (including Exhibits) is the entire agreement; amendments require a writing signed by both parties (and the Leasehold Mortgagee under Section 8.5, where applicable).</w:t>
      </w:r>
    </w:p>
    <w:p>
      <w:pPr>
        <w:spacing w:before="0" w:after="120"/>
      </w:pPr>
      <w:r>
        <w:rPr>
          <w:b/>
          <w:bCs/>
        </w:rPr>
        <w:t xml:space="preserve">19.4   Authority. </w:t>
      </w:r>
      <w:r>
        <w:t xml:space="preserve">Each signatory is authorized to bind its party.</w:t>
      </w:r>
    </w:p>
    <w:p>
      <w:pPr>
        <w:spacing w:before="0" w:after="120"/>
      </w:pPr>
      <w:r>
        <w:rPr>
          <w:b/>
          <w:bCs/>
        </w:rPr>
        <w:t xml:space="preserve">19.5   Counterparts; Electronic Signatures. </w:t>
      </w:r>
      <w:r>
        <w:t xml:space="preserve">Permitted.</w:t>
      </w:r>
    </w:p>
    <w:p>
      <w:pPr>
        <w:spacing w:before="0" w:after="120"/>
      </w:pPr>
      <w:r>
        <w:rPr>
          <w:b/>
          <w:bCs/>
        </w:rPr>
        <w:t xml:space="preserve">19.6   Severability. </w:t>
      </w:r>
      <w:r>
        <w:t xml:space="preserve">Unenforceable provisions are severable.</w:t>
      </w:r>
    </w:p>
    <w:p>
      <w:pPr>
        <w:spacing w:before="0" w:after="120"/>
      </w:pPr>
      <w:r>
        <w:rPr>
          <w:b/>
          <w:bCs/>
        </w:rPr>
        <w:t xml:space="preserve">19.7   Waiver of Jury Trial. </w:t>
      </w:r>
      <w:r>
        <w:t xml:space="preserve">Mutual waiver to the maximum extent permitted by law.</w:t>
      </w:r>
    </w:p>
    <w:p>
      <w:pPr>
        <w:spacing w:before="0" w:after="120"/>
      </w:pPr>
      <w:r>
        <w:rPr>
          <w:b/>
          <w:bCs/>
        </w:rPr>
        <w:t xml:space="preserve">19.8   Time of the Essence. </w:t>
      </w:r>
      <w:r>
        <w:t xml:space="preserve">Time is of the essence (subject to applicable cure periods and Force Majeure extensions).</w:t>
      </w:r>
    </w:p>
    <w:p>
      <w:pPr>
        <w:spacing w:before="0" w:after="120"/>
      </w:pPr>
      <w:r>
        <w:rPr>
          <w:b/>
          <w:bCs/>
        </w:rPr>
        <w:t xml:space="preserve">19.9   OFAC. </w:t>
      </w:r>
      <w:r>
        <w:t xml:space="preserve">Each party is not on any U.S. government prohibited-party list.</w:t>
      </w:r>
    </w:p>
    <w:p>
      <w:pPr>
        <w:spacing w:before="0" w:after="120"/>
      </w:pPr>
      <w:r>
        <w:rPr>
          <w:b/>
          <w:bCs/>
        </w:rPr>
        <w:t xml:space="preserve">19.10   Survival. </w:t>
      </w:r>
      <w:r>
        <w:t xml:space="preserve">Indemnity, environmental, surrender, holdover, attorneys' fees, and reversion obligations survive expiration or termination.</w:t>
      </w:r>
    </w:p>
    <w:p>
      <w:pPr>
        <w:spacing w:before="0" w:after="120"/>
      </w:pPr>
      <w:r>
        <w:rPr>
          <w:b/>
          <w:bCs/>
        </w:rPr>
        <w:t xml:space="preserve">19.11   Memorandum; Recording. </w:t>
      </w:r>
      <w:r>
        <w:t xml:space="preserve">Concurrently with execution, the parties shall execute a Memorandum of Lease in the form of Exhibit F, which Tenant may record at its cost. Recording is appropriate for a Lease of this term.</w:t>
      </w:r>
    </w:p>
    <w:p>
      <w:pPr>
        <w:spacing w:before="0" w:after="120"/>
      </w:pPr>
      <w:r>
        <w:rPr>
          <w:b/>
          <w:bCs/>
        </w:rPr>
        <w:t xml:space="preserve">19.12   No Partnership. </w:t>
      </w:r>
      <w:r>
        <w:t xml:space="preserve">Nothing in this Lease creates a partnership, joint venture, or principal-agent relationship between Landlord and Tenant.</w:t>
      </w:r>
    </w:p>
    <w:p>
      <w:pPr>
        <w:spacing w:before="0" w:after="120"/>
      </w:pPr>
      <w:r>
        <w:rPr>
          <w:b/>
          <w:bCs/>
        </w:rPr>
        <w:t xml:space="preserve">19.13   No Real Estate Disclosure as Sale. </w:t>
      </w:r>
      <w:r>
        <w:t xml:space="preserve">This Lease shall not be construed as a sale or grant of any portion of the fee.</w:t>
      </w:r>
    </w:p>
    <w:p>
      <w:pPr>
        <w:spacing w:before="0" w:after="120"/>
      </w:pPr>
      <w:r>
        <w:rPr>
          <w:b/>
          <w:bCs/>
        </w:rPr>
        <w:t xml:space="preserve">19.14   Financial Statements. </w:t>
      </w:r>
      <w:r>
        <w:t xml:space="preserve">Tenant shall deliver reviewed or audited annual financial statements within one hundred fifty (150) days after fiscal year end (subject to confidentiality).</w:t>
      </w:r>
    </w:p>
    <w:p>
      <w:pPr>
        <w:spacing w:before="280" w:after="140"/>
        <w:keepNext/>
      </w:pPr>
      <w:r>
        <w:rPr>
          <w:b/>
          <w:bCs/>
          <w:sz w:val="28"/>
          <w:szCs w:val="28"/>
        </w:rPr>
        <w:t xml:space="preserve">ARTICLE 20.   SIGNATURES</w:t>
      </w:r>
    </w:p>
    <w:p>
      <w:pPr>
        <w:spacing w:before="0" w:after="120"/>
      </w:pPr>
      <w:r>
        <w:rPr>
          <w:b/>
          <w:bCs/>
        </w:rPr>
        <w:t xml:space="preserve">IN WITNESS WHEREOF, </w:t>
      </w:r>
      <w:r>
        <w:t xml:space="preserve">Landlord and Tenant have executed this Lease as of the Effective Date.</w:t>
      </w:r>
    </w:p>
    <w:p>
      <w:pPr>
        <w:spacing w:before="0" w:after="120"/>
      </w:pPr>
      <w:r>
        <w:t xml:space="preserve"> </w:t>
      </w:r>
    </w:p>
    <w:p>
      <w:pPr>
        <w:spacing w:before="0" w:after="120"/>
      </w:pPr>
      <w:r>
        <w:rPr>
          <w:b/>
          <w:bCs/>
        </w:rPr>
        <w:t xml:space="preserve">LANDLORD:</w:t>
      </w:r>
    </w:p>
    <w:p>
      <w:pPr>
        <w:spacing w:before="0" w:after="120"/>
      </w:pPr>
      <w:r>
        <w:rPr>
          <w:b/>
          <w:bCs/>
        </w:rPr>
        <w:t xml:space="preserve">BEEHIVE REALTY TRUST, LLC,</w:t>
      </w:r>
      <w:r>
        <w:t xml:space="preserve"> a Utah limited liability company</w:t>
      </w:r>
    </w:p>
    <w:p>
      <w:pPr>
        <w:spacing w:before="0" w:after="120"/>
      </w:pPr>
      <w:r>
        <w:t xml:space="preserve"> </w:t>
      </w:r>
    </w:p>
    <w:p>
      <w:pPr>
        <w:spacing w:before="0" w:after="120"/>
      </w:pPr>
      <w:r>
        <w:t xml:space="preserve">By: ___________________________________</w:t>
      </w:r>
    </w:p>
    <w:p>
      <w:pPr>
        <w:spacing w:before="0" w:after="120"/>
      </w:pPr>
      <w:r>
        <w:t xml:space="preserve">Name:  Cordelia P. Whitcombe</w:t>
      </w:r>
    </w:p>
    <w:p>
      <w:pPr>
        <w:spacing w:before="0" w:after="120"/>
      </w:pPr>
      <w:r>
        <w:t xml:space="preserve">Title: Managing Director, Leasing</w:t>
      </w:r>
    </w:p>
    <w:p>
      <w:pPr>
        <w:spacing w:before="0" w:after="120"/>
      </w:pPr>
      <w:r>
        <w:t xml:space="preserve"> </w:t>
      </w:r>
    </w:p>
    <w:p>
      <w:pPr>
        <w:spacing w:before="0" w:after="120"/>
      </w:pPr>
      <w:r>
        <w:rPr>
          <w:b/>
          <w:bCs/>
        </w:rPr>
        <w:t xml:space="preserve">TENANT:</w:t>
      </w:r>
    </w:p>
    <w:p>
      <w:pPr>
        <w:spacing w:before="0" w:after="120"/>
      </w:pPr>
      <w:r>
        <w:rPr>
          <w:b/>
          <w:bCs/>
        </w:rPr>
        <w:t xml:space="preserve">SALTGRASS STORAGE GROUP, LLC,</w:t>
      </w:r>
      <w:r>
        <w:t xml:space="preserve"> a Utah limited liability company</w:t>
      </w:r>
    </w:p>
    <w:p>
      <w:pPr>
        <w:spacing w:before="0" w:after="120"/>
      </w:pPr>
      <w:r>
        <w:t xml:space="preserve"> </w:t>
      </w:r>
    </w:p>
    <w:p>
      <w:pPr>
        <w:spacing w:before="0" w:after="120"/>
      </w:pPr>
      <w:r>
        <w:t xml:space="preserve">By: ___________________________________</w:t>
      </w:r>
    </w:p>
    <w:p>
      <w:pPr>
        <w:spacing w:before="0" w:after="120"/>
      </w:pPr>
      <w:r>
        <w:t xml:space="preserve">Name:  Beatrix M. Hollander</w:t>
      </w:r>
    </w:p>
    <w:p>
      <w:pPr>
        <w:spacing w:before="0" w:after="120"/>
      </w:pPr>
      <w:r>
        <w:t xml:space="preserve">Title: Managing Member</w:t>
      </w:r>
    </w:p>
    <w:p>
      <w:r>
        <w:br w:type="page"/>
      </w:r>
    </w:p>
    <w:p>
      <w:pPr>
        <w:jc w:val="center"/>
        <w:spacing w:before="0" w:after="40"/>
      </w:pPr>
      <w:r>
        <w:rPr>
          <w:b/>
          <w:bCs/>
          <w:sz w:val="32"/>
          <w:szCs w:val="32"/>
        </w:rPr>
        <w:t xml:space="preserve">EXHIBIT A</w:t>
      </w:r>
    </w:p>
    <w:p>
      <w:pPr>
        <w:jc w:val="center"/>
        <w:spacing w:before="0" w:after="160"/>
      </w:pPr>
      <w:r>
        <w:rPr>
          <w:b/>
          <w:bCs/>
          <w:sz w:val="26"/>
          <w:szCs w:val="26"/>
        </w:rPr>
        <w:t xml:space="preserve">Legal Description</w:t>
      </w:r>
    </w:p>
    <w:p>
      <w:pPr>
        <w:spacing w:before="0" w:after="120"/>
      </w:pPr>
      <w:r>
        <w:t xml:space="preserve">A parcel of land located in Section 14, Township 5 South, Range 1 West, Salt Lake Base and Meridian, Utah County, Utah, more particularly described as follows:</w:t>
      </w:r>
    </w:p>
    <w:p>
      <w:pPr>
        <w:spacing w:before="0" w:after="120"/>
      </w:pPr>
      <w:r>
        <w:rPr>
          <w:i/>
        </w:rPr>
        <w:t xml:space="preserve">Commencing at the southeast corner of said Section 14, thence North 89° 47′ 12″ West 1,326.40 feet along the south line of said Section 14 to the southeast corner of the parcel; thence North 00° 12′ 48″ East 470.00 feet; thence North 89° 47′ 12″ West 480.00 feet; thence South 00° 12′ 48″ West 470.00 feet to the south line of said Section 14; thence South 89° 47′ 12″ East 480.00 feet along said south line to the point of beginning. Containing approximately 5.18 acres, more or less.</w:t>
      </w:r>
    </w:p>
    <w:p>
      <w:pPr>
        <w:spacing w:before="0" w:after="120"/>
      </w:pPr>
      <w:r>
        <w:t xml:space="preserve">Together with all rights of access, ingress, egress, and utility easements appurtenant to the foregoing.</w:t>
      </w:r>
    </w:p>
    <w:p>
      <w:pPr>
        <w:spacing w:before="0" w:after="120"/>
      </w:pPr>
      <w:r>
        <w:rPr>
          <w:i/>
        </w:rPr>
        <w:t xml:space="preserve">[Surveyor's sealed legal description and ALTA/NSPS survey to be attached at execution.]</w:t>
      </w:r>
    </w:p>
    <w:p>
      <w:r>
        <w:br w:type="page"/>
      </w:r>
    </w:p>
    <w:p>
      <w:pPr>
        <w:jc w:val="center"/>
        <w:spacing w:before="0" w:after="40"/>
      </w:pPr>
      <w:r>
        <w:rPr>
          <w:b/>
          <w:bCs/>
          <w:sz w:val="32"/>
          <w:szCs w:val="32"/>
        </w:rPr>
        <w:t xml:space="preserve">EXHIBIT A-1</w:t>
      </w:r>
    </w:p>
    <w:p>
      <w:pPr>
        <w:jc w:val="center"/>
        <w:spacing w:before="0" w:after="160"/>
      </w:pPr>
      <w:r>
        <w:rPr>
          <w:b/>
          <w:bCs/>
          <w:sz w:val="26"/>
          <w:szCs w:val="26"/>
        </w:rPr>
        <w:t xml:space="preserve">Site Plan — Proposed Improvements</w:t>
      </w:r>
    </w:p>
    <w:p>
      <w:pPr>
        <w:spacing w:before="0" w:after="120"/>
      </w:pPr>
      <w:r>
        <w:t xml:space="preserve">The Phase I Improvements consist of a three-story climate-controlled self-storage building (approximately 85,000 NSF, approximately 750 units), a leasing office (approximately 600 SF), fenced and gated outdoor RV/boat/auto storage (approximately 150 stalls), perimeter fencing, gated access, surveillance, landscaping, drive aisles, and stormwater facilities, as depicted below. Phase II expansion shown is pre-approved at a conceptual level subject to Section 5.2.</w:t>
      </w:r>
    </w:p>
    <w:p>
      <w:pPr>
        <w:jc w:val="center"/>
        <w:spacing w:before="120" w:after="120"/>
      </w:pPr>
      <w:r>
        <w:drawing>
          <wp:inline distT="0" distB="0" distL="0" distR="0">
            <wp:extent cx="6248400" cy="4015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Pic1"/>
                    <a:stretch>
                      <a:fillRect/>
                    </a:stretch>
                  </pic:blipFill>
                  <pic:spPr>
                    <a:xfrm>
                      <a:off x="0" y="0"/>
                      <a:ext cx="6248400" cy="4015800"/>
                    </a:xfrm>
                    <a:prstGeom prst="rect">
                      <a:avLst/>
                    </a:prstGeom>
                  </pic:spPr>
                </pic:pic>
              </a:graphicData>
            </a:graphic>
          </wp:inline>
        </w:drawing>
      </w:r>
    </w:p>
    <w:p>
      <w:r>
        <w:br w:type="page"/>
      </w:r>
    </w:p>
    <w:p>
      <w:pPr>
        <w:jc w:val="center"/>
        <w:spacing w:before="0" w:after="40"/>
      </w:pPr>
      <w:r>
        <w:rPr>
          <w:b/>
          <w:bCs/>
          <w:sz w:val="32"/>
          <w:szCs w:val="32"/>
        </w:rPr>
        <w:t xml:space="preserve">EXHIBIT B</w:t>
      </w:r>
    </w:p>
    <w:p>
      <w:pPr>
        <w:jc w:val="center"/>
        <w:spacing w:before="0" w:after="160"/>
      </w:pPr>
      <w:r>
        <w:rPr>
          <w:b/>
          <w:bCs/>
          <w:sz w:val="26"/>
          <w:szCs w:val="26"/>
        </w:rPr>
        <w:t xml:space="preserve">Permitted Encumbrances</w:t>
      </w:r>
    </w:p>
    <w:p>
      <w:pPr>
        <w:spacing w:before="0" w:after="120"/>
      </w:pPr>
      <w:r>
        <w:t xml:space="preserve">1.   Real property taxes and assessments not yet due and payable.</w:t>
      </w:r>
    </w:p>
    <w:p>
      <w:pPr>
        <w:spacing w:before="0" w:after="120"/>
      </w:pPr>
      <w:r>
        <w:t xml:space="preserve">2.   Easements, conditions, and restrictions of record as of the Effective Date, including the matters disclosed in the title commitment delivered to Tenant during due diligence (Title Commitment No. SLC-2026-04827, dated September 15, 2026).</w:t>
      </w:r>
    </w:p>
    <w:p>
      <w:pPr>
        <w:spacing w:before="0" w:after="120"/>
      </w:pPr>
      <w:r>
        <w:t xml:space="preserve">3.   Zoning, building, and land-use regulations of Saratoga Springs and Utah County.</w:t>
      </w:r>
    </w:p>
    <w:p>
      <w:pPr>
        <w:spacing w:before="0" w:after="120"/>
      </w:pPr>
      <w:r>
        <w:t xml:space="preserve">4.   Utility easements granted by Landlord at Tenant's request to permit utility service to the Improvements, on terms reasonably approved by Tenant and the Leasehold Mortgagee.</w:t>
      </w:r>
    </w:p>
    <w:p>
      <w:pPr>
        <w:spacing w:before="0" w:after="120"/>
      </w:pPr>
      <w:r>
        <w:t xml:space="preserve">5.   The Memorandum of Lease in the form of Exhibit F.</w:t>
      </w:r>
    </w:p>
    <w:p>
      <w:pPr>
        <w:spacing w:before="0" w:after="120"/>
      </w:pPr>
      <w:r>
        <w:t xml:space="preserve">6.   Any Leasehold Mortgage permitted under Article 8 (as an encumbrance on the leasehold only, not the fee).</w:t>
      </w:r>
    </w:p>
    <w:p>
      <w:r>
        <w:br w:type="page"/>
      </w:r>
    </w:p>
    <w:p>
      <w:pPr>
        <w:jc w:val="center"/>
        <w:spacing w:before="0" w:after="40"/>
      </w:pPr>
      <w:r>
        <w:rPr>
          <w:b/>
          <w:bCs/>
          <w:sz w:val="32"/>
          <w:szCs w:val="32"/>
        </w:rPr>
        <w:t xml:space="preserve">EXHIBIT C</w:t>
      </w:r>
    </w:p>
    <w:p>
      <w:pPr>
        <w:jc w:val="center"/>
        <w:spacing w:before="0" w:after="160"/>
      </w:pPr>
      <w:r>
        <w:rPr>
          <w:b/>
          <w:bCs/>
          <w:sz w:val="26"/>
          <w:szCs w:val="26"/>
        </w:rPr>
        <w:t xml:space="preserve">Insurance Requirements</w:t>
      </w:r>
    </w:p>
    <w:p>
      <w:pPr>
        <w:spacing w:before="0" w:after="120"/>
      </w:pPr>
      <w:r>
        <w:rPr>
          <w:b/>
          <w:bCs/>
        </w:rPr>
        <w:t xml:space="preserve">C.1   Construction Phase. </w:t>
      </w:r>
    </w:p>
    <w:tbl>
      <w:tblPr>
        <w:tblW w:w="9500" w:type="dxa"/>
        <w:tblBorders>
          <w:top w:val="single" w:sz="4" w:color="9CA3AF"/>
          <w:left w:val="single" w:sz="4" w:color="9CA3AF"/>
          <w:bottom w:val="single" w:sz="4" w:color="9CA3AF"/>
          <w:right w:val="single" w:sz="4" w:color="9CA3AF"/>
          <w:insideH w:val="single" w:sz="4" w:color="9CA3AF"/>
          <w:insideV w:val="single" w:sz="4" w:color="9CA3AF"/>
        </w:tblBorders>
      </w:tblPr>
      <w:tblGrid>
        <w:gridCol w:w="3600"/>
        <w:gridCol w:w="5900"/>
      </w:tblGrid>
      <w:tr>
        <w:tc>
          <w:tcPr>
            <w:tcW w:w="3600" w:type="dxa"/>
            <w:shd w:val="clear" w:color="auto" w:fill="E5E7EB"/>
          </w:tcPr>
          <w:p>
            <w:pPr>
              <w:spacing w:before="0" w:after="60"/>
            </w:pPr>
            <w:r>
              <w:rPr>
                <w:b/>
                <w:bCs/>
              </w:rPr>
              <w:t xml:space="preserve">Policy</w:t>
            </w:r>
          </w:p>
        </w:tc>
        <w:tc>
          <w:tcPr>
            <w:tcW w:w="5900" w:type="dxa"/>
            <w:shd w:val="clear" w:color="auto" w:fill="E5E7EB"/>
          </w:tcPr>
          <w:p>
            <w:pPr>
              <w:spacing w:before="0" w:after="60"/>
            </w:pPr>
            <w:r>
              <w:rPr>
                <w:b/>
                <w:bCs/>
              </w:rPr>
              <w:t xml:space="preserve">Minimum Limit / Notes</w:t>
            </w:r>
          </w:p>
        </w:tc>
      </w:tr>
      <w:tr>
        <w:tc>
          <w:tcPr>
            <w:tcW w:w="3600" w:type="dxa"/>
          </w:tcPr>
          <w:p>
            <w:pPr>
              <w:spacing w:before="0" w:after="60"/>
            </w:pPr>
            <w:r>
              <w:t xml:space="preserve">Builder's Risk</w:t>
            </w:r>
          </w:p>
        </w:tc>
        <w:tc>
          <w:tcPr>
            <w:tcW w:w="5900" w:type="dxa"/>
          </w:tcPr>
          <w:p>
            <w:pPr>
              <w:spacing w:before="0" w:after="60"/>
            </w:pPr>
            <w:r>
              <w:t xml:space="preserve">Full replacement cost of the Improvements under construction, including soft costs and delay-in-completion endorsement.</w:t>
            </w:r>
          </w:p>
        </w:tc>
      </w:tr>
      <w:tr>
        <w:tc>
          <w:tcPr>
            <w:tcW w:w="3600" w:type="dxa"/>
          </w:tcPr>
          <w:p>
            <w:pPr>
              <w:spacing w:before="0" w:after="60"/>
            </w:pPr>
            <w:r>
              <w:t xml:space="preserve">Commercial General Liability (Tenant and GC)</w:t>
            </w:r>
          </w:p>
        </w:tc>
        <w:tc>
          <w:tcPr>
            <w:tcW w:w="5900" w:type="dxa"/>
          </w:tcPr>
          <w:p>
            <w:pPr>
              <w:spacing w:before="0" w:after="60"/>
            </w:pPr>
            <w:r>
              <w:t xml:space="preserve">$2,000,000 / $5,000,000 / $5,000,000 (Per Occurrence / GA / PCO).</w:t>
            </w:r>
          </w:p>
        </w:tc>
      </w:tr>
      <w:tr>
        <w:tc>
          <w:tcPr>
            <w:tcW w:w="3600" w:type="dxa"/>
          </w:tcPr>
          <w:p>
            <w:pPr>
              <w:spacing w:before="0" w:after="60"/>
            </w:pPr>
            <w:r>
              <w:t xml:space="preserve">Workers' Compensation / Employer's Liability</w:t>
            </w:r>
          </w:p>
        </w:tc>
        <w:tc>
          <w:tcPr>
            <w:tcW w:w="5900" w:type="dxa"/>
          </w:tcPr>
          <w:p>
            <w:pPr>
              <w:spacing w:before="0" w:after="60"/>
            </w:pPr>
            <w:r>
              <w:t xml:space="preserve">Statutory; EL $1,000,000.</w:t>
            </w:r>
          </w:p>
        </w:tc>
      </w:tr>
      <w:tr>
        <w:tc>
          <w:tcPr>
            <w:tcW w:w="3600" w:type="dxa"/>
          </w:tcPr>
          <w:p>
            <w:pPr>
              <w:spacing w:before="0" w:after="60"/>
            </w:pPr>
            <w:r>
              <w:t xml:space="preserve">Commercial Auto</w:t>
            </w:r>
          </w:p>
        </w:tc>
        <w:tc>
          <w:tcPr>
            <w:tcW w:w="5900" w:type="dxa"/>
          </w:tcPr>
          <w:p>
            <w:pPr>
              <w:spacing w:before="0" w:after="60"/>
            </w:pPr>
            <w:r>
              <w:t xml:space="preserve">$1,000,000.</w:t>
            </w:r>
          </w:p>
        </w:tc>
      </w:tr>
      <w:tr>
        <w:tc>
          <w:tcPr>
            <w:tcW w:w="3600" w:type="dxa"/>
          </w:tcPr>
          <w:p>
            <w:pPr>
              <w:spacing w:before="0" w:after="60"/>
            </w:pPr>
            <w:r>
              <w:t xml:space="preserve">Contractor's Pollution Liability</w:t>
            </w:r>
          </w:p>
        </w:tc>
        <w:tc>
          <w:tcPr>
            <w:tcW w:w="5900" w:type="dxa"/>
          </w:tcPr>
          <w:p>
            <w:pPr>
              <w:spacing w:before="0" w:after="60"/>
            </w:pPr>
            <w:r>
              <w:t xml:space="preserve">$2,000,000 per occurrence / $4,000,000 aggregate.</w:t>
            </w:r>
          </w:p>
        </w:tc>
      </w:tr>
      <w:tr>
        <w:tc>
          <w:tcPr>
            <w:tcW w:w="3600" w:type="dxa"/>
          </w:tcPr>
          <w:p>
            <w:pPr>
              <w:spacing w:before="0" w:after="60"/>
            </w:pPr>
            <w:r>
              <w:t xml:space="preserve">Professional (Architect/Engineer)</w:t>
            </w:r>
          </w:p>
        </w:tc>
        <w:tc>
          <w:tcPr>
            <w:tcW w:w="5900" w:type="dxa"/>
          </w:tcPr>
          <w:p>
            <w:pPr>
              <w:spacing w:before="0" w:after="60"/>
            </w:pPr>
            <w:r>
              <w:t xml:space="preserve">$2,000,000 per claim.</w:t>
            </w:r>
          </w:p>
        </w:tc>
      </w:tr>
      <w:tr>
        <w:tc>
          <w:tcPr>
            <w:tcW w:w="3600" w:type="dxa"/>
          </w:tcPr>
          <w:p>
            <w:pPr>
              <w:spacing w:before="0" w:after="60"/>
            </w:pPr>
            <w:r>
              <w:t xml:space="preserve">Umbrella / Excess</w:t>
            </w:r>
          </w:p>
        </w:tc>
        <w:tc>
          <w:tcPr>
            <w:tcW w:w="5900" w:type="dxa"/>
          </w:tcPr>
          <w:p>
            <w:pPr>
              <w:spacing w:before="0" w:after="60"/>
            </w:pPr>
            <w:r>
              <w:t xml:space="preserve">$10,000,000 each occurrence/aggregate.</w:t>
            </w:r>
          </w:p>
        </w:tc>
      </w:tr>
      <w:tr>
        <w:tc>
          <w:tcPr>
            <w:tcW w:w="3600" w:type="dxa"/>
          </w:tcPr>
          <w:p>
            <w:pPr>
              <w:spacing w:before="0" w:after="60"/>
            </w:pPr>
            <w:r>
              <w:t xml:space="preserve">Performance / Payment Bonds</w:t>
            </w:r>
          </w:p>
        </w:tc>
        <w:tc>
          <w:tcPr>
            <w:tcW w:w="5900" w:type="dxa"/>
          </w:tcPr>
          <w:p>
            <w:pPr>
              <w:spacing w:before="0" w:after="60"/>
            </w:pPr>
            <w:r>
              <w:t xml:space="preserve">In full contract amount (100% performance / 100% payment).</w:t>
            </w:r>
          </w:p>
        </w:tc>
      </w:tr>
    </w:tbl>
    <w:p>
      <w:pPr>
        <w:spacing w:before="0" w:after="80"/>
      </w:pPr>
    </w:p>
    <w:p>
      <w:pPr>
        <w:spacing w:before="0" w:after="120"/>
      </w:pPr>
      <w:r>
        <w:rPr>
          <w:b/>
          <w:bCs/>
        </w:rPr>
        <w:t xml:space="preserve">C.2   Operations Phase. </w:t>
      </w:r>
    </w:p>
    <w:tbl>
      <w:tblPr>
        <w:tblW w:w="9500" w:type="dxa"/>
        <w:tblBorders>
          <w:top w:val="single" w:sz="4" w:color="9CA3AF"/>
          <w:left w:val="single" w:sz="4" w:color="9CA3AF"/>
          <w:bottom w:val="single" w:sz="4" w:color="9CA3AF"/>
          <w:right w:val="single" w:sz="4" w:color="9CA3AF"/>
          <w:insideH w:val="single" w:sz="4" w:color="9CA3AF"/>
          <w:insideV w:val="single" w:sz="4" w:color="9CA3AF"/>
        </w:tblBorders>
      </w:tblPr>
      <w:tblGrid>
        <w:gridCol w:w="3600"/>
        <w:gridCol w:w="5900"/>
      </w:tblGrid>
      <w:tr>
        <w:tc>
          <w:tcPr>
            <w:tcW w:w="3600" w:type="dxa"/>
            <w:shd w:val="clear" w:color="auto" w:fill="E5E7EB"/>
          </w:tcPr>
          <w:p>
            <w:pPr>
              <w:spacing w:before="0" w:after="60"/>
            </w:pPr>
            <w:r>
              <w:rPr>
                <w:b/>
                <w:bCs/>
              </w:rPr>
              <w:t xml:space="preserve">Policy</w:t>
            </w:r>
          </w:p>
        </w:tc>
        <w:tc>
          <w:tcPr>
            <w:tcW w:w="5900" w:type="dxa"/>
            <w:shd w:val="clear" w:color="auto" w:fill="E5E7EB"/>
          </w:tcPr>
          <w:p>
            <w:pPr>
              <w:spacing w:before="0" w:after="60"/>
            </w:pPr>
            <w:r>
              <w:rPr>
                <w:b/>
                <w:bCs/>
              </w:rPr>
              <w:t xml:space="preserve">Minimum Limit / Notes</w:t>
            </w:r>
          </w:p>
        </w:tc>
      </w:tr>
      <w:tr>
        <w:tc>
          <w:tcPr>
            <w:tcW w:w="3600" w:type="dxa"/>
          </w:tcPr>
          <w:p>
            <w:pPr>
              <w:spacing w:before="0" w:after="60"/>
            </w:pPr>
            <w:r>
              <w:t xml:space="preserve">Commercial General Liability</w:t>
            </w:r>
          </w:p>
        </w:tc>
        <w:tc>
          <w:tcPr>
            <w:tcW w:w="5900" w:type="dxa"/>
          </w:tcPr>
          <w:p>
            <w:pPr>
              <w:spacing w:before="0" w:after="60"/>
            </w:pPr>
            <w:r>
              <w:t xml:space="preserve">$2,000,000 / $5,000,000 aggregate.</w:t>
            </w:r>
          </w:p>
        </w:tc>
      </w:tr>
      <w:tr>
        <w:tc>
          <w:tcPr>
            <w:tcW w:w="3600" w:type="dxa"/>
          </w:tcPr>
          <w:p>
            <w:pPr>
              <w:spacing w:before="0" w:after="60"/>
            </w:pPr>
            <w:r>
              <w:t xml:space="preserve">Commercial Property (Special Form, replacement cost)</w:t>
            </w:r>
          </w:p>
        </w:tc>
        <w:tc>
          <w:tcPr>
            <w:tcW w:w="5900" w:type="dxa"/>
          </w:tcPr>
          <w:p>
            <w:pPr>
              <w:spacing w:before="0" w:after="60"/>
            </w:pPr>
            <w:r>
              <w:t xml:space="preserve">Full replacement cost of the Improvements and Tenant property.</w:t>
            </w:r>
          </w:p>
        </w:tc>
      </w:tr>
      <w:tr>
        <w:tc>
          <w:tcPr>
            <w:tcW w:w="3600" w:type="dxa"/>
          </w:tcPr>
          <w:p>
            <w:pPr>
              <w:spacing w:before="0" w:after="60"/>
            </w:pPr>
            <w:r>
              <w:t xml:space="preserve">Business Income / Extra Expense</w:t>
            </w:r>
          </w:p>
        </w:tc>
        <w:tc>
          <w:tcPr>
            <w:tcW w:w="5900" w:type="dxa"/>
          </w:tcPr>
          <w:p>
            <w:pPr>
              <w:spacing w:before="0" w:after="60"/>
            </w:pPr>
            <w:r>
              <w:t xml:space="preserve">Twelve (12) months.</w:t>
            </w:r>
          </w:p>
        </w:tc>
      </w:tr>
      <w:tr>
        <w:tc>
          <w:tcPr>
            <w:tcW w:w="3600" w:type="dxa"/>
          </w:tcPr>
          <w:p>
            <w:pPr>
              <w:spacing w:before="0" w:after="60"/>
            </w:pPr>
            <w:r>
              <w:t xml:space="preserve">Workers' Compensation / Employer's Liability</w:t>
            </w:r>
          </w:p>
        </w:tc>
        <w:tc>
          <w:tcPr>
            <w:tcW w:w="5900" w:type="dxa"/>
          </w:tcPr>
          <w:p>
            <w:pPr>
              <w:spacing w:before="0" w:after="60"/>
            </w:pPr>
            <w:r>
              <w:t xml:space="preserve">Statutory; EL $1,000,000.</w:t>
            </w:r>
          </w:p>
        </w:tc>
      </w:tr>
      <w:tr>
        <w:tc>
          <w:tcPr>
            <w:tcW w:w="3600" w:type="dxa"/>
          </w:tcPr>
          <w:p>
            <w:pPr>
              <w:spacing w:before="0" w:after="60"/>
            </w:pPr>
            <w:r>
              <w:t xml:space="preserve">Commercial Auto Liability</w:t>
            </w:r>
          </w:p>
        </w:tc>
        <w:tc>
          <w:tcPr>
            <w:tcW w:w="5900" w:type="dxa"/>
          </w:tcPr>
          <w:p>
            <w:pPr>
              <w:spacing w:before="0" w:after="60"/>
            </w:pPr>
            <w:r>
              <w:t xml:space="preserve">$1,000,000.</w:t>
            </w:r>
          </w:p>
        </w:tc>
      </w:tr>
      <w:tr>
        <w:tc>
          <w:tcPr>
            <w:tcW w:w="3600" w:type="dxa"/>
          </w:tcPr>
          <w:p>
            <w:pPr>
              <w:spacing w:before="0" w:after="60"/>
            </w:pPr>
            <w:r>
              <w:t xml:space="preserve">Customer Goods Legal Liability</w:t>
            </w:r>
          </w:p>
        </w:tc>
        <w:tc>
          <w:tcPr>
            <w:tcW w:w="5900" w:type="dxa"/>
          </w:tcPr>
          <w:p>
            <w:pPr>
              <w:spacing w:before="0" w:after="60"/>
            </w:pPr>
            <w:r>
              <w:t xml:space="preserve">As customary in the self-storage industry, to the extent commercially available.</w:t>
            </w:r>
          </w:p>
        </w:tc>
      </w:tr>
      <w:tr>
        <w:tc>
          <w:tcPr>
            <w:tcW w:w="3600" w:type="dxa"/>
          </w:tcPr>
          <w:p>
            <w:pPr>
              <w:spacing w:before="0" w:after="60"/>
            </w:pPr>
            <w:r>
              <w:t xml:space="preserve">Cyber Liability</w:t>
            </w:r>
          </w:p>
        </w:tc>
        <w:tc>
          <w:tcPr>
            <w:tcW w:w="5900" w:type="dxa"/>
          </w:tcPr>
          <w:p>
            <w:pPr>
              <w:spacing w:before="0" w:after="60"/>
            </w:pPr>
            <w:r>
              <w:t xml:space="preserve">$2,000,000, with coverage for customer data breach and notification expenses.</w:t>
            </w:r>
          </w:p>
        </w:tc>
      </w:tr>
      <w:tr>
        <w:tc>
          <w:tcPr>
            <w:tcW w:w="3600" w:type="dxa"/>
          </w:tcPr>
          <w:p>
            <w:pPr>
              <w:spacing w:before="0" w:after="60"/>
            </w:pPr>
            <w:r>
              <w:t xml:space="preserve">Umbrella / Excess Liability</w:t>
            </w:r>
          </w:p>
        </w:tc>
        <w:tc>
          <w:tcPr>
            <w:tcW w:w="5900" w:type="dxa"/>
          </w:tcPr>
          <w:p>
            <w:pPr>
              <w:spacing w:before="0" w:after="60"/>
            </w:pPr>
            <w:r>
              <w:t xml:space="preserve">$10,000,000.</w:t>
            </w:r>
          </w:p>
        </w:tc>
      </w:tr>
    </w:tbl>
    <w:p>
      <w:pPr>
        <w:spacing w:before="0" w:after="80"/>
      </w:pPr>
    </w:p>
    <w:p>
      <w:pPr>
        <w:spacing w:before="0" w:after="120"/>
      </w:pPr>
      <w:r>
        <w:rPr>
          <w:b/>
          <w:bCs/>
        </w:rPr>
        <w:t xml:space="preserve">C.3   Additional Insureds. </w:t>
      </w:r>
      <w:r>
        <w:t xml:space="preserve">Landlord and any Leasehold Mortgagee shall be named as additional insureds on the CGL, Auto, Pollution, and Umbrella policies on a primary and noncontributory basis. Insurers must be rated not less than A-/VIII by A.M. Best.</w:t>
      </w:r>
    </w:p>
    <w:p>
      <w:pPr>
        <w:spacing w:before="0" w:after="120"/>
      </w:pPr>
      <w:r>
        <w:rPr>
          <w:b/>
          <w:bCs/>
        </w:rPr>
        <w:t xml:space="preserve">C.4   Certificates; Failure to Insure. </w:t>
      </w:r>
      <w:r>
        <w:t xml:space="preserve">Tenant shall deliver certificates of insurance and required endorsements before the Commencement Date and at least thirty (30) days before each policy expiration. If Tenant fails to maintain required insurance, Landlord may procure it and charge Tenant the cost plus a ten percent (10%) administrative fee.</w:t>
      </w:r>
    </w:p>
    <w:p>
      <w:r>
        <w:br w:type="page"/>
      </w:r>
    </w:p>
    <w:p>
      <w:pPr>
        <w:jc w:val="center"/>
        <w:spacing w:before="0" w:after="40"/>
      </w:pPr>
      <w:r>
        <w:rPr>
          <w:b/>
          <w:bCs/>
          <w:sz w:val="32"/>
          <w:szCs w:val="32"/>
        </w:rPr>
        <w:t xml:space="preserve">EXHIBIT D</w:t>
      </w:r>
    </w:p>
    <w:p>
      <w:pPr>
        <w:jc w:val="center"/>
        <w:spacing w:before="0" w:after="160"/>
      </w:pPr>
      <w:r>
        <w:rPr>
          <w:b/>
          <w:bCs/>
          <w:sz w:val="26"/>
          <w:szCs w:val="26"/>
        </w:rPr>
        <w:t xml:space="preserve">Tenant Contact Information</w:t>
      </w:r>
    </w:p>
    <w:p>
      <w:pPr>
        <w:spacing w:before="0" w:after="120"/>
      </w:pPr>
      <w:r>
        <w:t xml:space="preserve">Tenant shall maintain the following primary contact for all matters under this Lease, and shall provide written notice of any change within ten (10) business days.</w:t>
      </w:r>
    </w:p>
    <w:tbl>
      <w:tblPr>
        <w:tblW w:w="9500" w:type="dxa"/>
        <w:tblBorders>
          <w:top w:val="single" w:sz="4" w:color="9CA3AF"/>
          <w:left w:val="single" w:sz="4" w:color="9CA3AF"/>
          <w:bottom w:val="single" w:sz="4" w:color="9CA3AF"/>
          <w:right w:val="single" w:sz="4" w:color="9CA3AF"/>
          <w:insideH w:val="single" w:sz="4" w:color="9CA3AF"/>
          <w:insideV w:val="single" w:sz="4" w:color="9CA3AF"/>
        </w:tblBorders>
      </w:tblPr>
      <w:tblGrid>
        <w:gridCol w:w="3000"/>
        <w:gridCol w:w="6500"/>
      </w:tblGrid>
      <w:tr>
        <w:tc>
          <w:tcPr>
            <w:tcW w:w="3000" w:type="dxa"/>
            <w:shd w:val="clear" w:color="auto" w:fill="E5E7EB"/>
          </w:tcPr>
          <w:p>
            <w:pPr>
              <w:spacing w:before="0" w:after="60"/>
            </w:pPr>
            <w:r>
              <w:rPr>
                <w:b/>
                <w:bCs/>
              </w:rPr>
              <w:t xml:space="preserve">Field</w:t>
            </w:r>
          </w:p>
        </w:tc>
        <w:tc>
          <w:tcPr>
            <w:tcW w:w="6500" w:type="dxa"/>
            <w:shd w:val="clear" w:color="auto" w:fill="E5E7EB"/>
          </w:tcPr>
          <w:p>
            <w:pPr>
              <w:spacing w:before="0" w:after="60"/>
            </w:pPr>
            <w:r>
              <w:rPr>
                <w:b/>
                <w:bCs/>
              </w:rPr>
              <w:t xml:space="preserve">Information</w:t>
            </w:r>
          </w:p>
        </w:tc>
      </w:tr>
      <w:tr>
        <w:tc>
          <w:tcPr>
            <w:tcW w:w="3000" w:type="dxa"/>
          </w:tcPr>
          <w:p>
            <w:pPr>
              <w:spacing w:before="0" w:after="60"/>
            </w:pPr>
            <w:r>
              <w:t xml:space="preserve">Name</w:t>
            </w:r>
          </w:p>
        </w:tc>
        <w:tc>
          <w:tcPr>
            <w:tcW w:w="6500" w:type="dxa"/>
          </w:tcPr>
          <w:p>
            <w:pPr>
              <w:spacing w:before="0" w:after="60"/>
            </w:pPr>
            <w:r>
              <w:t xml:space="preserve">Beatrix M. Hollander</w:t>
            </w:r>
          </w:p>
        </w:tc>
      </w:tr>
      <w:tr>
        <w:tc>
          <w:tcPr>
            <w:tcW w:w="3000" w:type="dxa"/>
          </w:tcPr>
          <w:p>
            <w:pPr>
              <w:spacing w:before="0" w:after="60"/>
            </w:pPr>
            <w:r>
              <w:t xml:space="preserve">Title</w:t>
            </w:r>
          </w:p>
        </w:tc>
        <w:tc>
          <w:tcPr>
            <w:tcW w:w="6500" w:type="dxa"/>
          </w:tcPr>
          <w:p>
            <w:pPr>
              <w:spacing w:before="0" w:after="60"/>
            </w:pPr>
            <w:r>
              <w:t xml:space="preserve">Managing Member</w:t>
            </w:r>
          </w:p>
        </w:tc>
      </w:tr>
      <w:tr>
        <w:tc>
          <w:tcPr>
            <w:tcW w:w="3000" w:type="dxa"/>
          </w:tcPr>
          <w:p>
            <w:pPr>
              <w:spacing w:before="0" w:after="60"/>
            </w:pPr>
            <w:r>
              <w:t xml:space="preserve">Business Phone</w:t>
            </w:r>
          </w:p>
        </w:tc>
        <w:tc>
          <w:tcPr>
            <w:tcW w:w="6500" w:type="dxa"/>
          </w:tcPr>
          <w:p>
            <w:pPr>
              <w:spacing w:before="0" w:after="60"/>
            </w:pPr>
            <w:r>
              <w:t xml:space="preserve">(801) 555-0712</w:t>
            </w:r>
          </w:p>
        </w:tc>
      </w:tr>
      <w:tr>
        <w:tc>
          <w:tcPr>
            <w:tcW w:w="3000" w:type="dxa"/>
          </w:tcPr>
          <w:p>
            <w:pPr>
              <w:spacing w:before="0" w:after="60"/>
            </w:pPr>
            <w:r>
              <w:t xml:space="preserve">Mobile / After-Hours Phone</w:t>
            </w:r>
          </w:p>
        </w:tc>
        <w:tc>
          <w:tcPr>
            <w:tcW w:w="6500" w:type="dxa"/>
          </w:tcPr>
          <w:p>
            <w:pPr>
              <w:spacing w:before="0" w:after="60"/>
            </w:pPr>
            <w:r>
              <w:t xml:space="preserve">(801) 555-0739</w:t>
            </w:r>
          </w:p>
        </w:tc>
      </w:tr>
      <w:tr>
        <w:tc>
          <w:tcPr>
            <w:tcW w:w="3000" w:type="dxa"/>
          </w:tcPr>
          <w:p>
            <w:pPr>
              <w:spacing w:before="0" w:after="60"/>
            </w:pPr>
            <w:r>
              <w:t xml:space="preserve">Email</w:t>
            </w:r>
          </w:p>
        </w:tc>
        <w:tc>
          <w:tcPr>
            <w:tcW w:w="6500" w:type="dxa"/>
          </w:tcPr>
          <w:p>
            <w:pPr>
              <w:spacing w:before="0" w:after="60"/>
            </w:pPr>
            <w:r>
              <w:t xml:space="preserve">bhollander@saltgrassstorage.example</w:t>
            </w:r>
          </w:p>
        </w:tc>
      </w:tr>
      <w:tr>
        <w:tc>
          <w:tcPr>
            <w:tcW w:w="3000" w:type="dxa"/>
          </w:tcPr>
          <w:p>
            <w:pPr>
              <w:spacing w:before="0" w:after="60"/>
            </w:pPr>
            <w:r>
              <w:t xml:space="preserve">Mailing Address</w:t>
            </w:r>
          </w:p>
        </w:tc>
        <w:tc>
          <w:tcPr>
            <w:tcW w:w="6500" w:type="dxa"/>
          </w:tcPr>
          <w:p>
            <w:pPr>
              <w:spacing w:before="0" w:after="60"/>
            </w:pPr>
            <w:r>
              <w:t xml:space="preserve">Saltgrass Storage Group, LLC, 480 South 1200 East, Suite 200, Lehi, UT 84043</w:t>
            </w:r>
          </w:p>
        </w:tc>
      </w:tr>
      <w:tr>
        <w:tc>
          <w:tcPr>
            <w:tcW w:w="3000" w:type="dxa"/>
          </w:tcPr>
          <w:p>
            <w:pPr>
              <w:spacing w:before="0" w:after="60"/>
            </w:pPr>
            <w:r>
              <w:t xml:space="preserve">24/7 Emergency Line</w:t>
            </w:r>
          </w:p>
        </w:tc>
        <w:tc>
          <w:tcPr>
            <w:tcW w:w="6500" w:type="dxa"/>
          </w:tcPr>
          <w:p>
            <w:pPr>
              <w:spacing w:before="0" w:after="60"/>
            </w:pPr>
            <w:r>
              <w:t xml:space="preserve">(801) 555-0700 (Operations dispatch)</w:t>
            </w:r>
          </w:p>
        </w:tc>
      </w:tr>
    </w:tbl>
    <w:p>
      <w:pPr>
        <w:spacing w:before="0" w:after="80"/>
      </w:pPr>
    </w:p>
    <w:p>
      <w:r>
        <w:br w:type="page"/>
      </w:r>
    </w:p>
    <w:p>
      <w:pPr>
        <w:jc w:val="center"/>
        <w:spacing w:before="0" w:after="40"/>
      </w:pPr>
      <w:r>
        <w:rPr>
          <w:b/>
          <w:bCs/>
          <w:sz w:val="32"/>
          <w:szCs w:val="32"/>
        </w:rPr>
        <w:t xml:space="preserve">EXHIBIT E</w:t>
      </w:r>
    </w:p>
    <w:p>
      <w:pPr>
        <w:jc w:val="center"/>
        <w:spacing w:before="0" w:after="160"/>
      </w:pPr>
      <w:r>
        <w:rPr>
          <w:b/>
          <w:bCs/>
          <w:sz w:val="26"/>
          <w:szCs w:val="26"/>
        </w:rPr>
        <w:t xml:space="preserve">Form of Leasehold Mortgagee Recognition Agreement</w:t>
      </w:r>
    </w:p>
    <w:p>
      <w:pPr>
        <w:spacing w:before="0" w:after="120"/>
      </w:pPr>
      <w:r>
        <w:t xml:space="preserve">Reference is made to that certain Ground Lease dated October 23, 2026 (the "Lease") between Beehive Realty Trust, LLC, as Landlord, and Saltgrass Storage Group, LLC, as Tenant. The undersigned Lender has entered into a Leasehold Mortgage with Tenant. The parties agree:</w:t>
      </w:r>
    </w:p>
    <w:p>
      <w:pPr>
        <w:spacing w:before="0" w:after="120"/>
      </w:pPr>
      <w:r>
        <w:rPr>
          <w:b/>
          <w:bCs/>
        </w:rPr>
        <w:t xml:space="preserve">1.   Notice and Cure. </w:t>
      </w:r>
      <w:r>
        <w:t xml:space="preserve">Landlord shall deliver to Lender copies of any notice of default under the Lease at the Lender notice address below. Lender shall have the cure periods set forth in Section 8.3 of the Lease, including the right to take possession (by foreclosure or otherwise) and complete cure within a reasonable time.</w:t>
      </w:r>
    </w:p>
    <w:p>
      <w:pPr>
        <w:spacing w:before="0" w:after="120"/>
      </w:pPr>
      <w:r>
        <w:rPr>
          <w:b/>
          <w:bCs/>
        </w:rPr>
        <w:t xml:space="preserve">2.   New Lease. </w:t>
      </w:r>
      <w:r>
        <w:t xml:space="preserve">If the Lease is terminated due to Tenant default or bankruptcy rejection, Landlord shall enter into a new lease with Lender or its designee on the terms set forth in Section 8.4 of the Lease.</w:t>
      </w:r>
    </w:p>
    <w:p>
      <w:pPr>
        <w:spacing w:before="0" w:after="120"/>
      </w:pPr>
      <w:r>
        <w:rPr>
          <w:b/>
          <w:bCs/>
        </w:rPr>
        <w:t xml:space="preserve">3.   No Amendment. </w:t>
      </w:r>
      <w:r>
        <w:t xml:space="preserve">So long as the Leasehold Mortgage is outstanding, Landlord and Tenant shall not amend, modify, surrender, or terminate the Lease without Lender's prior written consent, not to be unreasonably withheld.</w:t>
      </w:r>
    </w:p>
    <w:p>
      <w:pPr>
        <w:spacing w:before="0" w:after="120"/>
      </w:pPr>
      <w:r>
        <w:rPr>
          <w:b/>
          <w:bCs/>
        </w:rPr>
        <w:t xml:space="preserve">4.   Casualty / Condemnation. </w:t>
      </w:r>
      <w:r>
        <w:t xml:space="preserve">Insurance proceeds and condemnation awards shall be applied as provided in the Lease, subject to Lender's rights under the Leasehold Mortgage.</w:t>
      </w:r>
    </w:p>
    <w:p>
      <w:pPr>
        <w:spacing w:before="0" w:after="120"/>
      </w:pPr>
      <w:r>
        <w:rPr>
          <w:b/>
          <w:bCs/>
        </w:rPr>
        <w:t xml:space="preserve">5.   No Subordination. </w:t>
      </w:r>
      <w:r>
        <w:t xml:space="preserve">The Lease shall not be subordinate to any fee mortgage; the fee shall not be encumbered by the Leasehold Mortgage.</w:t>
      </w:r>
    </w:p>
    <w:p>
      <w:pPr>
        <w:spacing w:before="0" w:after="120"/>
      </w:pPr>
      <w:r>
        <w:rPr>
          <w:b/>
          <w:bCs/>
        </w:rPr>
        <w:t xml:space="preserve">6.   Estoppel; Further Assurances. </w:t>
      </w:r>
      <w:r>
        <w:t xml:space="preserve">Landlord and Tenant shall deliver to Lender, upon request, estoppel certificates and such other reasonable documentation as Lender may require.</w:t>
      </w:r>
    </w:p>
    <w:p>
      <w:pPr>
        <w:spacing w:before="0" w:after="120"/>
      </w:pPr>
      <w:r>
        <w:rPr>
          <w:i/>
        </w:rPr>
        <w:t xml:space="preserve">[Signature blocks; Lender notice address.]</w:t>
      </w:r>
    </w:p>
    <w:p>
      <w:r>
        <w:br w:type="page"/>
      </w:r>
    </w:p>
    <w:p>
      <w:pPr>
        <w:jc w:val="center"/>
        <w:spacing w:before="0" w:after="40"/>
      </w:pPr>
      <w:r>
        <w:rPr>
          <w:b/>
          <w:bCs/>
          <w:sz w:val="32"/>
          <w:szCs w:val="32"/>
        </w:rPr>
        <w:t xml:space="preserve">EXHIBIT F</w:t>
      </w:r>
    </w:p>
    <w:p>
      <w:pPr>
        <w:jc w:val="center"/>
        <w:spacing w:before="0" w:after="160"/>
      </w:pPr>
      <w:r>
        <w:rPr>
          <w:b/>
          <w:bCs/>
          <w:sz w:val="26"/>
          <w:szCs w:val="26"/>
        </w:rPr>
        <w:t xml:space="preserve">Memorandum of Lease</w:t>
      </w:r>
    </w:p>
    <w:p>
      <w:pPr>
        <w:spacing w:before="0" w:after="120"/>
      </w:pPr>
      <w:r>
        <w:t xml:space="preserve">THIS MEMORANDUM OF LEASE is made as of October 23, 2026, by Beehive Realty Trust, LLC, a Utah limited liability company ("Landlord"), and Saltgrass Storage Group, LLC, a Utah limited liability company ("Tenant"), to provide record notice of a Ground Lease (the "Lease") of the same date between Landlord and Tenant for the real property described in the attached Exhibit A.</w:t>
      </w:r>
    </w:p>
    <w:p>
      <w:pPr>
        <w:spacing w:before="0" w:after="120"/>
      </w:pPr>
      <w:r>
        <w:t xml:space="preserve">1.   Premises:  As described in attached Exhibit A.</w:t>
      </w:r>
    </w:p>
    <w:p>
      <w:pPr>
        <w:spacing w:before="0" w:after="120"/>
      </w:pPr>
      <w:r>
        <w:t xml:space="preserve">2.   Term:  Seventy-five (75) years commencing November 1, 2026 and expiring October 31, 2101.</w:t>
      </w:r>
    </w:p>
    <w:p>
      <w:pPr>
        <w:spacing w:before="0" w:after="120"/>
      </w:pPr>
      <w:r>
        <w:t xml:space="preserve">3.   Use:  Self-storage facility with related outdoor storage.</w:t>
      </w:r>
    </w:p>
    <w:p>
      <w:pPr>
        <w:spacing w:before="0" w:after="120"/>
      </w:pPr>
      <w:r>
        <w:t xml:space="preserve">4.   Leasehold Mortgage:  Tenant may encumber its leasehold per Article 8 of the Lease.</w:t>
      </w:r>
    </w:p>
    <w:p>
      <w:pPr>
        <w:spacing w:before="0" w:after="120"/>
      </w:pPr>
      <w:r>
        <w:t xml:space="preserve">5.   Subordination:  Landlord shall not subordinate the fee or the Lease to any fee mortgage.</w:t>
      </w:r>
    </w:p>
    <w:p>
      <w:pPr>
        <w:spacing w:before="0" w:after="120"/>
      </w:pPr>
      <w:r>
        <w:t xml:space="preserve">6.   Notice:  All capitalized terms not defined herein have the meanings given them in the Lease. This Memorandum is for notice purposes only; in the event of any inconsistency, the Lease controls.</w:t>
      </w:r>
    </w:p>
    <w:p>
      <w:pPr>
        <w:spacing w:before="0" w:after="120"/>
      </w:pPr>
      <w:r>
        <w:rPr>
          <w:i/>
        </w:rPr>
        <w:t xml:space="preserve">[Signature blocks and notary acknowledgments for recording in Utah County, Utah.]</w:t>
      </w:r>
    </w:p>
    <w:p>
      <w:r>
        <w:br w:type="page"/>
      </w:r>
    </w:p>
    <w:p>
      <w:pPr>
        <w:jc w:val="center"/>
        <w:spacing w:before="0" w:after="40"/>
      </w:pPr>
      <w:r>
        <w:rPr>
          <w:b/>
          <w:bCs/>
          <w:sz w:val="32"/>
          <w:szCs w:val="32"/>
        </w:rPr>
        <w:t xml:space="preserve">EXHIBIT G</w:t>
      </w:r>
    </w:p>
    <w:p>
      <w:pPr>
        <w:jc w:val="center"/>
        <w:spacing w:before="0" w:after="160"/>
      </w:pPr>
      <w:r>
        <w:rPr>
          <w:b/>
          <w:bCs/>
          <w:sz w:val="26"/>
          <w:szCs w:val="26"/>
        </w:rPr>
        <w:t xml:space="preserve">Construction Obligations and Milestones</w:t>
      </w:r>
    </w:p>
    <w:p>
      <w:pPr>
        <w:spacing w:before="0" w:after="120"/>
      </w:pPr>
      <w:r>
        <w:rPr>
          <w:b/>
          <w:bCs/>
        </w:rPr>
        <w:t xml:space="preserve">G.1   Design and Permitting. </w:t>
      </w:r>
      <w:r>
        <w:t xml:space="preserve">Tenant shall submit final construction documents to Saratoga Springs for building permit within one hundred eighty (180) days after the Effective Date.</w:t>
      </w:r>
    </w:p>
    <w:p>
      <w:pPr>
        <w:spacing w:before="0" w:after="120"/>
      </w:pPr>
      <w:r>
        <w:rPr>
          <w:b/>
          <w:bCs/>
        </w:rPr>
        <w:t xml:space="preserve">G.2   Construction Commencement. </w:t>
      </w:r>
      <w:r>
        <w:t xml:space="preserve">Tenant shall break ground (commence material site work and foundation work) within sixty (60) days after the issuance of the building permit and not later than nine (9) months after the Effective Date, subject to Force Majeure and Permit Delay.</w:t>
      </w:r>
    </w:p>
    <w:p>
      <w:pPr>
        <w:spacing w:before="0" w:after="120"/>
      </w:pPr>
      <w:r>
        <w:rPr>
          <w:b/>
          <w:bCs/>
        </w:rPr>
        <w:t xml:space="preserve">G.3   Substantial Completion. </w:t>
      </w:r>
      <w:r>
        <w:t xml:space="preserve">Tenant shall achieve Substantial Completion of the Phase I Improvements not later than the Construction Outside Date (March 31, 2028), subject to Force Majeure and Permit Delay.</w:t>
      </w:r>
    </w:p>
    <w:p>
      <w:pPr>
        <w:spacing w:before="0" w:after="120"/>
      </w:pPr>
      <w:r>
        <w:rPr>
          <w:b/>
          <w:bCs/>
        </w:rPr>
        <w:t xml:space="preserve">G.4   Outline Specifications (Phase I). </w:t>
      </w:r>
    </w:p>
    <w:tbl>
      <w:tblPr>
        <w:tblW w:w="9500" w:type="dxa"/>
        <w:tblBorders>
          <w:top w:val="single" w:sz="4" w:color="9CA3AF"/>
          <w:left w:val="single" w:sz="4" w:color="9CA3AF"/>
          <w:bottom w:val="single" w:sz="4" w:color="9CA3AF"/>
          <w:right w:val="single" w:sz="4" w:color="9CA3AF"/>
          <w:insideH w:val="single" w:sz="4" w:color="9CA3AF"/>
          <w:insideV w:val="single" w:sz="4" w:color="9CA3AF"/>
        </w:tblBorders>
      </w:tblPr>
      <w:tblGrid>
        <w:gridCol w:w="2700"/>
        <w:gridCol w:w="6800"/>
      </w:tblGrid>
      <w:tr>
        <w:tc>
          <w:tcPr>
            <w:tcW w:w="2700" w:type="dxa"/>
            <w:shd w:val="clear" w:color="auto" w:fill="E5E7EB"/>
          </w:tcPr>
          <w:p>
            <w:pPr>
              <w:spacing w:before="0" w:after="60"/>
            </w:pPr>
            <w:r>
              <w:rPr>
                <w:b/>
                <w:bCs/>
              </w:rPr>
              <w:t xml:space="preserve">Item</w:t>
            </w:r>
          </w:p>
        </w:tc>
        <w:tc>
          <w:tcPr>
            <w:tcW w:w="6800" w:type="dxa"/>
            <w:shd w:val="clear" w:color="auto" w:fill="E5E7EB"/>
          </w:tcPr>
          <w:p>
            <w:pPr>
              <w:spacing w:before="0" w:after="60"/>
            </w:pPr>
            <w:r>
              <w:rPr>
                <w:b/>
                <w:bCs/>
              </w:rPr>
              <w:t xml:space="preserve">Specification</w:t>
            </w:r>
          </w:p>
        </w:tc>
      </w:tr>
      <w:tr>
        <w:tc>
          <w:tcPr>
            <w:tcW w:w="2700" w:type="dxa"/>
          </w:tcPr>
          <w:p>
            <w:pPr>
              <w:spacing w:before="0" w:after="60"/>
            </w:pPr>
            <w:r>
              <w:t xml:space="preserve">Building</w:t>
            </w:r>
          </w:p>
        </w:tc>
        <w:tc>
          <w:tcPr>
            <w:tcW w:w="6800" w:type="dxa"/>
          </w:tcPr>
          <w:p>
            <w:pPr>
              <w:spacing w:before="0" w:after="60"/>
            </w:pPr>
            <w:r>
              <w:t xml:space="preserve">Three-story Class A self-storage, ~85,000 NSF, climate-controlled, sprinklered (NFPA 13).</w:t>
            </w:r>
          </w:p>
        </w:tc>
      </w:tr>
      <w:tr>
        <w:tc>
          <w:tcPr>
            <w:tcW w:w="2700" w:type="dxa"/>
          </w:tcPr>
          <w:p>
            <w:pPr>
              <w:spacing w:before="0" w:after="60"/>
            </w:pPr>
            <w:r>
              <w:t xml:space="preserve">Façade</w:t>
            </w:r>
          </w:p>
        </w:tc>
        <w:tc>
          <w:tcPr>
            <w:tcW w:w="6800" w:type="dxa"/>
          </w:tcPr>
          <w:p>
            <w:pPr>
              <w:spacing w:before="0" w:after="60"/>
            </w:pPr>
            <w:r>
              <w:t xml:space="preserve">Pre-finished metal panel or tilt-up with masonry accent at the leasing-office façade; colors per Saratoga Springs design review.</w:t>
            </w:r>
          </w:p>
        </w:tc>
      </w:tr>
      <w:tr>
        <w:tc>
          <w:tcPr>
            <w:tcW w:w="2700" w:type="dxa"/>
          </w:tcPr>
          <w:p>
            <w:pPr>
              <w:spacing w:before="0" w:after="60"/>
            </w:pPr>
            <w:r>
              <w:t xml:space="preserve">Security</w:t>
            </w:r>
          </w:p>
        </w:tc>
        <w:tc>
          <w:tcPr>
            <w:tcW w:w="6800" w:type="dxa"/>
          </w:tcPr>
          <w:p>
            <w:pPr>
              <w:spacing w:before="0" w:after="60"/>
            </w:pPr>
            <w:r>
              <w:t xml:space="preserve">Perimeter chain-link fencing (6' min) with anti-climb features; gated entry with keypad and license-plate recognition; cameras in all corridors and at all gates with cloud retention.</w:t>
            </w:r>
          </w:p>
        </w:tc>
      </w:tr>
      <w:tr>
        <w:tc>
          <w:tcPr>
            <w:tcW w:w="2700" w:type="dxa"/>
          </w:tcPr>
          <w:p>
            <w:pPr>
              <w:spacing w:before="0" w:after="60"/>
            </w:pPr>
            <w:r>
              <w:t xml:space="preserve">Doors</w:t>
            </w:r>
          </w:p>
        </w:tc>
        <w:tc>
          <w:tcPr>
            <w:tcW w:w="6800" w:type="dxa"/>
          </w:tcPr>
          <w:p>
            <w:pPr>
              <w:spacing w:before="0" w:after="60"/>
            </w:pPr>
            <w:r>
              <w:t xml:space="preserve">Customer roll-up doors with individual locks; ADA-compliant entry doors.</w:t>
            </w:r>
          </w:p>
        </w:tc>
      </w:tr>
      <w:tr>
        <w:tc>
          <w:tcPr>
            <w:tcW w:w="2700" w:type="dxa"/>
          </w:tcPr>
          <w:p>
            <w:pPr>
              <w:spacing w:before="0" w:after="60"/>
            </w:pPr>
            <w:r>
              <w:t xml:space="preserve">HVAC</w:t>
            </w:r>
          </w:p>
        </w:tc>
        <w:tc>
          <w:tcPr>
            <w:tcW w:w="6800" w:type="dxa"/>
          </w:tcPr>
          <w:p>
            <w:pPr>
              <w:spacing w:before="0" w:after="60"/>
            </w:pPr>
            <w:r>
              <w:t xml:space="preserve">Climate control to maintain 55–85°F year-round in interior areas.</w:t>
            </w:r>
          </w:p>
        </w:tc>
      </w:tr>
      <w:tr>
        <w:tc>
          <w:tcPr>
            <w:tcW w:w="2700" w:type="dxa"/>
          </w:tcPr>
          <w:p>
            <w:pPr>
              <w:spacing w:before="0" w:after="60"/>
            </w:pPr>
            <w:r>
              <w:t xml:space="preserve">Office</w:t>
            </w:r>
          </w:p>
        </w:tc>
        <w:tc>
          <w:tcPr>
            <w:tcW w:w="6800" w:type="dxa"/>
          </w:tcPr>
          <w:p>
            <w:pPr>
              <w:spacing w:before="0" w:after="60"/>
            </w:pPr>
            <w:r>
              <w:t xml:space="preserve">~600 SF leasing office with restroom, customer waiting area, and back office.</w:t>
            </w:r>
          </w:p>
        </w:tc>
      </w:tr>
      <w:tr>
        <w:tc>
          <w:tcPr>
            <w:tcW w:w="2700" w:type="dxa"/>
          </w:tcPr>
          <w:p>
            <w:pPr>
              <w:spacing w:before="0" w:after="60"/>
            </w:pPr>
            <w:r>
              <w:t xml:space="preserve">Outdoor Storage</w:t>
            </w:r>
          </w:p>
        </w:tc>
        <w:tc>
          <w:tcPr>
            <w:tcW w:w="6800" w:type="dxa"/>
          </w:tcPr>
          <w:p>
            <w:pPr>
              <w:spacing w:before="0" w:after="60"/>
            </w:pPr>
            <w:r>
              <w:t xml:space="preserve">~150 stalls (mix of 10×30 and 12×45) with gravel surface and partial cover; perimeter fenced and gated.</w:t>
            </w:r>
          </w:p>
        </w:tc>
      </w:tr>
      <w:tr>
        <w:tc>
          <w:tcPr>
            <w:tcW w:w="2700" w:type="dxa"/>
          </w:tcPr>
          <w:p>
            <w:pPr>
              <w:spacing w:before="0" w:after="60"/>
            </w:pPr>
            <w:r>
              <w:t xml:space="preserve">Signage</w:t>
            </w:r>
          </w:p>
        </w:tc>
        <w:tc>
          <w:tcPr>
            <w:tcW w:w="6800" w:type="dxa"/>
          </w:tcPr>
          <w:p>
            <w:pPr>
              <w:spacing w:before="0" w:after="60"/>
            </w:pPr>
            <w:r>
              <w:t xml:space="preserve">Monument sign at Pony Express Parkway and one building-mounted sign per Saratoga Springs sign code.</w:t>
            </w:r>
          </w:p>
        </w:tc>
      </w:tr>
      <w:tr>
        <w:tc>
          <w:tcPr>
            <w:tcW w:w="2700" w:type="dxa"/>
          </w:tcPr>
          <w:p>
            <w:pPr>
              <w:spacing w:before="0" w:after="60"/>
            </w:pPr>
            <w:r>
              <w:t xml:space="preserve">Stormwater</w:t>
            </w:r>
          </w:p>
        </w:tc>
        <w:tc>
          <w:tcPr>
            <w:tcW w:w="6800" w:type="dxa"/>
          </w:tcPr>
          <w:p>
            <w:pPr>
              <w:spacing w:before="0" w:after="60"/>
            </w:pPr>
            <w:r>
              <w:t xml:space="preserve">On-site detention sized per Saratoga Springs design standard.</w:t>
            </w:r>
          </w:p>
        </w:tc>
      </w:tr>
    </w:tbl>
    <w:p>
      <w:pPr>
        <w:spacing w:before="0" w:after="80"/>
      </w:pPr>
    </w:p>
    <w:p>
      <w:pPr>
        <w:spacing w:before="0" w:after="120"/>
      </w:pPr>
      <w:r>
        <w:rPr>
          <w:b/>
          <w:bCs/>
        </w:rPr>
        <w:t xml:space="preserve">G.5   Bonds. </w:t>
      </w:r>
      <w:r>
        <w:t xml:space="preserve">Tenant's general contractor shall provide performance and payment bonds, each in 100% of the contract amount, with Landlord listed as a dual obligee on the performance bond.</w:t>
      </w:r>
    </w:p>
    <w:p>
      <w:pPr>
        <w:spacing w:before="0" w:after="120"/>
      </w:pPr>
      <w:r>
        <w:rPr>
          <w:b/>
          <w:bCs/>
        </w:rPr>
        <w:t xml:space="preserve">G.6   Force Majeure / Permit Delay. </w:t>
      </w:r>
      <w:r>
        <w:t xml:space="preserve">The Construction Outside Date and intermediate milestones are extended day-for-day for Force Majeure and for any delay in issuance of permits or governmental approvals despite Tenant's diligent prosecution.</w:t>
      </w:r>
    </w:p>
    <w:p>
      <w:pPr>
        <w:spacing w:before="0" w:after="120"/>
      </w:pPr>
      <w:r>
        <w:rPr>
          <w:b/>
          <w:bCs/>
        </w:rPr>
        <w:t xml:space="preserve">G.7   Remedies for Milestone Default. </w:t>
      </w:r>
      <w:r>
        <w:t xml:space="preserve">If Tenant misses a milestone in G.1–G.3 (as extended), Landlord may, after thirty (30) days' notice and opportunity to cure, (a) require Tenant to engage a Landlord-approved monitoring consultant at Tenant's cost; (b) require Tenant to post additional security in an amount reasonably calculated to assure completion; and (c) after a further sixty (60) days' notice, declare an Event of Default subject to the Leasehold Mortgagee cure rights in Article 8.</w:t>
      </w:r>
    </w:p>
    <w:p>
      <w:r>
        <w:br w:type="page"/>
      </w:r>
    </w:p>
    <w:p>
      <w:pPr>
        <w:jc w:val="center"/>
        <w:spacing w:before="0" w:after="40"/>
      </w:pPr>
      <w:r>
        <w:rPr>
          <w:b/>
          <w:bCs/>
          <w:sz w:val="32"/>
          <w:szCs w:val="32"/>
        </w:rPr>
        <w:t xml:space="preserve">EXHIBIT H</w:t>
      </w:r>
    </w:p>
    <w:p>
      <w:pPr>
        <w:jc w:val="center"/>
        <w:spacing w:before="0" w:after="160"/>
      </w:pPr>
      <w:r>
        <w:rPr>
          <w:b/>
          <w:bCs/>
          <w:sz w:val="26"/>
          <w:szCs w:val="26"/>
        </w:rPr>
        <w:t xml:space="preserve">Form of Estoppel</w:t>
      </w:r>
    </w:p>
    <w:p>
      <w:pPr>
        <w:spacing w:before="0" w:after="120"/>
      </w:pPr>
      <w:r>
        <w:t xml:space="preserve">Reference is made to that certain Ground Lease dated October 23, 2026 (the "Lease") between Beehive Realty Trust, LLC, as Landlord, and Saltgrass Storage Group, LLC, as Tenant. The undersigned [Landlord or Tenant] certifies, as of the date hereof:</w:t>
      </w:r>
    </w:p>
    <w:p>
      <w:pPr>
        <w:spacing w:before="0" w:after="120"/>
      </w:pPr>
      <w:r>
        <w:t xml:space="preserve">1.   The Lease is in full force and effect; a true and complete copy is attached.</w:t>
      </w:r>
    </w:p>
    <w:p>
      <w:pPr>
        <w:spacing w:before="0" w:after="120"/>
      </w:pPr>
      <w:r>
        <w:t xml:space="preserve">2.   The Lease has not been amended except as listed below.</w:t>
      </w:r>
    </w:p>
    <w:p>
      <w:pPr>
        <w:spacing w:before="0" w:after="120"/>
      </w:pPr>
      <w:r>
        <w:t xml:space="preserve">3.   Annual Base Rent is $______ per year ($______ per month), paid through ______.</w:t>
      </w:r>
    </w:p>
    <w:p>
      <w:pPr>
        <w:spacing w:before="0" w:after="120"/>
      </w:pPr>
      <w:r>
        <w:t xml:space="preserve">4.   To the undersigned's knowledge, there are no uncured defaults under the Lease, except as listed below.</w:t>
      </w:r>
    </w:p>
    <w:p>
      <w:pPr>
        <w:spacing w:before="0" w:after="120"/>
      </w:pPr>
      <w:r>
        <w:t xml:space="preserve">5.   To the undersigned's knowledge, there are no claims or offsets against Rent or other obligations.</w:t>
      </w:r>
    </w:p>
    <w:p>
      <w:pPr>
        <w:spacing w:before="0" w:after="120"/>
      </w:pPr>
      <w:r>
        <w:t xml:space="preserve">6.   The Term commenced on November 1, 2026 and expires on October 31, 2101.</w:t>
      </w:r>
    </w:p>
    <w:p>
      <w:pPr>
        <w:spacing w:before="0" w:after="120"/>
      </w:pPr>
      <w:r>
        <w:t xml:space="preserve">7.   This estoppel is delivered for the benefit of [requesting party] and may be relied upon by it and its successors and assigns.</w:t>
      </w:r>
    </w:p>
    <w:p>
      <w:r>
        <w:br w:type="page"/>
      </w:r>
    </w:p>
    <w:p>
      <w:pPr>
        <w:jc w:val="center"/>
        <w:spacing w:before="0" w:after="40"/>
      </w:pPr>
      <w:r>
        <w:rPr>
          <w:b/>
          <w:bCs/>
          <w:sz w:val="32"/>
          <w:szCs w:val="32"/>
        </w:rPr>
        <w:t xml:space="preserve">EXHIBIT I</w:t>
      </w:r>
    </w:p>
    <w:p>
      <w:pPr>
        <w:jc w:val="center"/>
        <w:spacing w:before="0" w:after="160"/>
      </w:pPr>
      <w:r>
        <w:rPr>
          <w:b/>
          <w:bCs/>
          <w:sz w:val="26"/>
          <w:szCs w:val="26"/>
        </w:rPr>
        <w:t xml:space="preserve">Utah-Specific Provisions</w:t>
      </w:r>
    </w:p>
    <w:p>
      <w:pPr>
        <w:spacing w:before="0" w:after="120"/>
      </w:pPr>
      <w:r>
        <w:rPr>
          <w:b/>
          <w:bCs/>
        </w:rPr>
        <w:t xml:space="preserve">I.1   Governing Law. </w:t>
      </w:r>
      <w:r>
        <w:t xml:space="preserve">Utah law governs. Utah does not impose a state sales or rent tax on commercial real property rent as of the Effective Date; sales taxes on Tenant's rentals to its self-storage customers are governed by Section 7.2 and applicable Utah law.</w:t>
      </w:r>
    </w:p>
    <w:p>
      <w:pPr>
        <w:spacing w:before="0" w:after="120"/>
      </w:pPr>
      <w:r>
        <w:rPr>
          <w:b/>
          <w:bCs/>
        </w:rPr>
        <w:t xml:space="preserve">I.2   Mechanics' Liens. </w:t>
      </w:r>
      <w:r>
        <w:t xml:space="preserve">Tenant shall comply with the Utah Construction Lien Statute (Utah Code §38-1a et seq.), including any required preliminary notices and the State Construction Registry. Landlord may post and maintain on the Premises notices of non-responsibility as permitted by Utah law.</w:t>
      </w:r>
    </w:p>
    <w:p>
      <w:pPr>
        <w:spacing w:before="0" w:after="120"/>
      </w:pPr>
      <w:r>
        <w:rPr>
          <w:b/>
          <w:bCs/>
        </w:rPr>
        <w:t xml:space="preserve">I.3   Recording. </w:t>
      </w:r>
      <w:r>
        <w:t xml:space="preserve">The Memorandum of Lease (Exhibit F) shall be recorded in the Utah County Recorder's office promptly after execution.</w:t>
      </w:r>
    </w:p>
    <w:p>
      <w:pPr>
        <w:spacing w:before="0" w:after="120"/>
      </w:pPr>
      <w:r>
        <w:rPr>
          <w:b/>
          <w:bCs/>
        </w:rPr>
        <w:t xml:space="preserve">I.4   Stormwater. </w:t>
      </w:r>
      <w:r>
        <w:t xml:space="preserve">Tenant shall comply with Saratoga Springs stormwater design standards and the Utah Pollutant Discharge Elimination System (UPDES) Construction General Permit during construction (Tenant shall obtain coverage prior to ground disturbance).</w:t>
      </w:r>
    </w:p>
    <w:p>
      <w:pPr>
        <w:spacing w:before="0" w:after="120"/>
      </w:pPr>
      <w:r>
        <w:rPr>
          <w:b/>
          <w:bCs/>
        </w:rPr>
        <w:t xml:space="preserve">I.5   Snow and Ice. </w:t>
      </w:r>
      <w:r>
        <w:t xml:space="preserve">Tenant is responsible for snow and ice removal on all paved and walkable areas, consistent with Saratoga Springs ordinance.</w:t>
      </w:r>
    </w:p>
    <w:p>
      <w:pPr>
        <w:spacing w:before="0" w:after="120"/>
      </w:pPr>
      <w:r>
        <w:rPr>
          <w:b/>
          <w:bCs/>
        </w:rPr>
        <w:t xml:space="preserve">I.6   Broker Disclosure. </w:t>
      </w:r>
      <w:r>
        <w:t xml:space="preserve">Tenant Broker represents Tenant; Landlord Broker (Beehive Realty Trust, LLC, in-house) represents Landlord, consistent with Utah Division of Real Estate disclosures.</w:t>
      </w:r>
    </w:p>
    <w:p>
      <w:pPr>
        <w:spacing w:before="0" w:after="120"/>
      </w:pPr>
      <w:r>
        <w:rPr>
          <w:b/>
          <w:bCs/>
        </w:rPr>
        <w:t xml:space="preserve">I.7   ADA / Utah Accessibility. </w:t>
      </w:r>
      <w:r>
        <w:t xml:space="preserve">Tenant is responsible for ADA and Utah accessibility compliance with respect to its construction and operation of the Improvements, including any compliance upgrades required during the Term.</w:t>
      </w:r>
    </w:p>
    <w:p>
      <w:pPr>
        <w:spacing w:before="0" w:after="120"/>
      </w:pPr>
      <w:r>
        <w:rPr>
          <w:b/>
          <w:bCs/>
        </w:rPr>
        <w:t xml:space="preserve">I.8   Self-Storage Lien Act. </w:t>
      </w:r>
      <w:r>
        <w:t xml:space="preserve">Tenant shall be entitled to the protections of, and shall comply with, the Utah Self-Service Storage Facilities Act (Utah Code §38-8-1 et seq.) in its dealings with self-storage customers, including notice and sale procedures.</w:t>
      </w:r>
    </w:p>
    <w:p>
      <w:r>
        <w:br w:type="page"/>
      </w:r>
    </w:p>
    <w:p>
      <w:pPr>
        <w:jc w:val="center"/>
        <w:spacing w:before="0" w:after="40"/>
      </w:pPr>
      <w:r>
        <w:rPr>
          <w:b/>
          <w:bCs/>
          <w:sz w:val="32"/>
          <w:szCs w:val="32"/>
        </w:rPr>
        <w:t xml:space="preserve">EXHIBIT J</w:t>
      </w:r>
    </w:p>
    <w:p>
      <w:pPr>
        <w:jc w:val="center"/>
        <w:spacing w:before="0" w:after="160"/>
      </w:pPr>
      <w:r>
        <w:rPr>
          <w:b/>
          <w:bCs/>
          <w:sz w:val="26"/>
          <w:szCs w:val="26"/>
        </w:rPr>
        <w:t xml:space="preserve">Outdoor Storage Operations</w:t>
      </w:r>
    </w:p>
    <w:p>
      <w:pPr>
        <w:spacing w:before="0" w:after="120"/>
      </w:pPr>
      <w:r>
        <w:rPr>
          <w:b/>
          <w:bCs/>
        </w:rPr>
        <w:t xml:space="preserve">J.1   Permitted Area. </w:t>
      </w:r>
      <w:r>
        <w:t xml:space="preserve">Outdoor storage is permitted only within the fenced and gated area depicted on Exhibit A-1.</w:t>
      </w:r>
    </w:p>
    <w:p>
      <w:pPr>
        <w:spacing w:before="0" w:after="120"/>
      </w:pPr>
      <w:r>
        <w:rPr>
          <w:b/>
          <w:bCs/>
        </w:rPr>
        <w:t xml:space="preserve">J.2   Permitted Items. </w:t>
      </w:r>
      <w:r>
        <w:t xml:space="preserve">Recreational vehicles, travel trailers, boats, jet skis, automobiles, light trucks, motorcycles, ATVs, snowmobiles, utility trailers, and similar registered/licensed personal recreational and transportation items. Storage of commercial vehicles is permitted only with Tenant's written confirmation, on a case-by-case basis.</w:t>
      </w:r>
    </w:p>
    <w:p>
      <w:pPr>
        <w:spacing w:before="0" w:after="120"/>
      </w:pPr>
      <w:r>
        <w:rPr>
          <w:b/>
          <w:bCs/>
        </w:rPr>
        <w:t xml:space="preserve">J.3   Prohibited Items. </w:t>
      </w:r>
      <w:r>
        <w:t xml:space="preserve">Hazardous materials in any quantity that would require permitting under fire code; tanker trailers or vehicles containing fuel beyond customary recreational quantities; abandoned, derelict, or non-operational vehicles; junk vehicles; vehicles leaking fluids; vehicles without current registration or proof of insurance; semi-trailers used for active commercial logistics operations; cargo containers used for commercial inventory; livestock; and any item prohibited by Saratoga Springs ordinance.</w:t>
      </w:r>
    </w:p>
    <w:p>
      <w:pPr>
        <w:spacing w:before="0" w:after="120"/>
      </w:pPr>
      <w:r>
        <w:rPr>
          <w:b/>
          <w:bCs/>
        </w:rPr>
        <w:t xml:space="preserve">J.4   Surface. </w:t>
      </w:r>
      <w:r>
        <w:t xml:space="preserve">Compacted gravel surface (or paved, at Tenant's option) with stormwater drainage to on-site detention.</w:t>
      </w:r>
    </w:p>
    <w:p>
      <w:pPr>
        <w:spacing w:before="0" w:after="120"/>
      </w:pPr>
      <w:r>
        <w:rPr>
          <w:b/>
          <w:bCs/>
        </w:rPr>
        <w:t xml:space="preserve">J.5   Hours of Access. </w:t>
      </w:r>
      <w:r>
        <w:t xml:space="preserve">Customer access 6:00 a.m. to 10:00 p.m. (or as further restricted by Saratoga Springs ordinance), via gated keypad/license-plate entry; no overnight occupancy of vehicles or boats permitted.</w:t>
      </w:r>
    </w:p>
    <w:p>
      <w:pPr>
        <w:spacing w:before="0" w:after="120"/>
      </w:pPr>
      <w:r>
        <w:rPr>
          <w:b/>
          <w:bCs/>
        </w:rPr>
        <w:t xml:space="preserve">J.6   Cover Structures. </w:t>
      </w:r>
      <w:r>
        <w:t xml:space="preserve">Up to thirty percent (30%) of the outdoor storage area may be partially covered by canopy or carport structures, subject to building permits and Saratoga Springs design review.</w:t>
      </w:r>
    </w:p>
    <w:p>
      <w:pPr>
        <w:spacing w:before="0" w:after="120"/>
      </w:pPr>
      <w:r>
        <w:rPr>
          <w:b/>
          <w:bCs/>
        </w:rPr>
        <w:t xml:space="preserve">J.7   Housekeeping. </w:t>
      </w:r>
      <w:r>
        <w:t xml:space="preserve">Tenant shall keep the outdoor area clean, free of litter and leaks, and shall provide spill kits sized for the materials present. Tenant's customer rental agreements shall require customers to maintain registration, insurance, and operating fluids contained.</w:t>
      </w:r>
    </w:p>
    <w:p>
      <w:pPr>
        <w:spacing w:before="0" w:after="120"/>
      </w:pPr>
      <w:r>
        <w:rPr>
          <w:b/>
          <w:bCs/>
        </w:rPr>
        <w:t xml:space="preserve">J.8   Lighting and Security. </w:t>
      </w:r>
      <w:r>
        <w:t xml:space="preserve">Tenant shall provide adequate lighting and continuous video surveillance of the outdoor area.</w:t>
      </w:r>
    </w:p>
    <w:p>
      <w:r>
        <w:br w:type="page"/>
      </w:r>
    </w:p>
    <w:p>
      <w:pPr>
        <w:jc w:val="center"/>
        <w:spacing w:before="0" w:after="40"/>
      </w:pPr>
      <w:r>
        <w:rPr>
          <w:b/>
          <w:bCs/>
          <w:sz w:val="32"/>
          <w:szCs w:val="32"/>
        </w:rPr>
        <w:t xml:space="preserve">EXHIBIT K</w:t>
      </w:r>
    </w:p>
    <w:p>
      <w:pPr>
        <w:jc w:val="center"/>
        <w:spacing w:before="0" w:after="160"/>
      </w:pPr>
      <w:r>
        <w:rPr>
          <w:b/>
          <w:bCs/>
          <w:sz w:val="26"/>
          <w:szCs w:val="26"/>
        </w:rPr>
        <w:t xml:space="preserve">Environmental Disclosure</w:t>
      </w:r>
    </w:p>
    <w:p>
      <w:pPr>
        <w:spacing w:before="0" w:after="120"/>
      </w:pPr>
      <w:r>
        <w:rPr>
          <w:b/>
          <w:bCs/>
        </w:rPr>
        <w:t xml:space="preserve">K.1   Phase I ESA. </w:t>
      </w:r>
      <w:r>
        <w:t xml:space="preserve">Tenant has received a Phase I Environmental Site Assessment dated August 12, 2026 (the "Phase I ESA") prepared by Cascade Environmental Consulting, LLC, which identifies no recognized environmental conditions ("REC") at the Premises as of the date of that report. The Phase I ESA is incorporated by reference.</w:t>
      </w:r>
    </w:p>
    <w:p>
      <w:pPr>
        <w:spacing w:before="0" w:after="120"/>
      </w:pPr>
      <w:r>
        <w:rPr>
          <w:b/>
          <w:bCs/>
        </w:rPr>
        <w:t xml:space="preserve">K.2   Use During Construction. </w:t>
      </w:r>
      <w:r>
        <w:t xml:space="preserve">Construction-phase Hazardous Materials are limited to those customarily used in commercial construction, including diesel and gasoline for equipment, lubricants, sealants, paint, and minor solvents. Tenant's general contractor shall maintain a Spill Prevention plan and SDS library on site.</w:t>
      </w:r>
    </w:p>
    <w:p>
      <w:pPr>
        <w:spacing w:before="0" w:after="120"/>
      </w:pPr>
      <w:r>
        <w:rPr>
          <w:b/>
          <w:bCs/>
        </w:rPr>
        <w:t xml:space="preserve">K.3   Use During Operation. </w:t>
      </w:r>
      <w:r>
        <w:t xml:space="preserve">Operating-phase Hazardous Materials are limited to those described in Section 9.2 and to customary items in customer-occupied units (subject to the prohibitions in Section 9.2 and the customer rental agreement). Tenant shall maintain a customer-facing prohibition on storage of flammable liquids, explosives, biological/medical waste, and hazardous waste.</w:t>
      </w:r>
    </w:p>
    <w:p>
      <w:pPr>
        <w:spacing w:before="0" w:after="120"/>
      </w:pPr>
      <w:r>
        <w:rPr>
          <w:b/>
          <w:bCs/>
        </w:rPr>
        <w:t xml:space="preserve">K.4   Updates. </w:t>
      </w:r>
      <w:r>
        <w:t xml:space="preserve">Tenant shall update this disclosure on each tenth anniversary of the Commencement Date (coinciding with Reset Dates) and within thirty (30) days of any material change in operations.</w:t>
      </w:r>
    </w:p>
    <w:p>
      <w:r>
        <w:br w:type="page"/>
      </w:r>
    </w:p>
    <w:p>
      <w:pPr>
        <w:jc w:val="center"/>
        <w:spacing w:before="0" w:after="40"/>
      </w:pPr>
      <w:r>
        <w:rPr>
          <w:b/>
          <w:bCs/>
          <w:sz w:val="32"/>
          <w:szCs w:val="32"/>
        </w:rPr>
        <w:t xml:space="preserve">APPENDIX 1</w:t>
      </w:r>
    </w:p>
    <w:p>
      <w:pPr>
        <w:jc w:val="center"/>
        <w:spacing w:before="0" w:after="160"/>
      </w:pPr>
      <w:r>
        <w:rPr>
          <w:b/>
          <w:bCs/>
          <w:sz w:val="26"/>
          <w:szCs w:val="26"/>
        </w:rPr>
        <w:t xml:space="preserve">Deal Summary and Drafting Notes</w:t>
      </w:r>
    </w:p>
    <w:p>
      <w:pPr>
        <w:spacing w:before="0" w:after="120"/>
      </w:pPr>
      <w:r>
        <w:rPr>
          <w:b/>
          <w:bCs/>
          <w:sz w:val="24"/>
          <w:szCs w:val="24"/>
        </w:rPr>
        <w:t xml:space="preserve">Description. </w:t>
      </w:r>
    </w:p>
    <w:p>
      <w:pPr>
        <w:spacing w:before="0" w:after="120"/>
      </w:pPr>
      <w:r>
        <w:t xml:space="preserve">A 75-year ground lease of approximately 5.2 acres in Saratoga Springs, Utah, on which Tenant — a Utah self-storage operator — will design, finance, construct, own, and operate a three-story climate-controlled self-storage facility (~85,000 NSF, ~750 units) and ~150-stall outdoor RV/boat/auto storage area. Tenant assumes all costs of ownership and operation under an "absolutely net" lease; ground rent steps once at year 6 and resets every 10 years thereafter to Fair Market Rent within a 3%-compound cap and a no-decrease floor. Tenant may encumber its leasehold with a Leasehold Mortgage on customary lender-protective terms (cure rights, new-lease right, no amendment without lender consent, no merger), and the fee shall remain unencumbered. At expiration, the Improvements revert to Landlord.</w:t>
      </w:r>
    </w:p>
    <w:p>
      <w:pPr>
        <w:spacing w:before="0" w:after="120"/>
      </w:pPr>
      <w:r>
        <w:rPr>
          <w:b/>
          <w:bCs/>
          <w:sz w:val="24"/>
          <w:szCs w:val="24"/>
        </w:rPr>
        <w:t xml:space="preserve">Archetype. </w:t>
      </w:r>
    </w:p>
    <w:p>
      <w:pPr>
        <w:spacing w:before="0" w:after="120"/>
      </w:pPr>
      <w:r>
        <w:t xml:space="preserve">Long-term ground lease / build-to-suit. The document is structurally different from operating leases: light on operating provisions, heavy on construction, leasehold financing, rent reset mechanics, casualty/condemnation allocation, and reversion of improvements.</w:t>
      </w:r>
    </w:p>
    <w:p>
      <w:pPr>
        <w:spacing w:before="0" w:after="120"/>
      </w:pPr>
      <w:r>
        <w:rPr>
          <w:b/>
          <w:bCs/>
          <w:sz w:val="24"/>
          <w:szCs w:val="24"/>
        </w:rPr>
        <w:t xml:space="preserve">Key Drafting Notes. </w:t>
      </w:r>
    </w:p>
    <w:p>
      <w:pPr>
        <w:spacing w:before="0" w:after="120"/>
      </w:pPr>
      <w:r>
        <w:t xml:space="preserve">•   75-year term sized to amortize Tenant's capital structure and support leasehold financing.</w:t>
      </w:r>
    </w:p>
    <w:p>
      <w:pPr>
        <w:spacing w:before="0" w:after="120"/>
      </w:pPr>
      <w:r>
        <w:t xml:space="preserve">•   Ground rent steps once at year 6 and resets every 10 years thereafter to FMR with a 3%-compound cap and no-decrease floor; baseball-arbitration backstop using three appraisers.</w:t>
      </w:r>
    </w:p>
    <w:p>
      <w:pPr>
        <w:spacing w:before="0" w:after="120"/>
      </w:pPr>
      <w:r>
        <w:t xml:space="preserve">•   Absolutely net structure: Tenant pays all taxes, utilities, insurance, maintenance, and capital replacements; no Landlord obligations during operations.</w:t>
      </w:r>
    </w:p>
    <w:p>
      <w:pPr>
        <w:spacing w:before="0" w:after="120"/>
      </w:pPr>
      <w:r>
        <w:t xml:space="preserve">•   Leasehold Mortgage protections in Article 8 are standard and bankable: notice and cure, new-lease right after termination, no amendment without lender consent, no merger of estates.</w:t>
      </w:r>
    </w:p>
    <w:p>
      <w:pPr>
        <w:spacing w:before="0" w:after="120"/>
      </w:pPr>
      <w:r>
        <w:t xml:space="preserve">•   Construction provisions (Article 5 + Exhibit G) include milestones (permit submittal, ground-break, substantial completion), bonds, builder's risk, contractor pollution liability, and milestone-default remedies subject to lender cure rights.</w:t>
      </w:r>
    </w:p>
    <w:p>
      <w:pPr>
        <w:spacing w:before="0" w:after="120"/>
      </w:pPr>
      <w:r>
        <w:t xml:space="preserve">•   Customer self-storage rental agreements are not "subleases" under Article 13 (Section 6.2) so that Tenant can operate normally.</w:t>
      </w:r>
    </w:p>
    <w:p>
      <w:pPr>
        <w:spacing w:before="0" w:after="120"/>
      </w:pPr>
      <w:r>
        <w:t xml:space="preserve">•   Reversion (Article 15): Improvements revert to Landlord at expiration; condition is "reasonably good" with major systems operational; joint condition inspections begin 24 months before expiration to avoid surprises.</w:t>
      </w:r>
    </w:p>
    <w:p>
      <w:pPr>
        <w:spacing w:before="0" w:after="120"/>
      </w:pPr>
      <w:r>
        <w:t xml:space="preserve">•   No subordination by Landlord (Section 2.4): the fee shall not be subordinated to fee debt; any future fee mortgage is junior to this Lease and to the Leasehold Mortgage.</w:t>
      </w:r>
    </w:p>
    <w:p>
      <w:pPr>
        <w:spacing w:before="0" w:after="120"/>
      </w:pPr>
      <w:r>
        <w:t xml:space="preserve">•   Memorandum of Lease (Exhibit F) is recorded — appropriate and customary for a 75-year ground lease.</w:t>
      </w:r>
    </w:p>
    <w:p>
      <w:pPr>
        <w:spacing w:before="0" w:after="120"/>
      </w:pPr>
      <w:r>
        <w:rPr>
          <w:b/>
          <w:bCs/>
          <w:sz w:val="24"/>
          <w:szCs w:val="24"/>
        </w:rPr>
        <w:t xml:space="preserve">Items Intentionally Omitted. </w:t>
      </w:r>
    </w:p>
    <w:p>
      <w:pPr>
        <w:spacing w:before="0" w:after="120"/>
      </w:pPr>
      <w:r>
        <w:t xml:space="preserve">Letter of credit; cash security deposit; corporate or personal guaranty (lender financing and the long-term ground-lease structure substitute); operating-expense pass-through (absolutely net); CAM or marketing fund; tenant improvement allowance (Tenant builds the entire facility at its own cost); SNDA in favor of Landlord's lender (Landlord shall not encumber the fee senior to this Lease); co-tenancy or exclusive use (single-tenant ground lease); relocation right.</w:t>
      </w:r>
    </w:p>
    <w:p>
      <w:pPr>
        <w:spacing w:before="0" w:after="120"/>
      </w:pPr>
      <w:r>
        <w:rPr>
          <w:b/>
          <w:bCs/>
          <w:sz w:val="24"/>
          <w:szCs w:val="24"/>
        </w:rPr>
        <w:t xml:space="preserve">Post-Execution Calendar. </w:t>
      </w:r>
    </w:p>
    <w:tbl>
      <w:tblPr>
        <w:tblW w:w="9500" w:type="dxa"/>
        <w:tblBorders>
          <w:top w:val="single" w:sz="4" w:color="9CA3AF"/>
          <w:left w:val="single" w:sz="4" w:color="9CA3AF"/>
          <w:bottom w:val="single" w:sz="4" w:color="9CA3AF"/>
          <w:right w:val="single" w:sz="4" w:color="9CA3AF"/>
          <w:insideH w:val="single" w:sz="4" w:color="9CA3AF"/>
          <w:insideV w:val="single" w:sz="4" w:color="9CA3AF"/>
        </w:tblBorders>
      </w:tblPr>
      <w:tblGrid>
        <w:gridCol w:w="2700"/>
        <w:gridCol w:w="6800"/>
      </w:tblGrid>
      <w:tr>
        <w:tc>
          <w:tcPr>
            <w:tcW w:w="2700" w:type="dxa"/>
            <w:shd w:val="clear" w:color="auto" w:fill="E5E7EB"/>
          </w:tcPr>
          <w:p>
            <w:pPr>
              <w:spacing w:before="0" w:after="60"/>
            </w:pPr>
            <w:r>
              <w:rPr>
                <w:b/>
                <w:bCs/>
              </w:rPr>
              <w:t xml:space="preserve">Date</w:t>
            </w:r>
          </w:p>
        </w:tc>
        <w:tc>
          <w:tcPr>
            <w:tcW w:w="6800" w:type="dxa"/>
            <w:shd w:val="clear" w:color="auto" w:fill="E5E7EB"/>
          </w:tcPr>
          <w:p>
            <w:pPr>
              <w:spacing w:before="0" w:after="60"/>
            </w:pPr>
            <w:r>
              <w:rPr>
                <w:b/>
                <w:bCs/>
              </w:rPr>
              <w:t xml:space="preserve">Action</w:t>
            </w:r>
          </w:p>
        </w:tc>
      </w:tr>
      <w:tr>
        <w:tc>
          <w:tcPr>
            <w:tcW w:w="2700" w:type="dxa"/>
          </w:tcPr>
          <w:p>
            <w:pPr>
              <w:spacing w:before="0" w:after="60"/>
            </w:pPr>
            <w:r>
              <w:t xml:space="preserve">Oct 23, 2026</w:t>
            </w:r>
          </w:p>
        </w:tc>
        <w:tc>
          <w:tcPr>
            <w:tcW w:w="6800" w:type="dxa"/>
          </w:tcPr>
          <w:p>
            <w:pPr>
              <w:spacing w:before="0" w:after="60"/>
            </w:pPr>
            <w:r>
              <w:t xml:space="preserve">Lease executed; Memorandum of Lease recorded in Utah County within 30 days.</w:t>
            </w:r>
          </w:p>
        </w:tc>
      </w:tr>
      <w:tr>
        <w:tc>
          <w:tcPr>
            <w:tcW w:w="2700" w:type="dxa"/>
          </w:tcPr>
          <w:p>
            <w:pPr>
              <w:spacing w:before="0" w:after="60"/>
            </w:pPr>
            <w:r>
              <w:t xml:space="preserve">Nov 1, 2026</w:t>
            </w:r>
          </w:p>
        </w:tc>
        <w:tc>
          <w:tcPr>
            <w:tcW w:w="6800" w:type="dxa"/>
          </w:tcPr>
          <w:p>
            <w:pPr>
              <w:spacing w:before="0" w:after="60"/>
            </w:pPr>
            <w:r>
              <w:t xml:space="preserve">Commencement Date / Rent Commencement Date; first $32,083.33 Ground Rent installment due.</w:t>
            </w:r>
          </w:p>
        </w:tc>
      </w:tr>
      <w:tr>
        <w:tc>
          <w:tcPr>
            <w:tcW w:w="2700" w:type="dxa"/>
          </w:tcPr>
          <w:p>
            <w:pPr>
              <w:spacing w:before="0" w:after="60"/>
            </w:pPr>
            <w:r>
              <w:t xml:space="preserve">Within 30 days</w:t>
            </w:r>
          </w:p>
        </w:tc>
        <w:tc>
          <w:tcPr>
            <w:tcW w:w="6800" w:type="dxa"/>
          </w:tcPr>
          <w:p>
            <w:pPr>
              <w:spacing w:before="0" w:after="60"/>
            </w:pPr>
            <w:r>
              <w:t xml:space="preserve">Memorandum of Lease (Exhibit F) recorded.</w:t>
            </w:r>
          </w:p>
        </w:tc>
      </w:tr>
      <w:tr>
        <w:tc>
          <w:tcPr>
            <w:tcW w:w="2700" w:type="dxa"/>
          </w:tcPr>
          <w:p>
            <w:pPr>
              <w:spacing w:before="0" w:after="60"/>
            </w:pPr>
            <w:r>
              <w:t xml:space="preserve">Apr 21, 2027</w:t>
            </w:r>
          </w:p>
        </w:tc>
        <w:tc>
          <w:tcPr>
            <w:tcW w:w="6800" w:type="dxa"/>
          </w:tcPr>
          <w:p>
            <w:pPr>
              <w:spacing w:before="0" w:after="60"/>
            </w:pPr>
            <w:r>
              <w:t xml:space="preserve">Final construction documents submitted for building permit (180 days after Effective Date).</w:t>
            </w:r>
          </w:p>
        </w:tc>
      </w:tr>
      <w:tr>
        <w:tc>
          <w:tcPr>
            <w:tcW w:w="2700" w:type="dxa"/>
          </w:tcPr>
          <w:p>
            <w:pPr>
              <w:spacing w:before="0" w:after="60"/>
            </w:pPr>
            <w:r>
              <w:t xml:space="preserve">Within 60 days of permit, no later than Jul 23, 2027</w:t>
            </w:r>
          </w:p>
        </w:tc>
        <w:tc>
          <w:tcPr>
            <w:tcW w:w="6800" w:type="dxa"/>
          </w:tcPr>
          <w:p>
            <w:pPr>
              <w:spacing w:before="0" w:after="60"/>
            </w:pPr>
            <w:r>
              <w:t xml:space="preserve">Construction commences (Section G.2).</w:t>
            </w:r>
          </w:p>
        </w:tc>
      </w:tr>
      <w:tr>
        <w:tc>
          <w:tcPr>
            <w:tcW w:w="2700" w:type="dxa"/>
          </w:tcPr>
          <w:p>
            <w:pPr>
              <w:spacing w:before="0" w:after="60"/>
            </w:pPr>
            <w:r>
              <w:t xml:space="preserve">Pre-construction</w:t>
            </w:r>
          </w:p>
        </w:tc>
        <w:tc>
          <w:tcPr>
            <w:tcW w:w="6800" w:type="dxa"/>
          </w:tcPr>
          <w:p>
            <w:pPr>
              <w:spacing w:before="0" w:after="60"/>
            </w:pPr>
            <w:r>
              <w:t xml:space="preserve">UPDES Construction General Permit obtained; bonds delivered; builder's risk and CPL in place.</w:t>
            </w:r>
          </w:p>
        </w:tc>
      </w:tr>
      <w:tr>
        <w:tc>
          <w:tcPr>
            <w:tcW w:w="2700" w:type="dxa"/>
          </w:tcPr>
          <w:p>
            <w:pPr>
              <w:spacing w:before="0" w:after="60"/>
            </w:pPr>
            <w:r>
              <w:t xml:space="preserve">Mar 31, 2028</w:t>
            </w:r>
          </w:p>
        </w:tc>
        <w:tc>
          <w:tcPr>
            <w:tcW w:w="6800" w:type="dxa"/>
          </w:tcPr>
          <w:p>
            <w:pPr>
              <w:spacing w:before="0" w:after="60"/>
            </w:pPr>
            <w:r>
              <w:t xml:space="preserve">Construction Outside Date — Substantial Completion of Phase I.</w:t>
            </w:r>
          </w:p>
        </w:tc>
      </w:tr>
      <w:tr>
        <w:tc>
          <w:tcPr>
            <w:tcW w:w="2700" w:type="dxa"/>
          </w:tcPr>
          <w:p>
            <w:pPr>
              <w:spacing w:before="0" w:after="60"/>
            </w:pPr>
            <w:r>
              <w:t xml:space="preserve">Nov 1, 2031</w:t>
            </w:r>
          </w:p>
        </w:tc>
        <w:tc>
          <w:tcPr>
            <w:tcW w:w="6800" w:type="dxa"/>
          </w:tcPr>
          <w:p>
            <w:pPr>
              <w:spacing w:before="0" w:after="60"/>
            </w:pPr>
            <w:r>
              <w:t xml:space="preserve">First rent step (to $425,000/year).</w:t>
            </w:r>
          </w:p>
        </w:tc>
      </w:tr>
      <w:tr>
        <w:tc>
          <w:tcPr>
            <w:tcW w:w="2700" w:type="dxa"/>
          </w:tcPr>
          <w:p>
            <w:pPr>
              <w:spacing w:before="0" w:after="60"/>
            </w:pPr>
            <w:r>
              <w:t xml:space="preserve">Nov 1, 2036</w:t>
            </w:r>
          </w:p>
        </w:tc>
        <w:tc>
          <w:tcPr>
            <w:tcW w:w="6800" w:type="dxa"/>
          </w:tcPr>
          <w:p>
            <w:pPr>
              <w:spacing w:before="0" w:after="60"/>
            </w:pPr>
            <w:r>
              <w:t xml:space="preserve">First decennial Reset Date — Fair Market Rent determination under Section 4.5.</w:t>
            </w:r>
          </w:p>
        </w:tc>
      </w:tr>
      <w:tr>
        <w:tc>
          <w:tcPr>
            <w:tcW w:w="2700" w:type="dxa"/>
          </w:tcPr>
          <w:p>
            <w:pPr>
              <w:spacing w:before="0" w:after="60"/>
            </w:pPr>
            <w:r>
              <w:t xml:space="preserve">Oct 31, 2099</w:t>
            </w:r>
          </w:p>
        </w:tc>
        <w:tc>
          <w:tcPr>
            <w:tcW w:w="6800" w:type="dxa"/>
          </w:tcPr>
          <w:p>
            <w:pPr>
              <w:spacing w:before="0" w:after="60"/>
            </w:pPr>
            <w:r>
              <w:t xml:space="preserve">Joint pre-expiration condition inspections begin (24 months before Expiration).</w:t>
            </w:r>
          </w:p>
        </w:tc>
      </w:tr>
      <w:tr>
        <w:tc>
          <w:tcPr>
            <w:tcW w:w="2700" w:type="dxa"/>
          </w:tcPr>
          <w:p>
            <w:pPr>
              <w:spacing w:before="0" w:after="60"/>
            </w:pPr>
            <w:r>
              <w:t xml:space="preserve">Oct 31, 2101</w:t>
            </w:r>
          </w:p>
        </w:tc>
        <w:tc>
          <w:tcPr>
            <w:tcW w:w="6800" w:type="dxa"/>
          </w:tcPr>
          <w:p>
            <w:pPr>
              <w:spacing w:before="0" w:after="60"/>
            </w:pPr>
            <w:r>
              <w:t xml:space="preserve">Expiration Date; Improvements revert to Landlord.</w:t>
            </w:r>
          </w:p>
        </w:tc>
      </w:tr>
    </w:tbl>
    <w:p>
      <w:pPr>
        <w:spacing w:before="0" w:after="80"/>
      </w:pPr>
    </w:p>
    <w:sectPr>
      <w:pgSz w:w="12240" w:h="15840"/>
      <w:pgMar w:top="1080" w:right="1080" w:bottom="1080" w:left="1080" w:header="720" w:footer="720" w:gutter="0"/>
      <w:cols w:space="720"/>
      <w:docGrid w:linePitch="360"/>
    </w:sectPr>
  </w:body>
</w:document>
</file>

<file path=word/styles.xml><?xml version="1.0" encoding="utf-8"?>
<w:styles xmlns:w="http://schemas.openxmlformats.org/wordprocessingml/2006/main">
  <w:docDefaults>
    <w:rPrDefault>
      <w:rPr>
        <w:rFonts w:ascii="Calibri" w:hAnsi="Calibri" w:cs="Calibri"/>
        <w:sz w:val="22"/>
        <w:szCs w:val="22"/>
      </w:rPr>
    </w:rPrDefault>
    <w:pPrDefault>
      <w:pPr>
        <w:spacing w:after="160" w:line="276" w:lineRule="auto"/>
      </w:pPr>
    </w:pPrDefault>
  </w:docDefaults>
</w:styles>
</file>

<file path=word/_rels/document.xml.rels><?xml version="1.0" encoding="UTF-8" standalone="yes"?>
<Relationships xmlns="http://schemas.openxmlformats.org/package/2006/relationships">
<Relationship Id="rIdStyles" Type="http://schemas.openxmlformats.org/officeDocument/2006/relationships/styles" Target="styles.xml"/>
<Relationship Id="rIdPic1" Type="http://schemas.openxmlformats.org/officeDocument/2006/relationships/image" Target="media/image1.png"/>
</Relationships>
</file>