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0" w:after="80"/>
      </w:pPr>
      <w:r>
        <w:rPr>
          <w:b/>
          <w:bCs/>
          <w:sz w:val="36"/>
          <w:szCs w:val="36"/>
        </w:rPr>
        <w:t xml:space="preserve">INDUSTRIAL BUILDING LEASE</w:t>
      </w:r>
    </w:p>
    <w:p>
      <w:pPr>
        <w:jc w:val="center"/>
        <w:spacing w:before="0" w:after="80"/>
      </w:pPr>
      <w:r>
        <w:rPr>
          <w:b/>
          <w:bCs/>
          <w:sz w:val="24"/>
          <w:szCs w:val="24"/>
        </w:rPr>
        <w:t xml:space="preserve">Switchback Industrial — 870 S. Depot Crossing, Clearfield, Utah</w:t>
      </w:r>
    </w:p>
    <w:p>
      <w:pPr>
        <w:jc w:val="center"/>
        <w:spacing w:before="0" w:after="40"/>
      </w:pPr>
      <w:r>
        <w:rPr>
          <w:sz w:val="22"/>
          <w:szCs w:val="22"/>
        </w:rPr>
        <w:t xml:space="preserve">between BEEHIVE REALTY TRUST, LLC, as Landlord,</w:t>
      </w:r>
    </w:p>
    <w:p>
      <w:pPr>
        <w:jc w:val="center"/>
        <w:spacing w:before="0" w:after="240"/>
      </w:pPr>
      <w:r>
        <w:rPr>
          <w:sz w:val="22"/>
          <w:szCs w:val="22"/>
        </w:rPr>
        <w:t xml:space="preserve">and SWITCHBACK OUTFITTERS MANUFACTURING, LLC, as Tenant</w:t>
      </w:r>
    </w:p>
    <w:p>
      <w:pPr>
        <w:spacing w:before="0" w:after="120"/>
      </w:pPr>
      <w:r>
        <w:t xml:space="preserve">This Industrial Building Lease (the "Lease") is entered into as of the Effective Date set forth in Article 1, by and between Landlord and Tenant. In consideration of the mutual covenants set forth herein, and intending to be legally bound, Landlord and Tenant agree as follows.</w:t>
      </w:r>
    </w:p>
    <w:p>
      <w:pPr>
        <w:spacing w:before="280" w:after="140"/>
        <w:keepNext/>
      </w:pPr>
      <w:r>
        <w:rPr>
          <w:b/>
          <w:bCs/>
          <w:sz w:val="28"/>
          <w:szCs w:val="28"/>
        </w:rPr>
        <w:t xml:space="preserve">ARTICLE 1.   KEY DEFINED TERMS</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3000"/>
        <w:gridCol w:w="6500"/>
      </w:tblGrid>
      <w:tr>
        <w:tc>
          <w:tcPr>
            <w:tcW w:w="3000" w:type="dxa"/>
            <w:shd w:val="clear" w:color="auto" w:fill="E5E7EB"/>
          </w:tcPr>
          <w:p>
            <w:pPr>
              <w:spacing w:before="0" w:after="60"/>
            </w:pPr>
            <w:r>
              <w:rPr>
                <w:b/>
                <w:bCs/>
              </w:rPr>
              <w:t xml:space="preserve">Defined Term</w:t>
            </w:r>
          </w:p>
        </w:tc>
        <w:tc>
          <w:tcPr>
            <w:tcW w:w="6500" w:type="dxa"/>
            <w:shd w:val="clear" w:color="auto" w:fill="E5E7EB"/>
          </w:tcPr>
          <w:p>
            <w:pPr>
              <w:spacing w:before="0" w:after="60"/>
            </w:pPr>
            <w:r>
              <w:rPr>
                <w:b/>
                <w:bCs/>
              </w:rPr>
              <w:t xml:space="preserve">Entry</w:t>
            </w:r>
          </w:p>
        </w:tc>
      </w:tr>
      <w:tr>
        <w:tc>
          <w:tcPr>
            <w:tcW w:w="3000" w:type="dxa"/>
          </w:tcPr>
          <w:p>
            <w:pPr>
              <w:spacing w:before="0" w:after="60"/>
            </w:pPr>
            <w:r>
              <w:t xml:space="preserve">Effective Date</w:t>
            </w:r>
          </w:p>
        </w:tc>
        <w:tc>
          <w:tcPr>
            <w:tcW w:w="6500" w:type="dxa"/>
          </w:tcPr>
          <w:p>
            <w:pPr>
              <w:spacing w:before="0" w:after="60"/>
            </w:pPr>
            <w:r>
              <w:t xml:space="preserve">October 9, 2026.</w:t>
            </w:r>
          </w:p>
        </w:tc>
      </w:tr>
      <w:tr>
        <w:tc>
          <w:tcPr>
            <w:tcW w:w="3000" w:type="dxa"/>
          </w:tcPr>
          <w:p>
            <w:pPr>
              <w:spacing w:before="0" w:after="60"/>
            </w:pPr>
            <w:r>
              <w:t xml:space="preserve">Landlord</w:t>
            </w:r>
          </w:p>
        </w:tc>
        <w:tc>
          <w:tcPr>
            <w:tcW w:w="6500" w:type="dxa"/>
          </w:tcPr>
          <w:p>
            <w:pPr>
              <w:spacing w:before="0" w:after="60"/>
            </w:pPr>
            <w:r>
              <w:t xml:space="preserve">Beehive Realty Trust, LLC, a Utah limited liability company.</w:t>
            </w:r>
          </w:p>
        </w:tc>
      </w:tr>
      <w:tr>
        <w:tc>
          <w:tcPr>
            <w:tcW w:w="3000" w:type="dxa"/>
          </w:tcPr>
          <w:p>
            <w:pPr>
              <w:spacing w:before="0" w:after="60"/>
            </w:pPr>
            <w:r>
              <w:t xml:space="preserve">Tenant</w:t>
            </w:r>
          </w:p>
        </w:tc>
        <w:tc>
          <w:tcPr>
            <w:tcW w:w="6500" w:type="dxa"/>
          </w:tcPr>
          <w:p>
            <w:pPr>
              <w:spacing w:before="0" w:after="60"/>
            </w:pPr>
            <w:r>
              <w:t xml:space="preserve">Switchback Outfitters Manufacturing, LLC, a Delaware limited liability company, authorized to do business in Utah.</w:t>
            </w:r>
          </w:p>
        </w:tc>
      </w:tr>
      <w:tr>
        <w:tc>
          <w:tcPr>
            <w:tcW w:w="3000" w:type="dxa"/>
          </w:tcPr>
          <w:p>
            <w:pPr>
              <w:spacing w:before="0" w:after="60"/>
            </w:pPr>
            <w:r>
              <w:t xml:space="preserve">Building</w:t>
            </w:r>
          </w:p>
        </w:tc>
        <w:tc>
          <w:tcPr>
            <w:tcW w:w="6500" w:type="dxa"/>
          </w:tcPr>
          <w:p>
            <w:pPr>
              <w:spacing w:before="0" w:after="60"/>
            </w:pPr>
            <w:r>
              <w:t xml:space="preserve">The single-tenant industrial/flex building located at 870 South Depot Crossing, Clearfield, Utah 84015, consisting of approximately 32,400 rentable square feet (8,400 RSF office/mezzanine and 24,000 RSF manufacturing/warehouse floor with 28-foot clear height), with five (5) dock-high loading doors, one (1) drive-in door, and a fenced concrete yard.</w:t>
            </w:r>
          </w:p>
        </w:tc>
      </w:tr>
      <w:tr>
        <w:tc>
          <w:tcPr>
            <w:tcW w:w="3000" w:type="dxa"/>
          </w:tcPr>
          <w:p>
            <w:pPr>
              <w:spacing w:before="0" w:after="60"/>
            </w:pPr>
            <w:r>
              <w:t xml:space="preserve">Premises</w:t>
            </w:r>
          </w:p>
        </w:tc>
        <w:tc>
          <w:tcPr>
            <w:tcW w:w="6500" w:type="dxa"/>
          </w:tcPr>
          <w:p>
            <w:pPr>
              <w:spacing w:before="0" w:after="60"/>
            </w:pPr>
            <w:r>
              <w:t xml:space="preserve">The entire Building and the Property (whole-building lease), as depicted on Exhibit A.</w:t>
            </w:r>
          </w:p>
        </w:tc>
      </w:tr>
      <w:tr>
        <w:tc>
          <w:tcPr>
            <w:tcW w:w="3000" w:type="dxa"/>
          </w:tcPr>
          <w:p>
            <w:pPr>
              <w:spacing w:before="0" w:after="60"/>
            </w:pPr>
            <w:r>
              <w:t xml:space="preserve">Property</w:t>
            </w:r>
          </w:p>
        </w:tc>
        <w:tc>
          <w:tcPr>
            <w:tcW w:w="6500" w:type="dxa"/>
          </w:tcPr>
          <w:p>
            <w:pPr>
              <w:spacing w:before="0" w:after="60"/>
            </w:pPr>
            <w:r>
              <w:t xml:space="preserve">The Building, the land on which the Building is situated (approximately 3.4 acres), and all related parking areas, drives, sidewalks, landscaping, truck court, and the fenced yard.</w:t>
            </w:r>
          </w:p>
        </w:tc>
      </w:tr>
      <w:tr>
        <w:tc>
          <w:tcPr>
            <w:tcW w:w="3000" w:type="dxa"/>
          </w:tcPr>
          <w:p>
            <w:pPr>
              <w:spacing w:before="0" w:after="60"/>
            </w:pPr>
            <w:r>
              <w:t xml:space="preserve">Commencement Date</w:t>
            </w:r>
          </w:p>
        </w:tc>
        <w:tc>
          <w:tcPr>
            <w:tcW w:w="6500" w:type="dxa"/>
          </w:tcPr>
          <w:p>
            <w:pPr>
              <w:spacing w:before="0" w:after="60"/>
            </w:pPr>
            <w:r>
              <w:t xml:space="preserve">November 1, 2026.</w:t>
            </w:r>
          </w:p>
        </w:tc>
      </w:tr>
      <w:tr>
        <w:tc>
          <w:tcPr>
            <w:tcW w:w="3000" w:type="dxa"/>
          </w:tcPr>
          <w:p>
            <w:pPr>
              <w:spacing w:before="0" w:after="60"/>
            </w:pPr>
            <w:r>
              <w:t xml:space="preserve">Term</w:t>
            </w:r>
          </w:p>
        </w:tc>
        <w:tc>
          <w:tcPr>
            <w:tcW w:w="6500" w:type="dxa"/>
          </w:tcPr>
          <w:p>
            <w:pPr>
              <w:spacing w:before="0" w:after="60"/>
            </w:pPr>
            <w:r>
              <w:t xml:space="preserve">Eighty-four (84) full calendar months, expiring October 31, 2033 (the "Expiration Date"), unless sooner terminated or extended as provided herein.</w:t>
            </w:r>
          </w:p>
        </w:tc>
      </w:tr>
      <w:tr>
        <w:tc>
          <w:tcPr>
            <w:tcW w:w="3000" w:type="dxa"/>
          </w:tcPr>
          <w:p>
            <w:pPr>
              <w:spacing w:before="0" w:after="60"/>
            </w:pPr>
            <w:r>
              <w:t xml:space="preserve">Base Rent</w:t>
            </w:r>
          </w:p>
        </w:tc>
        <w:tc>
          <w:tcPr>
            <w:tcW w:w="6500" w:type="dxa"/>
          </w:tcPr>
          <w:p>
            <w:pPr>
              <w:spacing w:before="0" w:after="60"/>
            </w:pPr>
            <w:r>
              <w:t xml:space="preserve">As set forth in the Base Rent schedule in Section 2.2 (triple net).</w:t>
            </w:r>
          </w:p>
        </w:tc>
      </w:tr>
      <w:tr>
        <w:tc>
          <w:tcPr>
            <w:tcW w:w="3000" w:type="dxa"/>
          </w:tcPr>
          <w:p>
            <w:pPr>
              <w:spacing w:before="0" w:after="60"/>
            </w:pPr>
            <w:r>
              <w:t xml:space="preserve">Abatement Period</w:t>
            </w:r>
          </w:p>
        </w:tc>
        <w:tc>
          <w:tcPr>
            <w:tcW w:w="6500" w:type="dxa"/>
          </w:tcPr>
          <w:p>
            <w:pPr>
              <w:spacing w:before="0" w:after="60"/>
            </w:pPr>
            <w:r>
              <w:t xml:space="preserve">November 1, 2026 through January 31, 2027 (Base Rent only).</w:t>
            </w:r>
          </w:p>
        </w:tc>
      </w:tr>
      <w:tr>
        <w:tc>
          <w:tcPr>
            <w:tcW w:w="3000" w:type="dxa"/>
          </w:tcPr>
          <w:p>
            <w:pPr>
              <w:spacing w:before="0" w:after="60"/>
            </w:pPr>
            <w:r>
              <w:t xml:space="preserve">Additional Rent</w:t>
            </w:r>
          </w:p>
        </w:tc>
        <w:tc>
          <w:tcPr>
            <w:tcW w:w="6500" w:type="dxa"/>
          </w:tcPr>
          <w:p>
            <w:pPr>
              <w:spacing w:before="0" w:after="60"/>
            </w:pPr>
            <w:r>
              <w:t xml:space="preserve">All amounts payable under this Lease other than Base Rent, including real property taxes, insurance, utilities, exterior maintenance, and other expenses as expressly allocated to Tenant under this Lease.</w:t>
            </w:r>
          </w:p>
        </w:tc>
      </w:tr>
      <w:tr>
        <w:tc>
          <w:tcPr>
            <w:tcW w:w="3000" w:type="dxa"/>
          </w:tcPr>
          <w:p>
            <w:pPr>
              <w:spacing w:before="0" w:after="60"/>
            </w:pPr>
            <w:r>
              <w:t xml:space="preserve">Estimated NNN Charges</w:t>
            </w:r>
          </w:p>
        </w:tc>
        <w:tc>
          <w:tcPr>
            <w:tcW w:w="6500" w:type="dxa"/>
          </w:tcPr>
          <w:p>
            <w:pPr>
              <w:spacing w:before="0" w:after="60"/>
            </w:pPr>
            <w:r>
              <w:t xml:space="preserve">$3.85 per rentable square foot per year for calendar year 2027 ($10,395.00 per month, paid as estimates and subject to annual reconciliation under Article 3). Tenant pays real property taxes, property insurance, and utilities directly except as expressly stated otherwise.</w:t>
            </w:r>
          </w:p>
        </w:tc>
      </w:tr>
      <w:tr>
        <w:tc>
          <w:tcPr>
            <w:tcW w:w="3000" w:type="dxa"/>
          </w:tcPr>
          <w:p>
            <w:pPr>
              <w:spacing w:before="0" w:after="60"/>
            </w:pPr>
            <w:r>
              <w:t xml:space="preserve">Permitted Use</w:t>
            </w:r>
          </w:p>
        </w:tc>
        <w:tc>
          <w:tcPr>
            <w:tcW w:w="6500" w:type="dxa"/>
          </w:tcPr>
          <w:p>
            <w:pPr>
              <w:spacing w:before="0" w:after="60"/>
            </w:pPr>
            <w:r>
              <w:t xml:space="preserve">Manufacturing, assembly, warehousing, and distribution of outdoor recreation equipment (including soft goods, packs, tents, and climbing hardware), together with ancillary office, R&amp;D, prototyping, product testing, employee break and training areas, and a factory-store retail component not exceeding five percent (5%) of the rentable square footage of the Building. No other use is permitted without Landlord's prior written consent.</w:t>
            </w:r>
          </w:p>
        </w:tc>
      </w:tr>
      <w:tr>
        <w:tc>
          <w:tcPr>
            <w:tcW w:w="3000" w:type="dxa"/>
          </w:tcPr>
          <w:p>
            <w:pPr>
              <w:spacing w:before="0" w:after="60"/>
            </w:pPr>
            <w:r>
              <w:t xml:space="preserve">Tenant Proportionate Share</w:t>
            </w:r>
          </w:p>
        </w:tc>
        <w:tc>
          <w:tcPr>
            <w:tcW w:w="6500" w:type="dxa"/>
          </w:tcPr>
          <w:p>
            <w:pPr>
              <w:spacing w:before="0" w:after="60"/>
            </w:pPr>
            <w:r>
              <w:t xml:space="preserve">100% (single-tenant).</w:t>
            </w:r>
          </w:p>
        </w:tc>
      </w:tr>
      <w:tr>
        <w:tc>
          <w:tcPr>
            <w:tcW w:w="3000" w:type="dxa"/>
          </w:tcPr>
          <w:p>
            <w:pPr>
              <w:spacing w:before="0" w:after="60"/>
            </w:pPr>
            <w:r>
              <w:t xml:space="preserve">Letter of Credit</w:t>
            </w:r>
          </w:p>
        </w:tc>
        <w:tc>
          <w:tcPr>
            <w:tcW w:w="6500" w:type="dxa"/>
          </w:tcPr>
          <w:p>
            <w:pPr>
              <w:spacing w:before="0" w:after="60"/>
            </w:pPr>
            <w:r>
              <w:t xml:space="preserve">$91,125.00 irrevocable standby letter of credit in the form attached as Exhibit H, subject to burn-down under Section 2.7.</w:t>
            </w:r>
          </w:p>
        </w:tc>
      </w:tr>
      <w:tr>
        <w:tc>
          <w:tcPr>
            <w:tcW w:w="3000" w:type="dxa"/>
          </w:tcPr>
          <w:p>
            <w:pPr>
              <w:spacing w:before="0" w:after="60"/>
            </w:pPr>
            <w:r>
              <w:t xml:space="preserve">Security Deposit (cash)</w:t>
            </w:r>
          </w:p>
        </w:tc>
        <w:tc>
          <w:tcPr>
            <w:tcW w:w="6500" w:type="dxa"/>
          </w:tcPr>
          <w:p>
            <w:pPr>
              <w:spacing w:before="0" w:after="60"/>
            </w:pPr>
            <w:r>
              <w:t xml:space="preserve">None.</w:t>
            </w:r>
          </w:p>
        </w:tc>
      </w:tr>
      <w:tr>
        <w:tc>
          <w:tcPr>
            <w:tcW w:w="3000" w:type="dxa"/>
          </w:tcPr>
          <w:p>
            <w:pPr>
              <w:spacing w:before="0" w:after="60"/>
            </w:pPr>
            <w:r>
              <w:t xml:space="preserve">Guarantor</w:t>
            </w:r>
          </w:p>
        </w:tc>
        <w:tc>
          <w:tcPr>
            <w:tcW w:w="6500" w:type="dxa"/>
          </w:tcPr>
          <w:p>
            <w:pPr>
              <w:spacing w:before="0" w:after="60"/>
            </w:pPr>
            <w:r>
              <w:t xml:space="preserve">None.</w:t>
            </w:r>
          </w:p>
        </w:tc>
      </w:tr>
      <w:tr>
        <w:tc>
          <w:tcPr>
            <w:tcW w:w="3000" w:type="dxa"/>
          </w:tcPr>
          <w:p>
            <w:pPr>
              <w:spacing w:before="0" w:after="60"/>
            </w:pPr>
            <w:r>
              <w:t xml:space="preserve">Brokers</w:t>
            </w:r>
          </w:p>
        </w:tc>
        <w:tc>
          <w:tcPr>
            <w:tcW w:w="6500" w:type="dxa"/>
          </w:tcPr>
          <w:p>
            <w:pPr>
              <w:spacing w:before="0" w:after="60"/>
            </w:pPr>
            <w:r>
              <w:t xml:space="preserve">Tenant Broker: Granite Peak Industrial Brokerage, LLC. Landlord Broker: Beehive Realty Trust, LLC (in-house).</w:t>
            </w:r>
          </w:p>
        </w:tc>
      </w:tr>
      <w:tr>
        <w:tc>
          <w:tcPr>
            <w:tcW w:w="3000" w:type="dxa"/>
          </w:tcPr>
          <w:p>
            <w:pPr>
              <w:spacing w:before="0" w:after="60"/>
            </w:pPr>
            <w:r>
              <w:t xml:space="preserve">Tenant Notice Address</w:t>
            </w:r>
          </w:p>
        </w:tc>
        <w:tc>
          <w:tcPr>
            <w:tcW w:w="6500" w:type="dxa"/>
          </w:tcPr>
          <w:p>
            <w:pPr>
              <w:spacing w:before="0" w:after="60"/>
            </w:pPr>
            <w:r>
              <w:t xml:space="preserve">Switchback Outfitters Manufacturing, LLC, Attn: Linnea M. Bjornsen, VP of Operations, 870 South Depot Crossing, Clearfield, UT 84015; courtesy email copy to lbjornsen@switchbackoutfitters.example.</w:t>
            </w:r>
          </w:p>
        </w:tc>
      </w:tr>
      <w:tr>
        <w:tc>
          <w:tcPr>
            <w:tcW w:w="3000" w:type="dxa"/>
          </w:tcPr>
          <w:p>
            <w:pPr>
              <w:spacing w:before="0" w:after="60"/>
            </w:pPr>
            <w:r>
              <w:t xml:space="preserve">Landlord Notice Address</w:t>
            </w:r>
          </w:p>
        </w:tc>
        <w:tc>
          <w:tcPr>
            <w:tcW w:w="6500" w:type="dxa"/>
          </w:tcPr>
          <w:p>
            <w:pPr>
              <w:spacing w:before="0" w:after="60"/>
            </w:pPr>
            <w:r>
              <w:t xml:space="preserve">Beehive Realty Trust, LLC, Attn: Lease Administration, 175 East 400 South, Suite 900, Salt Lake City, UT 84111; courtesy email copy to leases@beehiverealtytrust.example.</w:t>
            </w:r>
          </w:p>
        </w:tc>
      </w:tr>
      <w:tr>
        <w:tc>
          <w:tcPr>
            <w:tcW w:w="3000" w:type="dxa"/>
          </w:tcPr>
          <w:p>
            <w:pPr>
              <w:spacing w:before="0" w:after="60"/>
            </w:pPr>
            <w:r>
              <w:t xml:space="preserve">Renewal Option</w:t>
            </w:r>
          </w:p>
        </w:tc>
        <w:tc>
          <w:tcPr>
            <w:tcW w:w="6500" w:type="dxa"/>
          </w:tcPr>
          <w:p>
            <w:pPr>
              <w:spacing w:before="0" w:after="60"/>
            </w:pPr>
            <w:r>
              <w:t xml:space="preserve">One (1) option to renew for an additional five (5) years at Fair Market Rent, exercisable per Article 27.</w:t>
            </w:r>
          </w:p>
        </w:tc>
      </w:tr>
      <w:tr>
        <w:tc>
          <w:tcPr>
            <w:tcW w:w="3000" w:type="dxa"/>
          </w:tcPr>
          <w:p>
            <w:pPr>
              <w:spacing w:before="0" w:after="60"/>
            </w:pPr>
            <w:r>
              <w:t xml:space="preserve">Exhibits</w:t>
            </w:r>
          </w:p>
        </w:tc>
        <w:tc>
          <w:tcPr>
            <w:tcW w:w="6500" w:type="dxa"/>
          </w:tcPr>
          <w:p>
            <w:pPr>
              <w:spacing w:before="0" w:after="60"/>
            </w:pPr>
            <w:r>
              <w:t xml:space="preserve">Exhibit A (Site Plan &amp; Premises); Exhibit A-1 (Truck Access Route); Exhibit B (Surrender Requirements); Exhibit C (Rules and Prohibited Uses); Exhibit D (Tenant Contact Information); Exhibit G (Landlord Work Letter); Exhibit H (Form of Letter of Credit); Exhibit I (Utah-Specific Provisions); Exhibit J (Outside Storage &amp; Yard); Exhibit K (Environmental Disclosure Schedule). All other exhibits referenced in the Beehive standard form are intentionally omitted as inapplicable.</w:t>
            </w:r>
          </w:p>
        </w:tc>
      </w:tr>
    </w:tbl>
    <w:p>
      <w:pPr>
        <w:spacing w:before="0" w:after="80"/>
      </w:pPr>
    </w:p>
    <w:p>
      <w:pPr>
        <w:spacing w:before="280" w:after="140"/>
        <w:keepNext/>
      </w:pPr>
      <w:r>
        <w:rPr>
          <w:b/>
          <w:bCs/>
          <w:sz w:val="28"/>
          <w:szCs w:val="28"/>
        </w:rPr>
        <w:t xml:space="preserve">ARTICLE 2.   LEASE OF PREMISES; RENT</w:t>
      </w:r>
    </w:p>
    <w:p>
      <w:pPr>
        <w:spacing w:before="0" w:after="120"/>
      </w:pPr>
      <w:r>
        <w:rPr>
          <w:b/>
          <w:bCs/>
        </w:rPr>
        <w:t xml:space="preserve">2.1   Grant. </w:t>
      </w:r>
      <w:r>
        <w:t xml:space="preserve">Landlord leases the Premises to Tenant, and Tenant leases the Premises from Landlord, for the Term, subject to this Lease. This Lease is a "triple-net" lease and, except as expressly stated, all costs of ownership, operation, maintenance, repair, replacement, taxes, insurance, and utilities for the Property are Tenant's responsibility, payable as Base Rent, Additional Rent, or directly to the applicable provider.</w:t>
      </w:r>
    </w:p>
    <w:p>
      <w:pPr>
        <w:spacing w:before="0" w:after="120"/>
      </w:pPr>
      <w:r>
        <w:rPr>
          <w:b/>
          <w:bCs/>
        </w:rPr>
        <w:t xml:space="preserve">2.2   Base Rent Schedule. </w:t>
      </w:r>
      <w:r>
        <w:t xml:space="preserve">Tenant shall pay Base Rent in monthly installments, in advance, on the first day of each calendar month during the Term, without demand, deduction, abatement, counterclaim, or setoff, except as expressly provided in this Lease.</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3000"/>
        <w:gridCol w:w="1800"/>
        <w:gridCol w:w="2300"/>
        <w:gridCol w:w="2400"/>
      </w:tblGrid>
      <w:tr>
        <w:tc>
          <w:tcPr>
            <w:tcW w:w="3000" w:type="dxa"/>
            <w:shd w:val="clear" w:color="auto" w:fill="E5E7EB"/>
          </w:tcPr>
          <w:p>
            <w:pPr>
              <w:spacing w:before="0" w:after="60"/>
            </w:pPr>
            <w:r>
              <w:rPr>
                <w:b/>
                <w:bCs/>
              </w:rPr>
              <w:t xml:space="preserve">Period</w:t>
            </w:r>
          </w:p>
        </w:tc>
        <w:tc>
          <w:tcPr>
            <w:tcW w:w="1800" w:type="dxa"/>
            <w:shd w:val="clear" w:color="auto" w:fill="E5E7EB"/>
          </w:tcPr>
          <w:p>
            <w:pPr>
              <w:spacing w:before="0" w:after="60"/>
            </w:pPr>
            <w:r>
              <w:rPr>
                <w:b/>
                <w:bCs/>
              </w:rPr>
              <w:t xml:space="preserve">Rate per RSF</w:t>
            </w:r>
          </w:p>
        </w:tc>
        <w:tc>
          <w:tcPr>
            <w:tcW w:w="2300" w:type="dxa"/>
            <w:shd w:val="clear" w:color="auto" w:fill="E5E7EB"/>
          </w:tcPr>
          <w:p>
            <w:pPr>
              <w:spacing w:before="0" w:after="60"/>
            </w:pPr>
            <w:r>
              <w:rPr>
                <w:b/>
                <w:bCs/>
              </w:rPr>
              <w:t xml:space="preserve">Monthly Base Rent</w:t>
            </w:r>
          </w:p>
        </w:tc>
        <w:tc>
          <w:tcPr>
            <w:tcW w:w="2400" w:type="dxa"/>
            <w:shd w:val="clear" w:color="auto" w:fill="E5E7EB"/>
          </w:tcPr>
          <w:p>
            <w:pPr>
              <w:spacing w:before="0" w:after="60"/>
            </w:pPr>
            <w:r>
              <w:rPr>
                <w:b/>
                <w:bCs/>
              </w:rPr>
              <w:t xml:space="preserve">Annual Base Rent</w:t>
            </w:r>
          </w:p>
        </w:tc>
      </w:tr>
      <w:tr>
        <w:tc>
          <w:tcPr>
            <w:tcW w:w="3000" w:type="dxa"/>
          </w:tcPr>
          <w:p>
            <w:pPr>
              <w:spacing w:before="0" w:after="60"/>
            </w:pPr>
            <w:r>
              <w:t xml:space="preserve">Nov 1, 2026 – Jan 31, 2027</w:t>
            </w:r>
          </w:p>
        </w:tc>
        <w:tc>
          <w:tcPr>
            <w:tcW w:w="1800" w:type="dxa"/>
          </w:tcPr>
          <w:p>
            <w:pPr>
              <w:spacing w:before="0" w:after="60"/>
            </w:pPr>
            <w:r>
              <w:t xml:space="preserve">$11.25 (abated)</w:t>
            </w:r>
          </w:p>
        </w:tc>
        <w:tc>
          <w:tcPr>
            <w:tcW w:w="2300" w:type="dxa"/>
          </w:tcPr>
          <w:p>
            <w:pPr>
              <w:spacing w:before="0" w:after="60"/>
            </w:pPr>
            <w:r>
              <w:t xml:space="preserve">$0.00 (abated)</w:t>
            </w:r>
          </w:p>
        </w:tc>
        <w:tc>
          <w:tcPr>
            <w:tcW w:w="2400" w:type="dxa"/>
          </w:tcPr>
          <w:p>
            <w:pPr>
              <w:spacing w:before="0" w:after="60"/>
            </w:pPr>
            <w:r>
              <w:t xml:space="preserve">—</w:t>
            </w:r>
          </w:p>
        </w:tc>
      </w:tr>
      <w:tr>
        <w:tc>
          <w:tcPr>
            <w:tcW w:w="3000" w:type="dxa"/>
          </w:tcPr>
          <w:p>
            <w:pPr>
              <w:spacing w:before="0" w:after="60"/>
            </w:pPr>
            <w:r>
              <w:t xml:space="preserve">Feb 1, 2027 – Oct 31, 2027</w:t>
            </w:r>
          </w:p>
        </w:tc>
        <w:tc>
          <w:tcPr>
            <w:tcW w:w="1800" w:type="dxa"/>
          </w:tcPr>
          <w:p>
            <w:pPr>
              <w:spacing w:before="0" w:after="60"/>
            </w:pPr>
            <w:r>
              <w:t xml:space="preserve">$11.25</w:t>
            </w:r>
          </w:p>
        </w:tc>
        <w:tc>
          <w:tcPr>
            <w:tcW w:w="2300" w:type="dxa"/>
          </w:tcPr>
          <w:p>
            <w:pPr>
              <w:spacing w:before="0" w:after="60"/>
            </w:pPr>
            <w:r>
              <w:t xml:space="preserve">$30,375.00</w:t>
            </w:r>
          </w:p>
        </w:tc>
        <w:tc>
          <w:tcPr>
            <w:tcW w:w="2400" w:type="dxa"/>
          </w:tcPr>
          <w:p>
            <w:pPr>
              <w:spacing w:before="0" w:after="60"/>
            </w:pPr>
            <w:r>
              <w:t xml:space="preserve">$364,500.00</w:t>
            </w:r>
          </w:p>
        </w:tc>
      </w:tr>
      <w:tr>
        <w:tc>
          <w:tcPr>
            <w:tcW w:w="3000" w:type="dxa"/>
          </w:tcPr>
          <w:p>
            <w:pPr>
              <w:spacing w:before="0" w:after="60"/>
            </w:pPr>
            <w:r>
              <w:t xml:space="preserve">Nov 1, 2027 – Oct 31, 2028</w:t>
            </w:r>
          </w:p>
        </w:tc>
        <w:tc>
          <w:tcPr>
            <w:tcW w:w="1800" w:type="dxa"/>
          </w:tcPr>
          <w:p>
            <w:pPr>
              <w:spacing w:before="0" w:after="60"/>
            </w:pPr>
            <w:r>
              <w:t xml:space="preserve">$11.56</w:t>
            </w:r>
          </w:p>
        </w:tc>
        <w:tc>
          <w:tcPr>
            <w:tcW w:w="2300" w:type="dxa"/>
          </w:tcPr>
          <w:p>
            <w:pPr>
              <w:spacing w:before="0" w:after="60"/>
            </w:pPr>
            <w:r>
              <w:t xml:space="preserve">$31,212.00</w:t>
            </w:r>
          </w:p>
        </w:tc>
        <w:tc>
          <w:tcPr>
            <w:tcW w:w="2400" w:type="dxa"/>
          </w:tcPr>
          <w:p>
            <w:pPr>
              <w:spacing w:before="0" w:after="60"/>
            </w:pPr>
            <w:r>
              <w:t xml:space="preserve">$374,544.00</w:t>
            </w:r>
          </w:p>
        </w:tc>
      </w:tr>
      <w:tr>
        <w:tc>
          <w:tcPr>
            <w:tcW w:w="3000" w:type="dxa"/>
          </w:tcPr>
          <w:p>
            <w:pPr>
              <w:spacing w:before="0" w:after="60"/>
            </w:pPr>
            <w:r>
              <w:t xml:space="preserve">Nov 1, 2028 – Oct 31, 2029</w:t>
            </w:r>
          </w:p>
        </w:tc>
        <w:tc>
          <w:tcPr>
            <w:tcW w:w="1800" w:type="dxa"/>
          </w:tcPr>
          <w:p>
            <w:pPr>
              <w:spacing w:before="0" w:after="60"/>
            </w:pPr>
            <w:r>
              <w:t xml:space="preserve">$11.88</w:t>
            </w:r>
          </w:p>
        </w:tc>
        <w:tc>
          <w:tcPr>
            <w:tcW w:w="2300" w:type="dxa"/>
          </w:tcPr>
          <w:p>
            <w:pPr>
              <w:spacing w:before="0" w:after="60"/>
            </w:pPr>
            <w:r>
              <w:t xml:space="preserve">$32,076.00</w:t>
            </w:r>
          </w:p>
        </w:tc>
        <w:tc>
          <w:tcPr>
            <w:tcW w:w="2400" w:type="dxa"/>
          </w:tcPr>
          <w:p>
            <w:pPr>
              <w:spacing w:before="0" w:after="60"/>
            </w:pPr>
            <w:r>
              <w:t xml:space="preserve">$384,912.00</w:t>
            </w:r>
          </w:p>
        </w:tc>
      </w:tr>
      <w:tr>
        <w:tc>
          <w:tcPr>
            <w:tcW w:w="3000" w:type="dxa"/>
          </w:tcPr>
          <w:p>
            <w:pPr>
              <w:spacing w:before="0" w:after="60"/>
            </w:pPr>
            <w:r>
              <w:t xml:space="preserve">Nov 1, 2029 – Oct 31, 2030</w:t>
            </w:r>
          </w:p>
        </w:tc>
        <w:tc>
          <w:tcPr>
            <w:tcW w:w="1800" w:type="dxa"/>
          </w:tcPr>
          <w:p>
            <w:pPr>
              <w:spacing w:before="0" w:after="60"/>
            </w:pPr>
            <w:r>
              <w:t xml:space="preserve">$12.21</w:t>
            </w:r>
          </w:p>
        </w:tc>
        <w:tc>
          <w:tcPr>
            <w:tcW w:w="2300" w:type="dxa"/>
          </w:tcPr>
          <w:p>
            <w:pPr>
              <w:spacing w:before="0" w:after="60"/>
            </w:pPr>
            <w:r>
              <w:t xml:space="preserve">$32,967.00</w:t>
            </w:r>
          </w:p>
        </w:tc>
        <w:tc>
          <w:tcPr>
            <w:tcW w:w="2400" w:type="dxa"/>
          </w:tcPr>
          <w:p>
            <w:pPr>
              <w:spacing w:before="0" w:after="60"/>
            </w:pPr>
            <w:r>
              <w:t xml:space="preserve">$395,604.00</w:t>
            </w:r>
          </w:p>
        </w:tc>
      </w:tr>
      <w:tr>
        <w:tc>
          <w:tcPr>
            <w:tcW w:w="3000" w:type="dxa"/>
          </w:tcPr>
          <w:p>
            <w:pPr>
              <w:spacing w:before="0" w:after="60"/>
            </w:pPr>
            <w:r>
              <w:t xml:space="preserve">Nov 1, 2030 – Oct 31, 2031</w:t>
            </w:r>
          </w:p>
        </w:tc>
        <w:tc>
          <w:tcPr>
            <w:tcW w:w="1800" w:type="dxa"/>
          </w:tcPr>
          <w:p>
            <w:pPr>
              <w:spacing w:before="0" w:after="60"/>
            </w:pPr>
            <w:r>
              <w:t xml:space="preserve">$12.55</w:t>
            </w:r>
          </w:p>
        </w:tc>
        <w:tc>
          <w:tcPr>
            <w:tcW w:w="2300" w:type="dxa"/>
          </w:tcPr>
          <w:p>
            <w:pPr>
              <w:spacing w:before="0" w:after="60"/>
            </w:pPr>
            <w:r>
              <w:t xml:space="preserve">$33,885.00</w:t>
            </w:r>
          </w:p>
        </w:tc>
        <w:tc>
          <w:tcPr>
            <w:tcW w:w="2400" w:type="dxa"/>
          </w:tcPr>
          <w:p>
            <w:pPr>
              <w:spacing w:before="0" w:after="60"/>
            </w:pPr>
            <w:r>
              <w:t xml:space="preserve">$406,620.00</w:t>
            </w:r>
          </w:p>
        </w:tc>
      </w:tr>
      <w:tr>
        <w:tc>
          <w:tcPr>
            <w:tcW w:w="3000" w:type="dxa"/>
          </w:tcPr>
          <w:p>
            <w:pPr>
              <w:spacing w:before="0" w:after="60"/>
            </w:pPr>
            <w:r>
              <w:t xml:space="preserve">Nov 1, 2031 – Oct 31, 2032</w:t>
            </w:r>
          </w:p>
        </w:tc>
        <w:tc>
          <w:tcPr>
            <w:tcW w:w="1800" w:type="dxa"/>
          </w:tcPr>
          <w:p>
            <w:pPr>
              <w:spacing w:before="0" w:after="60"/>
            </w:pPr>
            <w:r>
              <w:t xml:space="preserve">$12.90</w:t>
            </w:r>
          </w:p>
        </w:tc>
        <w:tc>
          <w:tcPr>
            <w:tcW w:w="2300" w:type="dxa"/>
          </w:tcPr>
          <w:p>
            <w:pPr>
              <w:spacing w:before="0" w:after="60"/>
            </w:pPr>
            <w:r>
              <w:t xml:space="preserve">$34,830.00</w:t>
            </w:r>
          </w:p>
        </w:tc>
        <w:tc>
          <w:tcPr>
            <w:tcW w:w="2400" w:type="dxa"/>
          </w:tcPr>
          <w:p>
            <w:pPr>
              <w:spacing w:before="0" w:after="60"/>
            </w:pPr>
            <w:r>
              <w:t xml:space="preserve">$417,960.00</w:t>
            </w:r>
          </w:p>
        </w:tc>
      </w:tr>
      <w:tr>
        <w:tc>
          <w:tcPr>
            <w:tcW w:w="3000" w:type="dxa"/>
          </w:tcPr>
          <w:p>
            <w:pPr>
              <w:spacing w:before="0" w:after="60"/>
            </w:pPr>
            <w:r>
              <w:t xml:space="preserve">Nov 1, 2032 – Oct 31, 2033</w:t>
            </w:r>
          </w:p>
        </w:tc>
        <w:tc>
          <w:tcPr>
            <w:tcW w:w="1800" w:type="dxa"/>
          </w:tcPr>
          <w:p>
            <w:pPr>
              <w:spacing w:before="0" w:after="60"/>
            </w:pPr>
            <w:r>
              <w:t xml:space="preserve">$13.25</w:t>
            </w:r>
          </w:p>
        </w:tc>
        <w:tc>
          <w:tcPr>
            <w:tcW w:w="2300" w:type="dxa"/>
          </w:tcPr>
          <w:p>
            <w:pPr>
              <w:spacing w:before="0" w:after="60"/>
            </w:pPr>
            <w:r>
              <w:t xml:space="preserve">$35,775.00</w:t>
            </w:r>
          </w:p>
        </w:tc>
        <w:tc>
          <w:tcPr>
            <w:tcW w:w="2400" w:type="dxa"/>
          </w:tcPr>
          <w:p>
            <w:pPr>
              <w:spacing w:before="0" w:after="60"/>
            </w:pPr>
            <w:r>
              <w:t xml:space="preserve">$429,300.00</w:t>
            </w:r>
          </w:p>
        </w:tc>
      </w:tr>
    </w:tbl>
    <w:p>
      <w:pPr>
        <w:spacing w:before="0" w:after="80"/>
      </w:pPr>
    </w:p>
    <w:p>
      <w:pPr>
        <w:spacing w:before="0" w:after="120"/>
      </w:pPr>
      <w:r>
        <w:rPr>
          <w:b/>
          <w:bCs/>
        </w:rPr>
        <w:t xml:space="preserve">2.3   NNN Charges. </w:t>
      </w:r>
      <w:r>
        <w:t xml:space="preserve">Tenant shall pay monthly Estimated NNN Charges concurrently with Base Rent, as detailed in Article 3. NNN Charges are subject to annual reconciliation. Where Landlord pays a third-party invoice on Tenant's behalf (for example, the master property insurance policy or real property taxes), Tenant shall reimburse Landlord within thirty (30) days of invoice.</w:t>
      </w:r>
    </w:p>
    <w:p>
      <w:pPr>
        <w:spacing w:before="0" w:after="120"/>
      </w:pPr>
      <w:r>
        <w:rPr>
          <w:b/>
          <w:bCs/>
        </w:rPr>
        <w:t xml:space="preserve">2.4   Abatement. </w:t>
      </w:r>
      <w:r>
        <w:t xml:space="preserve">During the Abatement Period, Base Rent (only) shall be abated. All Additional Rent, NNN Charges, taxes, insurance, and utilities shall remain payable. If a monetary Default results in termination of this Lease or Tenant's right of possession, the unamortized portion of the abated Base Rent shall, to the extent permitted by law, become immediately due as additional damages.</w:t>
      </w:r>
    </w:p>
    <w:p>
      <w:pPr>
        <w:spacing w:before="0" w:after="120"/>
      </w:pPr>
      <w:r>
        <w:rPr>
          <w:b/>
          <w:bCs/>
        </w:rPr>
        <w:t xml:space="preserve">2.5   Required Payments at Execution. </w:t>
      </w:r>
      <w:r>
        <w:t xml:space="preserve">Within five (5) business days after the Effective Date, Tenant shall deliver to Landlord (a) the first monthly installment of Base Rent due after the Abatement Period ($30,375.00); (b) the first monthly installment of Estimated NNN Charges ($10,395.00); (c) the Letter of Credit ($91,125.00) in the form of Exhibit H; and (d) certificates of insurance compliant with Article 11.</w:t>
      </w:r>
    </w:p>
    <w:p>
      <w:pPr>
        <w:spacing w:before="0" w:after="120"/>
      </w:pPr>
      <w:r>
        <w:rPr>
          <w:b/>
          <w:bCs/>
        </w:rPr>
        <w:t xml:space="preserve">2.6   Payment Method; Late Charge; Interest. </w:t>
      </w:r>
      <w:r>
        <w:t xml:space="preserve">All Rent shall be paid by ACH to the account designated by Landlord. Any Rent not paid within five (5) days after due shall bear a late charge of five percent (5%) of the delinquent amount, and any Rent not paid within thirty (30) days after due shall bear interest at the lesser of ten percent (10%) per annum or the maximum rate permitted by law, in each case from the due date until paid.</w:t>
      </w:r>
    </w:p>
    <w:p>
      <w:pPr>
        <w:spacing w:before="0" w:after="120"/>
      </w:pPr>
      <w:r>
        <w:rPr>
          <w:b/>
          <w:bCs/>
        </w:rPr>
        <w:t xml:space="preserve">2.7   Letter of Credit; Burn-Down. </w:t>
      </w:r>
      <w:r>
        <w:t xml:space="preserve">Tenant shall deliver and maintain the Letter of Credit throughout the Term in accordance with Exhibit H. Provided no Default has occurred during the prior twelve (12) months and Tenant's tangible net worth (per audited financials) is not less than $5,000,000, the face amount of the Letter of Credit shall reduce as follows: (i) to $60,750.00 effective on the first anniversary of the Rent Commencement Date; and (ii) to $30,375.00 effective on the third anniversary of the Rent Commencement Date. The Letter of Credit shall not reduce further. Upon Lease expiration and full performance, Landlord shall return the Letter of Credit (or the unapplied balance, if drawn) within thirty (30) days.</w:t>
      </w:r>
    </w:p>
    <w:p>
      <w:pPr>
        <w:spacing w:before="280" w:after="140"/>
        <w:keepNext/>
      </w:pPr>
      <w:r>
        <w:rPr>
          <w:b/>
          <w:bCs/>
          <w:sz w:val="28"/>
          <w:szCs w:val="28"/>
        </w:rPr>
        <w:t xml:space="preserve">ARTICLE 3.   NNN CHARGES AND OPERATING EXPENSES</w:t>
      </w:r>
    </w:p>
    <w:p>
      <w:pPr>
        <w:spacing w:before="0" w:after="120"/>
      </w:pPr>
      <w:r>
        <w:rPr>
          <w:b/>
          <w:bCs/>
        </w:rPr>
        <w:t xml:space="preserve">3.1   Taxes. </w:t>
      </w:r>
      <w:r>
        <w:t xml:space="preserve">Tenant shall pay all real property taxes and assessments levied against the Property during the Term, prorated for any partial year. Landlord shall direct the taxing authority to send tax bills to Tenant; if Landlord receives them, Landlord shall forward them within ten (10) business days and Tenant shall pay the taxing authority directly before the delinquency date and provide Landlord with paid receipts within thirty (30) days. Tenant may, at its own expense and with Landlord's reasonable cooperation, contest taxes in good faith.</w:t>
      </w:r>
    </w:p>
    <w:p>
      <w:pPr>
        <w:spacing w:before="0" w:after="120"/>
      </w:pPr>
      <w:r>
        <w:rPr>
          <w:b/>
          <w:bCs/>
        </w:rPr>
        <w:t xml:space="preserve">3.2   Insurance. </w:t>
      </w:r>
      <w:r>
        <w:t xml:space="preserve">Landlord maintains the property and rental-value insurance policies described in Article 10. Tenant shall reimburse Landlord, as Additional Rent, for the actual premium and commercially reasonable deductibles, payable within thirty (30) days after invoice.</w:t>
      </w:r>
    </w:p>
    <w:p>
      <w:pPr>
        <w:spacing w:before="0" w:after="120"/>
      </w:pPr>
      <w:r>
        <w:rPr>
          <w:b/>
          <w:bCs/>
        </w:rPr>
        <w:t xml:space="preserve">3.3   Utilities. </w:t>
      </w:r>
      <w:r>
        <w:t xml:space="preserve">All utilities serving the Property — including electricity, natural gas, water, sewer, stormwater, trash, and telecommunications — are separately metered or directly billable to Tenant. Tenant shall open and maintain accounts with the applicable provider and pay all charges directly. Hookup, impact, and meter-set fees are Tenant's responsibility.</w:t>
      </w:r>
    </w:p>
    <w:p>
      <w:pPr>
        <w:spacing w:before="0" w:after="120"/>
      </w:pPr>
      <w:r>
        <w:rPr>
          <w:b/>
          <w:bCs/>
        </w:rPr>
        <w:t xml:space="preserve">3.4   Maintenance Pass-Through. </w:t>
      </w:r>
      <w:r>
        <w:t xml:space="preserve">Landlord shall maintain the items described in Section 15.2 (roof structure and membrane, foundation, exterior load-bearing walls, and structural elements). Tenant shall reimburse Landlord, as Additional Rent, for the cost of such maintenance to the extent attributable to ordinary upkeep and not to repair items that are properly classified as capital under GAAP, subject to Section 3.5.</w:t>
      </w:r>
    </w:p>
    <w:p>
      <w:pPr>
        <w:spacing w:before="0" w:after="120"/>
      </w:pPr>
      <w:r>
        <w:rPr>
          <w:b/>
          <w:bCs/>
        </w:rPr>
        <w:t xml:space="preserve">3.5   Capital Items. </w:t>
      </w:r>
      <w:r>
        <w:t xml:space="preserve">Capital improvements pass through to Tenant only if (a) intended to reduce NNN Charges, (b) required to comply with Laws first enacted or applicable to the Property after the Effective Date, or (c) for energy efficiency, in each case amortized over the useful life of the improvement at a commercially reasonable interest rate. Roof membrane replacement, parking-lot resurfacing, and HVAC unit replacements that occur during the Term shall be amortized over their useful lives.</w:t>
      </w:r>
    </w:p>
    <w:p>
      <w:pPr>
        <w:spacing w:before="0" w:after="120"/>
      </w:pPr>
      <w:r>
        <w:rPr>
          <w:b/>
          <w:bCs/>
        </w:rPr>
        <w:t xml:space="preserve">3.6   Excluded Charges. </w:t>
      </w:r>
      <w:r>
        <w:t xml:space="preserve">NNN Charges and Additional Rent exclude leasing commissions; marketing costs; principal and interest on Landlord's debt; depreciation; costs reimbursed by insurance proceeds; costs caused by Landlord's gross negligence or willful misconduct; costs to remediate hazardous materials present before the Effective Date and not caused or exacerbated by Tenant; and Landlord's general corporate overhead.</w:t>
      </w:r>
    </w:p>
    <w:p>
      <w:pPr>
        <w:spacing w:before="0" w:after="120"/>
      </w:pPr>
      <w:r>
        <w:rPr>
          <w:b/>
          <w:bCs/>
        </w:rPr>
        <w:t xml:space="preserve">3.7   Reconciliation; Audit. </w:t>
      </w:r>
      <w:r>
        <w:t xml:space="preserve">Within one hundred fifty (150) days after the end of each calendar year, Landlord shall deliver a reconciliation of NNN Charges. Underpayments are due within thirty (30) days; overpayments shall be credited or refunded. Tenant may audit Landlord's records by written notice within ninety (90) days after the reconciliation, by a CPA on a non-contingency basis, completed within sixty (60) days. If the audit shows an overcharge greater than five percent (5%), Landlord shall reimburse reasonable audit costs up to $5,000.</w:t>
      </w:r>
    </w:p>
    <w:p>
      <w:pPr>
        <w:spacing w:before="0" w:after="120"/>
      </w:pPr>
      <w:r>
        <w:rPr>
          <w:b/>
          <w:bCs/>
        </w:rPr>
        <w:t xml:space="preserve">3.8   Management Fee. </w:t>
      </w:r>
      <w:r>
        <w:t xml:space="preserve">NNN Charges include a Landlord management fee equal to three percent (3%) of Base Rent.</w:t>
      </w:r>
    </w:p>
    <w:p>
      <w:pPr>
        <w:spacing w:before="280" w:after="140"/>
        <w:keepNext/>
      </w:pPr>
      <w:r>
        <w:rPr>
          <w:b/>
          <w:bCs/>
          <w:sz w:val="28"/>
          <w:szCs w:val="28"/>
        </w:rPr>
        <w:t xml:space="preserve">ARTICLE 4.   UTILITIES AND SUSTAINABILITY</w:t>
      </w:r>
    </w:p>
    <w:p>
      <w:pPr>
        <w:spacing w:before="0" w:after="120"/>
      </w:pPr>
      <w:r>
        <w:rPr>
          <w:b/>
          <w:bCs/>
        </w:rPr>
        <w:t xml:space="preserve">4.1   Direct Service. </w:t>
      </w:r>
      <w:r>
        <w:t xml:space="preserve">All utilities are direct-billed to Tenant under Section 3.3. Tenant is solely responsible for capacity, upgrades, and any impact or hookup fees required for its operations.</w:t>
      </w:r>
    </w:p>
    <w:p>
      <w:pPr>
        <w:spacing w:before="0" w:after="120"/>
      </w:pPr>
      <w:r>
        <w:rPr>
          <w:b/>
          <w:bCs/>
        </w:rPr>
        <w:t xml:space="preserve">4.2   Benchmarking. </w:t>
      </w:r>
      <w:r>
        <w:t xml:space="preserve">Tenant shall, within fifteen (15) days after request, provide Landlord with energy, water, waste, and space-use data reasonably required for ENERGY STAR, legal compliance, sustainability reporting, or lender reporting. Tenant authorizes Landlord to obtain such information directly from utility providers.</w:t>
      </w:r>
    </w:p>
    <w:p>
      <w:pPr>
        <w:spacing w:before="0" w:after="120"/>
      </w:pPr>
      <w:r>
        <w:rPr>
          <w:b/>
          <w:bCs/>
        </w:rPr>
        <w:t xml:space="preserve">4.3   Interruption. </w:t>
      </w:r>
      <w:r>
        <w:t xml:space="preserve">No interruption of utility service caused by a utility provider, governmental action, or any other cause not within Landlord's reasonable control shall constitute eviction, constructive eviction, or relieve Tenant of payment. If an interruption caused by Landlord's negligence continues for more than five (5) consecutive business days and materially prevents Tenant from operating in the affected portion of the Premises, Tenant shall be entitled to a proportionate Base Rent abatement for actual loss of use as Tenant's sole remedy.</w:t>
      </w:r>
    </w:p>
    <w:p>
      <w:pPr>
        <w:spacing w:before="280" w:after="140"/>
        <w:keepNext/>
      </w:pPr>
      <w:r>
        <w:rPr>
          <w:b/>
          <w:bCs/>
          <w:sz w:val="28"/>
          <w:szCs w:val="28"/>
        </w:rPr>
        <w:t xml:space="preserve">ARTICLE 5.   USE; YARD; SIGNAGE</w:t>
      </w:r>
    </w:p>
    <w:p>
      <w:pPr>
        <w:spacing w:before="0" w:after="120"/>
      </w:pPr>
      <w:r>
        <w:rPr>
          <w:b/>
          <w:bCs/>
        </w:rPr>
        <w:t xml:space="preserve">5.1   Permitted Use. </w:t>
      </w:r>
      <w:r>
        <w:t xml:space="preserve">Tenant shall use the Premises only for the Permitted Use. Tenant shall comply with all Laws, zoning, certificates of occupancy, licenses, permits, insurance requirements, and recorded restrictions, and with the Clearfield City truck-route ordinance referenced in Exhibit A-1.</w:t>
      </w:r>
    </w:p>
    <w:p>
      <w:pPr>
        <w:spacing w:before="0" w:after="120"/>
      </w:pPr>
      <w:r>
        <w:rPr>
          <w:b/>
          <w:bCs/>
        </w:rPr>
        <w:t xml:space="preserve">5.2   Operational Restrictions. </w:t>
      </w:r>
      <w:r>
        <w:t xml:space="preserve">Tenant shall not (a) violate Laws or the Building's certificate of occupancy; (b) overload floors (live load capacity is 250 pounds per square foot for the manufacturing/warehouse floor and 75 pounds per square foot for the office mezzanine), the electrical system, or the truck court; (c) create noxious odors, vibration, or noise audible at the property line; (d) invalidate the Building's insurance; (e) conduct industrial activities outside of the Building except as expressly permitted in Exhibit J; or (f) operate after 10:00 p.m. on Sundays without Landlord's consent.</w:t>
      </w:r>
    </w:p>
    <w:p>
      <w:pPr>
        <w:spacing w:before="0" w:after="120"/>
      </w:pPr>
      <w:r>
        <w:rPr>
          <w:b/>
          <w:bCs/>
        </w:rPr>
        <w:t xml:space="preserve">5.3   Yard / Outside Storage. </w:t>
      </w:r>
      <w:r>
        <w:t xml:space="preserve">Tenant's use of the fenced yard for outside storage and trailer parking is permitted only as described in, and subject to, Exhibit J. Tenant shall not store materials, pallets, equipment, vehicles, or containers outside the fenced yard.</w:t>
      </w:r>
    </w:p>
    <w:p>
      <w:pPr>
        <w:spacing w:before="0" w:after="120"/>
      </w:pPr>
      <w:r>
        <w:rPr>
          <w:b/>
          <w:bCs/>
        </w:rPr>
        <w:t xml:space="preserve">5.4   Truck Access. </w:t>
      </w:r>
      <w:r>
        <w:t xml:space="preserve">All truck traffic to and from the Premises shall use the access route depicted on Exhibit A-1 (I-15 → Antelope Drive (Exit 332) → South Depot Crossing). Use of 1000 West and residential streets is prohibited. Truck entry to the Premises is the north driveway only; auto entry is the south driveway only. Idling longer than five (5) minutes is prohibited in accordance with Utah air-quality regulations.</w:t>
      </w:r>
    </w:p>
    <w:p>
      <w:pPr>
        <w:spacing w:before="0" w:after="120"/>
      </w:pPr>
      <w:r>
        <w:rPr>
          <w:b/>
          <w:bCs/>
        </w:rPr>
        <w:t xml:space="preserve">5.5   Signage. </w:t>
      </w:r>
      <w:r>
        <w:t xml:space="preserve">Tenant may install one (1) Building-mounted sign and one (1) monument sign at locations and in dimensions reasonably approved by Landlord and permitted by Clearfield City. Tenant shall obtain all permits at its expense. Tenant shall remove all signage on or before the Expiration Date and repair any related damage.</w:t>
      </w:r>
    </w:p>
    <w:p>
      <w:pPr>
        <w:spacing w:before="0" w:after="120"/>
      </w:pPr>
      <w:r>
        <w:rPr>
          <w:b/>
          <w:bCs/>
        </w:rPr>
        <w:t xml:space="preserve">5.6   Security. </w:t>
      </w:r>
      <w:r>
        <w:t xml:space="preserve">Landlord is not obligated to provide security services. Tenant is responsible for cameras, access-control, alarm monitoring, and any guard services for the Premises. Any modifications to the fence, gate, or guard shack require Landlord's prior written consent, not to be unreasonably withheld.</w:t>
      </w:r>
    </w:p>
    <w:p>
      <w:pPr>
        <w:spacing w:before="280" w:after="140"/>
        <w:keepNext/>
      </w:pPr>
      <w:r>
        <w:rPr>
          <w:b/>
          <w:bCs/>
          <w:sz w:val="28"/>
          <w:szCs w:val="28"/>
        </w:rPr>
        <w:t xml:space="preserve">ARTICLE 6.   CONDITION AND DELIVERY</w:t>
      </w:r>
    </w:p>
    <w:p>
      <w:pPr>
        <w:spacing w:before="0" w:after="120"/>
      </w:pPr>
      <w:r>
        <w:rPr>
          <w:b/>
          <w:bCs/>
        </w:rPr>
        <w:t xml:space="preserve">6.1   Delivery. </w:t>
      </w:r>
      <w:r>
        <w:t xml:space="preserve">Landlord shall deliver the Premises with the Landlord Work described in Exhibit G (Landlord Work Letter) substantially complete on or before the Commencement Date. Except for the Landlord Work, Tenant accepts the Premises in their "AS IS, WHERE IS" condition.</w:t>
      </w:r>
    </w:p>
    <w:p>
      <w:pPr>
        <w:spacing w:before="0" w:after="120"/>
      </w:pPr>
      <w:r>
        <w:rPr>
          <w:b/>
          <w:bCs/>
        </w:rPr>
        <w:t xml:space="preserve">6.2   Tenant Improvements. </w:t>
      </w:r>
      <w:r>
        <w:t xml:space="preserve">Tenant shall be responsible for any additional improvements or installations required for its operations (including racking, additional power runs, compressed air, dust collection, dyeing/coating booths, fire-suppression upgrades, and battery-testing areas), all of which are subject to Article 13.</w:t>
      </w:r>
    </w:p>
    <w:p>
      <w:pPr>
        <w:spacing w:before="0" w:after="120"/>
      </w:pPr>
      <w:r>
        <w:rPr>
          <w:b/>
          <w:bCs/>
        </w:rPr>
        <w:t xml:space="preserve">6.3   Early Access. </w:t>
      </w:r>
      <w:r>
        <w:t xml:space="preserve">Beginning October 12, 2026, Tenant may enter the Premises solely to perform Tenant's installation work, provided Tenant (a) delivers the certificates of insurance required by Article 11; (b) coordinates with Landlord and its contractor; (c) does not commence business operations; and (d) does not interfere with the Landlord Work. Early access shall not advance the Commencement Date.</w:t>
      </w:r>
    </w:p>
    <w:p>
      <w:pPr>
        <w:spacing w:before="0" w:after="120"/>
      </w:pPr>
      <w:r>
        <w:rPr>
          <w:b/>
          <w:bCs/>
        </w:rPr>
        <w:t xml:space="preserve">6.4   Confirmation of Commencement Date. </w:t>
      </w:r>
      <w:r>
        <w:t xml:space="preserve">Within ten (10) days after Landlord's delivery, the parties shall execute a confirmation of Commencement Date in a form substantially similar to Section 6 of Exhibit G.</w:t>
      </w:r>
    </w:p>
    <w:p>
      <w:pPr>
        <w:spacing w:before="280" w:after="140"/>
        <w:keepNext/>
      </w:pPr>
      <w:r>
        <w:rPr>
          <w:b/>
          <w:bCs/>
          <w:sz w:val="28"/>
          <w:szCs w:val="28"/>
        </w:rPr>
        <w:t xml:space="preserve">ARTICLE 7.   SUBORDINATION; SNDA; ESTOPPEL</w:t>
      </w:r>
    </w:p>
    <w:p>
      <w:pPr>
        <w:spacing w:before="0" w:after="120"/>
      </w:pPr>
      <w:r>
        <w:rPr>
          <w:b/>
          <w:bCs/>
        </w:rPr>
        <w:t xml:space="preserve">7.1   Subordination. </w:t>
      </w:r>
      <w:r>
        <w:t xml:space="preserve">This Lease is subject and subordinate to all mortgages, deeds of trust, and ground leases now or hereafter affecting the Property, provided that Tenant's subordination to any future superior interest is conditioned on Tenant receiving a commercially reasonable subordination, non-disturbance, and attornment agreement from the holder.</w:t>
      </w:r>
    </w:p>
    <w:p>
      <w:pPr>
        <w:spacing w:before="0" w:after="120"/>
      </w:pPr>
      <w:r>
        <w:rPr>
          <w:b/>
          <w:bCs/>
        </w:rPr>
        <w:t xml:space="preserve">7.2   Estoppel. </w:t>
      </w:r>
      <w:r>
        <w:t xml:space="preserve">Tenant shall, within ten (10) business days after request, deliver an estoppel certificate stating matters reasonably requested by Landlord, including lease status, Term, Rent, defaults, deposits, and amendments.</w:t>
      </w:r>
    </w:p>
    <w:p>
      <w:pPr>
        <w:spacing w:before="280" w:after="140"/>
        <w:keepNext/>
      </w:pPr>
      <w:r>
        <w:rPr>
          <w:b/>
          <w:bCs/>
          <w:sz w:val="28"/>
          <w:szCs w:val="28"/>
        </w:rPr>
        <w:t xml:space="preserve">ARTICLE 8.   ASSIGNMENT AND SUBLETTING</w:t>
      </w:r>
    </w:p>
    <w:p>
      <w:pPr>
        <w:spacing w:before="0" w:after="120"/>
      </w:pPr>
      <w:r>
        <w:rPr>
          <w:b/>
          <w:bCs/>
        </w:rPr>
        <w:t xml:space="preserve">8.1   Consent. </w:t>
      </w:r>
      <w:r>
        <w:t xml:space="preserve">Tenant shall not assign this Lease, sublet all or any part of the Premises, mortgage or pledge its leasehold interest, or permit any transfer by operation of law, merger, change of control, or sale of substantially all assets, without Landlord's prior written consent, not to be unreasonably withheld, except for Permitted Transfers under Section 8.4.</w:t>
      </w:r>
    </w:p>
    <w:p>
      <w:pPr>
        <w:spacing w:before="0" w:after="120"/>
      </w:pPr>
      <w:r>
        <w:rPr>
          <w:b/>
          <w:bCs/>
        </w:rPr>
        <w:t xml:space="preserve">8.2   Review Criteria; Recapture. </w:t>
      </w:r>
      <w:r>
        <w:t xml:space="preserve">In determining whether to consent, Landlord may consider the transferee's business reputation, operating experience, intended use (including environmental and truck-traffic impact), financial condition, and any lender requirements. If Tenant requests consent to assign this Lease or sublet more than fifty percent (50%) of the Premises, Landlord may instead elect to terminate this Lease as to the affected space on the proposed effective date; Tenant may rescind the request within ten (10) business days after Landlord's recapture notice.</w:t>
      </w:r>
    </w:p>
    <w:p>
      <w:pPr>
        <w:spacing w:before="0" w:after="120"/>
      </w:pPr>
      <w:r>
        <w:rPr>
          <w:b/>
          <w:bCs/>
        </w:rPr>
        <w:t xml:space="preserve">8.3   Excess Consideration. </w:t>
      </w:r>
      <w:r>
        <w:t xml:space="preserve">After deducting reasonable and customary transfer costs, fifty percent (50%) of any consideration received by Tenant from a transfer in excess of amounts payable by Tenant under this Lease shall be paid to Landlord.</w:t>
      </w:r>
    </w:p>
    <w:p>
      <w:pPr>
        <w:spacing w:before="0" w:after="120"/>
      </w:pPr>
      <w:r>
        <w:rPr>
          <w:b/>
          <w:bCs/>
        </w:rPr>
        <w:t xml:space="preserve">8.4   Permitted Transfers. </w:t>
      </w:r>
      <w:r>
        <w:t xml:space="preserve">Tenant may assign this Lease or sublet the Premises to an Affiliate, or to a surviving entity in a merger or sale of substantially all assets, without Landlord's consent, upon at least fifteen (15) days' prior written notice, provided (a) the transferee assumes all obligations in writing; (b) the use remains consistent with the Permitted Use; (c) the original Tenant remains fully liable; and (d) the transferee's tangible net worth is not less than the greater of (i) Tenant's tangible net worth as of the Effective Date or (ii) $5,000,000.</w:t>
      </w:r>
    </w:p>
    <w:p>
      <w:pPr>
        <w:spacing w:before="0" w:after="120"/>
      </w:pPr>
      <w:r>
        <w:rPr>
          <w:b/>
          <w:bCs/>
        </w:rPr>
        <w:t xml:space="preserve">8.5   No Release. </w:t>
      </w:r>
      <w:r>
        <w:t xml:space="preserve">No transfer shall release Tenant from liability unless Landlord expressly agrees in writing.</w:t>
      </w:r>
    </w:p>
    <w:p>
      <w:pPr>
        <w:spacing w:before="280" w:after="140"/>
        <w:keepNext/>
      </w:pPr>
      <w:r>
        <w:rPr>
          <w:b/>
          <w:bCs/>
          <w:sz w:val="28"/>
          <w:szCs w:val="28"/>
        </w:rPr>
        <w:t xml:space="preserve">ARTICLE 9.   ENVIRONMENTAL AND HAZARDOUS MATERIALS</w:t>
      </w:r>
    </w:p>
    <w:p>
      <w:pPr>
        <w:spacing w:before="0" w:after="120"/>
      </w:pPr>
      <w:r>
        <w:rPr>
          <w:b/>
          <w:bCs/>
        </w:rPr>
        <w:t xml:space="preserve">9.1   Restriction. </w:t>
      </w:r>
      <w:r>
        <w:t xml:space="preserve">Tenant shall not generate, store, use, treat, transport, release, or dispose of Hazardous Materials at the Property except for (a) de minimis office and cleaning supplies and (b) the materials and quantities specifically disclosed in Exhibit K (Environmental Disclosure Schedule), and only in compliance with Environmental Laws, fire code, the manufacturers' instructions, and Tenant's insurance program.</w:t>
      </w:r>
    </w:p>
    <w:p>
      <w:pPr>
        <w:spacing w:before="0" w:after="120"/>
      </w:pPr>
      <w:r>
        <w:rPr>
          <w:b/>
          <w:bCs/>
        </w:rPr>
        <w:t xml:space="preserve">9.2   Compliance; Permits; Reporting. </w:t>
      </w:r>
      <w:r>
        <w:t xml:space="preserve">Tenant shall obtain and maintain all permits required for its operations, including (as applicable) hazardous waste generator status, SARA Title III Tier II reports, UPDES industrial stormwater permits, and air-quality permits. Tenant shall deliver copies of permits, monitoring reports, regulatory correspondence, and any notice of violation to Landlord within ten (10) business days of receipt or filing.</w:t>
      </w:r>
    </w:p>
    <w:p>
      <w:pPr>
        <w:spacing w:before="0" w:after="120"/>
      </w:pPr>
      <w:r>
        <w:rPr>
          <w:b/>
          <w:bCs/>
        </w:rPr>
        <w:t xml:space="preserve">9.3   Notice; Releases. </w:t>
      </w:r>
      <w:r>
        <w:t xml:space="preserve">Tenant shall notify Landlord by telephone within four (4) hours, and in writing within two (2) business days, of any release, spill, regulatory inspection, citation, or notice of violation involving the Premises or Tenant's operations.</w:t>
      </w:r>
    </w:p>
    <w:p>
      <w:pPr>
        <w:spacing w:before="0" w:after="120"/>
      </w:pPr>
      <w:r>
        <w:rPr>
          <w:b/>
          <w:bCs/>
        </w:rPr>
        <w:t xml:space="preserve">9.4   Remediation. </w:t>
      </w:r>
      <w:r>
        <w:t xml:space="preserve">Tenant shall, at its sole cost, investigate, clean up, remediate, and restore any release of Hazardous Materials caused, contributed to, or exacerbated by Tenant or any Tenant party, subject to Landlord's reasonable approval of the remediation plan (except in emergencies). Tenant is not responsible for pre-existing contamination not exacerbated by Tenant; Landlord represents that, to its actual knowledge, there is no known pre-existing contamination as of the Effective Date.</w:t>
      </w:r>
    </w:p>
    <w:p>
      <w:pPr>
        <w:spacing w:before="0" w:after="120"/>
      </w:pPr>
      <w:r>
        <w:rPr>
          <w:b/>
          <w:bCs/>
        </w:rPr>
        <w:t xml:space="preserve">9.5   Surrender / Closure. </w:t>
      </w:r>
      <w:r>
        <w:t xml:space="preserve">At least one hundred eighty (180) days before the Expiration Date, Tenant shall deliver to Landlord an environmental closure plan describing the removal, decontamination, and reporting steps Tenant will complete before surrender. Tenant shall execute that plan at its cost and deliver closure documentation as a condition to surrender.</w:t>
      </w:r>
    </w:p>
    <w:p>
      <w:pPr>
        <w:spacing w:before="0" w:after="120"/>
      </w:pPr>
      <w:r>
        <w:rPr>
          <w:b/>
          <w:bCs/>
        </w:rPr>
        <w:t xml:space="preserve">9.6   Pollution Insurance. </w:t>
      </w:r>
      <w:r>
        <w:t xml:space="preserve">Tenant shall maintain Pollution Legal Liability insurance with limits of not less than $2,000,000 per occurrence and $4,000,000 aggregate, naming Landlord and its lender as additional insureds, for the duration of the Term and for three (3) years after surrender.</w:t>
      </w:r>
    </w:p>
    <w:p>
      <w:pPr>
        <w:spacing w:before="280" w:after="140"/>
        <w:keepNext/>
      </w:pPr>
      <w:r>
        <w:rPr>
          <w:b/>
          <w:bCs/>
          <w:sz w:val="28"/>
          <w:szCs w:val="28"/>
        </w:rPr>
        <w:t xml:space="preserve">ARTICLE 10.   LANDLORD INSURANCE</w:t>
      </w:r>
    </w:p>
    <w:p>
      <w:pPr>
        <w:spacing w:before="0" w:after="120"/>
      </w:pPr>
      <w:r>
        <w:t xml:space="preserve">Landlord shall maintain commercial property insurance for the Building (special form, replacement cost), commercial general liability insurance, rental value or business income insurance, and such other insurance as Landlord or its lender deems appropriate. The cost of Landlord Insurance, including premiums and commercially reasonable deductibles, is reimbursable by Tenant as Additional Rent under Article 3. Landlord's property insurance does not cover Tenant's personal property, inventory, finished goods, work-in-process, trade fixtures, or alterations.</w:t>
      </w:r>
    </w:p>
    <w:p>
      <w:pPr>
        <w:spacing w:before="280" w:after="140"/>
        <w:keepNext/>
      </w:pPr>
      <w:r>
        <w:rPr>
          <w:b/>
          <w:bCs/>
          <w:sz w:val="28"/>
          <w:szCs w:val="28"/>
        </w:rPr>
        <w:t xml:space="preserve">ARTICLE 11.   TENANT INSURANCE</w:t>
      </w:r>
    </w:p>
    <w:p>
      <w:pPr>
        <w:spacing w:before="0" w:after="120"/>
      </w:pPr>
      <w:r>
        <w:rPr>
          <w:b/>
          <w:bCs/>
        </w:rPr>
        <w:t xml:space="preserve">11.1   Required Policies. </w:t>
      </w:r>
      <w:r>
        <w:t xml:space="preserve">Tenant shall maintain the following insurance throughout the Term:</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3600"/>
        <w:gridCol w:w="5900"/>
      </w:tblGrid>
      <w:tr>
        <w:tc>
          <w:tcPr>
            <w:tcW w:w="3600" w:type="dxa"/>
            <w:shd w:val="clear" w:color="auto" w:fill="E5E7EB"/>
          </w:tcPr>
          <w:p>
            <w:pPr>
              <w:spacing w:before="0" w:after="60"/>
            </w:pPr>
            <w:r>
              <w:rPr>
                <w:b/>
                <w:bCs/>
              </w:rPr>
              <w:t xml:space="preserve">Policy</w:t>
            </w:r>
          </w:p>
        </w:tc>
        <w:tc>
          <w:tcPr>
            <w:tcW w:w="5900" w:type="dxa"/>
            <w:shd w:val="clear" w:color="auto" w:fill="E5E7EB"/>
          </w:tcPr>
          <w:p>
            <w:pPr>
              <w:spacing w:before="0" w:after="60"/>
            </w:pPr>
            <w:r>
              <w:rPr>
                <w:b/>
                <w:bCs/>
              </w:rPr>
              <w:t xml:space="preserve">Minimum Limit / Notes</w:t>
            </w:r>
          </w:p>
        </w:tc>
      </w:tr>
      <w:tr>
        <w:tc>
          <w:tcPr>
            <w:tcW w:w="3600" w:type="dxa"/>
          </w:tcPr>
          <w:p>
            <w:pPr>
              <w:spacing w:before="0" w:after="60"/>
            </w:pPr>
            <w:r>
              <w:t xml:space="preserve">Commercial General Liability</w:t>
            </w:r>
          </w:p>
        </w:tc>
        <w:tc>
          <w:tcPr>
            <w:tcW w:w="5900" w:type="dxa"/>
          </w:tcPr>
          <w:p>
            <w:pPr>
              <w:spacing w:before="0" w:after="60"/>
            </w:pPr>
            <w:r>
              <w:t xml:space="preserve">$2,000,000 per occurrence / $5,000,000 aggregate (umbrella/excess may be used to satisfy higher limits).</w:t>
            </w:r>
          </w:p>
        </w:tc>
      </w:tr>
      <w:tr>
        <w:tc>
          <w:tcPr>
            <w:tcW w:w="3600" w:type="dxa"/>
          </w:tcPr>
          <w:p>
            <w:pPr>
              <w:spacing w:before="0" w:after="60"/>
            </w:pPr>
            <w:r>
              <w:t xml:space="preserve">Products / Completed Operations</w:t>
            </w:r>
          </w:p>
        </w:tc>
        <w:tc>
          <w:tcPr>
            <w:tcW w:w="5900" w:type="dxa"/>
          </w:tcPr>
          <w:p>
            <w:pPr>
              <w:spacing w:before="0" w:after="60"/>
            </w:pPr>
            <w:r>
              <w:t xml:space="preserve">Included within the CGL limits above.</w:t>
            </w:r>
          </w:p>
        </w:tc>
      </w:tr>
      <w:tr>
        <w:tc>
          <w:tcPr>
            <w:tcW w:w="3600" w:type="dxa"/>
          </w:tcPr>
          <w:p>
            <w:pPr>
              <w:spacing w:before="0" w:after="60"/>
            </w:pPr>
            <w:r>
              <w:t xml:space="preserve">Commercial Property (Special Form, replacement cost)</w:t>
            </w:r>
          </w:p>
        </w:tc>
        <w:tc>
          <w:tcPr>
            <w:tcW w:w="5900" w:type="dxa"/>
          </w:tcPr>
          <w:p>
            <w:pPr>
              <w:spacing w:before="0" w:after="60"/>
            </w:pPr>
            <w:r>
              <w:t xml:space="preserve">Full replacement cost of Tenant's personal property, inventory, work-in-process, trade fixtures, and alterations.</w:t>
            </w:r>
          </w:p>
        </w:tc>
      </w:tr>
      <w:tr>
        <w:tc>
          <w:tcPr>
            <w:tcW w:w="3600" w:type="dxa"/>
          </w:tcPr>
          <w:p>
            <w:pPr>
              <w:spacing w:before="0" w:after="60"/>
            </w:pPr>
            <w:r>
              <w:t xml:space="preserve">Business Interruption / Extra Expense</w:t>
            </w:r>
          </w:p>
        </w:tc>
        <w:tc>
          <w:tcPr>
            <w:tcW w:w="5900" w:type="dxa"/>
          </w:tcPr>
          <w:p>
            <w:pPr>
              <w:spacing w:before="0" w:after="60"/>
            </w:pPr>
            <w:r>
              <w:t xml:space="preserve">Twelve (12) months of fixed and variable expenses, including Base Rent and Additional Rent.</w:t>
            </w:r>
          </w:p>
        </w:tc>
      </w:tr>
      <w:tr>
        <w:tc>
          <w:tcPr>
            <w:tcW w:w="3600" w:type="dxa"/>
          </w:tcPr>
          <w:p>
            <w:pPr>
              <w:spacing w:before="0" w:after="60"/>
            </w:pPr>
            <w:r>
              <w:t xml:space="preserve">Business Auto Liability</w:t>
            </w:r>
          </w:p>
        </w:tc>
        <w:tc>
          <w:tcPr>
            <w:tcW w:w="5900" w:type="dxa"/>
          </w:tcPr>
          <w:p>
            <w:pPr>
              <w:spacing w:before="0" w:after="60"/>
            </w:pPr>
            <w:r>
              <w:t xml:space="preserve">$1,000,000 combined single limit (any auto).</w:t>
            </w:r>
          </w:p>
        </w:tc>
      </w:tr>
      <w:tr>
        <w:tc>
          <w:tcPr>
            <w:tcW w:w="3600" w:type="dxa"/>
          </w:tcPr>
          <w:p>
            <w:pPr>
              <w:spacing w:before="0" w:after="60"/>
            </w:pPr>
            <w:r>
              <w:t xml:space="preserve">Workers' Compensation / Employer's Liability</w:t>
            </w:r>
          </w:p>
        </w:tc>
        <w:tc>
          <w:tcPr>
            <w:tcW w:w="5900" w:type="dxa"/>
          </w:tcPr>
          <w:p>
            <w:pPr>
              <w:spacing w:before="0" w:after="60"/>
            </w:pPr>
            <w:r>
              <w:t xml:space="preserve">Statutory workers' comp plus employer's liability of $1,000,000.</w:t>
            </w:r>
          </w:p>
        </w:tc>
      </w:tr>
      <w:tr>
        <w:tc>
          <w:tcPr>
            <w:tcW w:w="3600" w:type="dxa"/>
          </w:tcPr>
          <w:p>
            <w:pPr>
              <w:spacing w:before="0" w:after="60"/>
            </w:pPr>
            <w:r>
              <w:t xml:space="preserve">Pollution Legal Liability</w:t>
            </w:r>
          </w:p>
        </w:tc>
        <w:tc>
          <w:tcPr>
            <w:tcW w:w="5900" w:type="dxa"/>
          </w:tcPr>
          <w:p>
            <w:pPr>
              <w:spacing w:before="0" w:after="60"/>
            </w:pPr>
            <w:r>
              <w:t xml:space="preserve">As required by Section 9.6.</w:t>
            </w:r>
          </w:p>
        </w:tc>
      </w:tr>
      <w:tr>
        <w:tc>
          <w:tcPr>
            <w:tcW w:w="3600" w:type="dxa"/>
          </w:tcPr>
          <w:p>
            <w:pPr>
              <w:spacing w:before="0" w:after="60"/>
            </w:pPr>
            <w:r>
              <w:t xml:space="preserve">Umbrella / Excess Liability</w:t>
            </w:r>
          </w:p>
        </w:tc>
        <w:tc>
          <w:tcPr>
            <w:tcW w:w="5900" w:type="dxa"/>
          </w:tcPr>
          <w:p>
            <w:pPr>
              <w:spacing w:before="0" w:after="60"/>
            </w:pPr>
            <w:r>
              <w:t xml:space="preserve">$5,000,000 each occurrence and aggregate, following form over CGL, Auto, and Employer's Liability.</w:t>
            </w:r>
          </w:p>
        </w:tc>
      </w:tr>
    </w:tbl>
    <w:p>
      <w:pPr>
        <w:spacing w:before="0" w:after="80"/>
      </w:pPr>
    </w:p>
    <w:p>
      <w:pPr>
        <w:spacing w:before="0" w:after="120"/>
      </w:pPr>
      <w:r>
        <w:rPr>
          <w:b/>
          <w:bCs/>
        </w:rPr>
        <w:t xml:space="preserve">11.2   Additional Insureds. </w:t>
      </w:r>
      <w:r>
        <w:t xml:space="preserve">Landlord and its lender shall be named as additional insureds on the CGL, Auto, Pollution, and Umbrella policies on a primary and noncontributory basis. All policies shall be issued by insurers rated not less than A-/VIII by A.M. Best.</w:t>
      </w:r>
    </w:p>
    <w:p>
      <w:pPr>
        <w:spacing w:before="0" w:after="120"/>
      </w:pPr>
      <w:r>
        <w:rPr>
          <w:b/>
          <w:bCs/>
        </w:rPr>
        <w:t xml:space="preserve">11.3   Certificates; Failure to Insure. </w:t>
      </w:r>
      <w:r>
        <w:t xml:space="preserve">Tenant shall deliver certificates of insurance and required endorsements before the Commencement Date and at least thirty (30) days before each policy expiration. If Tenant fails to maintain required insurance, Landlord may procure such insurance and charge Tenant the cost plus a ten percent (10%) administrative fee.</w:t>
      </w:r>
    </w:p>
    <w:p>
      <w:pPr>
        <w:spacing w:before="280" w:after="140"/>
        <w:keepNext/>
      </w:pPr>
      <w:r>
        <w:rPr>
          <w:b/>
          <w:bCs/>
          <w:sz w:val="28"/>
          <w:szCs w:val="28"/>
        </w:rPr>
        <w:t xml:space="preserve">ARTICLE 12.   WAIVER OF SUBROGATION</w:t>
      </w:r>
    </w:p>
    <w:p>
      <w:pPr>
        <w:spacing w:before="0" w:after="120"/>
      </w:pPr>
      <w:r>
        <w:t xml:space="preserve">Landlord and Tenant waive claims against each other for losses to the extent covered, or required to be covered, by the property insurance policies maintained or required under this Lease. Each party shall cause its property insurers to endorse the applicable policies to provide a waiver of subrogation consistent with this Article 12.</w:t>
      </w:r>
    </w:p>
    <w:p>
      <w:pPr>
        <w:spacing w:before="280" w:after="140"/>
        <w:keepNext/>
      </w:pPr>
      <w:r>
        <w:rPr>
          <w:b/>
          <w:bCs/>
          <w:sz w:val="28"/>
          <w:szCs w:val="28"/>
        </w:rPr>
        <w:t xml:space="preserve">ARTICLE 13.   ALTERATIONS</w:t>
      </w:r>
    </w:p>
    <w:p>
      <w:pPr>
        <w:spacing w:before="0" w:after="120"/>
      </w:pPr>
      <w:r>
        <w:rPr>
          <w:b/>
          <w:bCs/>
        </w:rPr>
        <w:t xml:space="preserve">13.1   Consent. </w:t>
      </w:r>
      <w:r>
        <w:t xml:space="preserve">Tenant shall not make alterations, additions, or improvements to the Premises without Landlord's prior written consent, not to be unreasonably withheld for interior non-structural alterations that do not affect the roof, structure, slab, utility capacity, fire-suppression system, or environmental compliance. Tenant shall submit plans, permits, contractor insurance certificates, and lien waivers, and shall deliver as-built drawings within thirty (30) days after completion.</w:t>
      </w:r>
    </w:p>
    <w:p>
      <w:pPr>
        <w:spacing w:before="0" w:after="120"/>
      </w:pPr>
      <w:r>
        <w:rPr>
          <w:b/>
          <w:bCs/>
        </w:rPr>
        <w:t xml:space="preserve">13.2   Escalated Alterations. </w:t>
      </w:r>
      <w:r>
        <w:t xml:space="preserve">Roof penetrations, slab cuts or coring, sprinkler reconfiguration, hazardous-materials storage rooms, battery-test enclosures, dyeing/coating booths, and mezzanines require Landlord's heightened review and may be conditioned on bonding, additional insurance, and specific restoration obligations.</w:t>
      </w:r>
    </w:p>
    <w:p>
      <w:pPr>
        <w:spacing w:before="0" w:after="120"/>
      </w:pPr>
      <w:r>
        <w:rPr>
          <w:b/>
          <w:bCs/>
        </w:rPr>
        <w:t xml:space="preserve">13.3   Minor Alterations. </w:t>
      </w:r>
      <w:r>
        <w:t xml:space="preserve">Tenant may perform non-structural interior alterations costing less than $50,000 per project and $200,000 in the aggregate per Lease Year without Landlord's consent, but with at least ten (10) business days' prior written notice and otherwise subject to all alteration requirements.</w:t>
      </w:r>
    </w:p>
    <w:p>
      <w:pPr>
        <w:spacing w:before="0" w:after="120"/>
      </w:pPr>
      <w:r>
        <w:rPr>
          <w:b/>
          <w:bCs/>
        </w:rPr>
        <w:t xml:space="preserve">13.4   Removal at Surrender. </w:t>
      </w:r>
      <w:r>
        <w:t xml:space="preserve">At the time consent is granted, Landlord shall designate whether Tenant must remove the alteration on or before the Expiration Date. If Landlord does not so designate, the alteration shall become Landlord's property at surrender. Tenant's racking systems, machinery, trade fixtures, battery-test enclosures, dyeing/coating booths, dust-collection systems, compressed-air piping installed by Tenant, and low-voltage cabling are deemed Tenant property and shall be removed at surrender.</w:t>
      </w:r>
    </w:p>
    <w:p>
      <w:pPr>
        <w:spacing w:before="280" w:after="140"/>
        <w:keepNext/>
      </w:pPr>
      <w:r>
        <w:rPr>
          <w:b/>
          <w:bCs/>
          <w:sz w:val="28"/>
          <w:szCs w:val="28"/>
        </w:rPr>
        <w:t xml:space="preserve">ARTICLE 14.   PROPERTY; TRADE FIXTURES</w:t>
      </w:r>
    </w:p>
    <w:p>
      <w:pPr>
        <w:spacing w:before="0" w:after="120"/>
      </w:pPr>
      <w:r>
        <w:t xml:space="preserve">All fixtures, improvements, equipment, and appurtenances attached to or built into the Premises shall become Landlord's property at surrender, except Tenant's personal property, trade fixtures, and alterations Landlord requires Tenant to remove. Tenant shall remove Tenant's property on or before the Expiration Date and repair all damage caused by such installation or removal.</w:t>
      </w:r>
    </w:p>
    <w:p>
      <w:pPr>
        <w:spacing w:before="280" w:after="140"/>
        <w:keepNext/>
      </w:pPr>
      <w:r>
        <w:rPr>
          <w:b/>
          <w:bCs/>
          <w:sz w:val="28"/>
          <w:szCs w:val="28"/>
        </w:rPr>
        <w:t xml:space="preserve">ARTICLE 15.   REPAIRS AND MAINTENANCE</w:t>
      </w:r>
    </w:p>
    <w:p>
      <w:pPr>
        <w:spacing w:before="0" w:after="120"/>
      </w:pPr>
      <w:r>
        <w:rPr>
          <w:b/>
          <w:bCs/>
        </w:rPr>
        <w:t xml:space="preserve">15.1   Tenant Obligations. </w:t>
      </w:r>
      <w:r>
        <w:t xml:space="preserve">Tenant shall, at its sole cost, maintain in good condition and repair all systems and components of the Premises, including: (a) interior walls, doors, ceilings, lighting, glass, and finishes; (b) HVAC, plumbing, and electrical systems serving the Premises; (c) dock doors, drive-in door, dock levelers, bumpers, seals, and shelters; (d) the fire-suppression and life-safety systems within the Premises; (e) the slab and floor coatings; (f) interior signage; (g) the fenced yard, gates, fencing, and any guard shack; (h) parking lot and truck-court repairs, striping, and sweeping; (i) landscaping and irrigation; and (j) snow and ice removal.</w:t>
      </w:r>
    </w:p>
    <w:p>
      <w:pPr>
        <w:spacing w:before="0" w:after="120"/>
      </w:pPr>
      <w:r>
        <w:rPr>
          <w:b/>
          <w:bCs/>
        </w:rPr>
        <w:t xml:space="preserve">15.2   Landlord Obligations. </w:t>
      </w:r>
      <w:r>
        <w:t xml:space="preserve">Landlord shall maintain (a) the structural elements of the Building, including the foundation and load-bearing walls; (b) the roof structure and roof membrane; and (c) the exterior load-bearing walls. Costs of routine landlord maintenance pass through to Tenant under Article 3 to the extent properly classified as ordinary upkeep and not capital, except as expressly stated in Section 3.5.</w:t>
      </w:r>
    </w:p>
    <w:p>
      <w:pPr>
        <w:spacing w:before="0" w:after="120"/>
      </w:pPr>
      <w:r>
        <w:rPr>
          <w:b/>
          <w:bCs/>
        </w:rPr>
        <w:t xml:space="preserve">15.3   Service Contracts. </w:t>
      </w:r>
      <w:r>
        <w:t xml:space="preserve">Tenant shall maintain commercially reasonable preventative maintenance contracts with licensed and insured contractors for (a) HVAC (quarterly), (b) fire-suppression and fire-alarm systems (annual inspection and testing), and (c) dock equipment (annual). Tenant shall deliver copies of these contracts and service reports to Landlord within thirty (30) days of execution and renewal.</w:t>
      </w:r>
    </w:p>
    <w:p>
      <w:pPr>
        <w:spacing w:before="0" w:after="120"/>
      </w:pPr>
      <w:r>
        <w:rPr>
          <w:b/>
          <w:bCs/>
        </w:rPr>
        <w:t xml:space="preserve">15.4   Tenant-Caused Damage. </w:t>
      </w:r>
      <w:r>
        <w:t xml:space="preserve">Tenant shall be responsible for all maintenance, repair, and replacement arising from the negligence, misuse, omission, or willful misconduct of Tenant or any Tenant party, except to the extent barred by the waiver of subrogation in Article 12.</w:t>
      </w:r>
    </w:p>
    <w:p>
      <w:pPr>
        <w:spacing w:before="0" w:after="120"/>
      </w:pPr>
      <w:r>
        <w:rPr>
          <w:b/>
          <w:bCs/>
        </w:rPr>
        <w:t xml:space="preserve">15.5   Inspection; Deficiencies. </w:t>
      </w:r>
      <w:r>
        <w:t xml:space="preserve">Landlord may inspect the Premises on twenty-four (24) hours' notice to confirm compliance. If deficiencies are identified, Tenant shall cure them within thirty (30) days after notice, subject to extension if cure cannot reasonably be completed within that period and Tenant diligently pursues it.</w:t>
      </w:r>
    </w:p>
    <w:p>
      <w:pPr>
        <w:spacing w:before="280" w:after="140"/>
        <w:keepNext/>
      </w:pPr>
      <w:r>
        <w:rPr>
          <w:b/>
          <w:bCs/>
          <w:sz w:val="28"/>
          <w:szCs w:val="28"/>
        </w:rPr>
        <w:t xml:space="preserve">ARTICLE 16.   ACCESS</w:t>
      </w:r>
    </w:p>
    <w:p>
      <w:pPr>
        <w:spacing w:before="0" w:after="120"/>
      </w:pPr>
      <w:r>
        <w:t xml:space="preserve">Landlord and its representatives may access the Premises at reasonable times on at least twenty-four (24) hours' prior notice (except in emergencies, when no notice is required) to inspect, perform Landlord's repairs, show the Premises to lenders, purchasers, or (during the last twelve (12) months of the Term) prospective tenants, and exercise other rights under this Lease. Landlord shall use commercially reasonable efforts not to interfere with Tenant's operations and shall observe Tenant's reasonable safety and confidentiality requirements.</w:t>
      </w:r>
    </w:p>
    <w:p>
      <w:pPr>
        <w:spacing w:before="280" w:after="140"/>
        <w:keepNext/>
      </w:pPr>
      <w:r>
        <w:rPr>
          <w:b/>
          <w:bCs/>
          <w:sz w:val="28"/>
          <w:szCs w:val="28"/>
        </w:rPr>
        <w:t xml:space="preserve">ARTICLE 17.   INDEMNIFICATION; LIMITATION OF LIABILITY</w:t>
      </w:r>
    </w:p>
    <w:p>
      <w:pPr>
        <w:spacing w:before="0" w:after="120"/>
      </w:pPr>
      <w:r>
        <w:rPr>
          <w:b/>
          <w:bCs/>
        </w:rPr>
        <w:t xml:space="preserve">17.1   Tenant Indemnity. </w:t>
      </w:r>
      <w:r>
        <w:t xml:space="preserve">Tenant shall indemnify, defend, and hold harmless Landlord and its affiliates, members, managers, officers, employees, agents, and lenders from losses arising out of (a) Tenant's Default; (b) the negligence or willful misconduct of Tenant or any Tenant party; (c) Tenant's use, occupancy, or operations at the Premises (including truck traffic, yard operations, and battery testing); (d) any Hazardous Materials brought to the Property by Tenant; and (e) any violation of Laws by Tenant or any Tenant party.</w:t>
      </w:r>
    </w:p>
    <w:p>
      <w:pPr>
        <w:spacing w:before="0" w:after="120"/>
      </w:pPr>
      <w:r>
        <w:rPr>
          <w:b/>
          <w:bCs/>
        </w:rPr>
        <w:t xml:space="preserve">17.2   Landlord Indemnity. </w:t>
      </w:r>
      <w:r>
        <w:t xml:space="preserve">Landlord shall indemnify Tenant from losses directly caused by Landlord's gross negligence or willful misconduct, subject to the limitations in Section 17.3.</w:t>
      </w:r>
    </w:p>
    <w:p>
      <w:pPr>
        <w:spacing w:before="0" w:after="120"/>
      </w:pPr>
      <w:r>
        <w:rPr>
          <w:b/>
          <w:bCs/>
        </w:rPr>
        <w:t xml:space="preserve">17.3   Limitation of Landlord Liability. </w:t>
      </w:r>
      <w:r>
        <w:t xml:space="preserve">Tenant shall look solely to Landlord's interest in the Property for recovery of any judgment or award against Landlord. No member, manager, officer, employee, or agent of Landlord shall have personal liability under this Lease. Except for Tenant's holdover and environmental obligations, in no event shall either party be liable for consequential, punitive, or special damages.</w:t>
      </w:r>
    </w:p>
    <w:p>
      <w:pPr>
        <w:spacing w:before="280" w:after="140"/>
        <w:keepNext/>
      </w:pPr>
      <w:r>
        <w:rPr>
          <w:b/>
          <w:bCs/>
          <w:sz w:val="28"/>
          <w:szCs w:val="28"/>
        </w:rPr>
        <w:t xml:space="preserve">ARTICLE 18.   FORCE MAJEURE</w:t>
      </w:r>
    </w:p>
    <w:p>
      <w:pPr>
        <w:spacing w:before="0" w:after="120"/>
      </w:pPr>
      <w:r>
        <w:t xml:space="preserve">Except for the payment of Rent, maintenance of insurance, surrender obligations, environmental obligations, and the exercise of any option or notice deadlines, each party's performance is extended for delays caused by events beyond its reasonable control, including labor disputes, casualty, war, terrorism, governmental action, utility failures, shortages, public-health emergencies, and permit delays despite diligent pursuit.</w:t>
      </w:r>
    </w:p>
    <w:p>
      <w:pPr>
        <w:spacing w:before="280" w:after="140"/>
        <w:keepNext/>
      </w:pPr>
      <w:r>
        <w:rPr>
          <w:b/>
          <w:bCs/>
          <w:sz w:val="28"/>
          <w:szCs w:val="28"/>
        </w:rPr>
        <w:t xml:space="preserve">ARTICLE 19.   CASUALTY</w:t>
      </w:r>
    </w:p>
    <w:p>
      <w:pPr>
        <w:spacing w:before="0" w:after="120"/>
      </w:pPr>
      <w:r>
        <w:t xml:space="preserve">Tenant shall promptly notify Landlord of any casualty. If restoration cannot reasonably be completed within two hundred seventy (270) days, either party may terminate on thirty (30) days' notice. Otherwise, Landlord shall restore the Building shell (excluding Tenant's personal property, alterations, and trade fixtures), and Tenant shall restore the interior and Tenant property. Base Rent and Additional Rent shall abate proportionately to the extent the Premises are untenantable until substantial completion. If the casualty occurs during the last eighteen (18) months of the Term, either party may terminate.</w:t>
      </w:r>
    </w:p>
    <w:p>
      <w:pPr>
        <w:spacing w:before="280" w:after="140"/>
        <w:keepNext/>
      </w:pPr>
      <w:r>
        <w:rPr>
          <w:b/>
          <w:bCs/>
          <w:sz w:val="28"/>
          <w:szCs w:val="28"/>
        </w:rPr>
        <w:t xml:space="preserve">ARTICLE 20.   CONDEMNATION</w:t>
      </w:r>
    </w:p>
    <w:p>
      <w:pPr>
        <w:spacing w:before="0" w:after="120"/>
      </w:pPr>
      <w:r>
        <w:t xml:space="preserve">If all or a material portion of the Premises is taken by eminent domain or deed in lieu of condemnation, this Lease shall terminate as to the portion taken on the date title vests, with equitable rent adjustment. Landlord is entitled to the award for the real property, subject to Tenant's right to pursue a separate award for moving costs, trade fixtures, and business damages to the extent permitted by law and not reducing Landlord's award.</w:t>
      </w:r>
    </w:p>
    <w:p>
      <w:pPr>
        <w:spacing w:before="280" w:after="140"/>
        <w:keepNext/>
      </w:pPr>
      <w:r>
        <w:rPr>
          <w:b/>
          <w:bCs/>
          <w:sz w:val="28"/>
          <w:szCs w:val="28"/>
        </w:rPr>
        <w:t xml:space="preserve">ARTICLE 21.   SURRENDER AND HOLDOVER</w:t>
      </w:r>
    </w:p>
    <w:p>
      <w:pPr>
        <w:spacing w:before="0" w:after="120"/>
      </w:pPr>
      <w:r>
        <w:rPr>
          <w:b/>
          <w:bCs/>
        </w:rPr>
        <w:t xml:space="preserve">21.1   Surrender. </w:t>
      </w:r>
      <w:r>
        <w:t xml:space="preserve">On or before the Expiration Date, Tenant shall surrender the Premises in the condition required by Exhibit B (Surrender Requirements), having completed the environmental closure required by Section 9.5, removed Tenant property and required alterations, repaired damage, surrendered keys, fobs, gate codes, and alarm credentials, and terminated utility accounts as directed.</w:t>
      </w:r>
    </w:p>
    <w:p>
      <w:pPr>
        <w:spacing w:before="0" w:after="120"/>
      </w:pPr>
      <w:r>
        <w:rPr>
          <w:b/>
          <w:bCs/>
        </w:rPr>
        <w:t xml:space="preserve">21.2   Holdover. </w:t>
      </w:r>
      <w:r>
        <w:t xml:space="preserve">If Tenant remains in possession after the Expiration Date without Landlord's written consent, Tenant shall be a tenant at sufferance and shall pay holdover rent equal to one hundred fifty percent (150%) of the immediately preceding Rent for the first thirty (30) days of holdover and two hundred percent (200%) thereafter, plus all damages and costs incurred by Landlord (including any liability to a succeeding tenant).</w:t>
      </w:r>
    </w:p>
    <w:p>
      <w:pPr>
        <w:spacing w:before="280" w:after="140"/>
        <w:keepNext/>
      </w:pPr>
      <w:r>
        <w:rPr>
          <w:b/>
          <w:bCs/>
          <w:sz w:val="28"/>
          <w:szCs w:val="28"/>
        </w:rPr>
        <w:t xml:space="preserve">ARTICLE 22.   EVENTS OF DEFAULT</w:t>
      </w:r>
    </w:p>
    <w:p>
      <w:pPr>
        <w:spacing w:before="0" w:after="120"/>
      </w:pPr>
      <w:r>
        <w:t xml:space="preserve">Each of the following is an Event of Default: (a) failure to pay Rent within five (5) days after written notice that the same is past due; (b) failure to maintain required insurance or the Letter of Credit; (c) abandonment of the Premises for more than fifteen (15) consecutive days; (d) an unauthorized transfer in violation of Article 8; (e) any lien not released or bonded within thirty (30) days after notice; (f) a material breach of Article 9 (Environmental); (g) failure to deliver an estoppel certificate, subordination instrument, or other required document within the time specified, with such failure continuing for five (5) business days after a second notice; (h) insolvency, assignment for the benefit of creditors, or a bankruptcy filing not dismissed within sixty (60) days; (i) a material misrepresentation; and (j) failure to perform any other covenant within thirty (30) days after written notice, subject to extension if cure cannot reasonably be completed in that period and Tenant diligently pursues it.</w:t>
      </w:r>
    </w:p>
    <w:p>
      <w:pPr>
        <w:spacing w:before="280" w:after="140"/>
        <w:keepNext/>
      </w:pPr>
      <w:r>
        <w:rPr>
          <w:b/>
          <w:bCs/>
          <w:sz w:val="28"/>
          <w:szCs w:val="28"/>
        </w:rPr>
        <w:t xml:space="preserve">ARTICLE 23.   REMEDIES</w:t>
      </w:r>
    </w:p>
    <w:p>
      <w:pPr>
        <w:spacing w:before="0" w:after="120"/>
      </w:pPr>
      <w:r>
        <w:rPr>
          <w:b/>
          <w:bCs/>
        </w:rPr>
        <w:t xml:space="preserve">23.1   Remedies. </w:t>
      </w:r>
      <w:r>
        <w:t xml:space="preserve">Upon an Event of Default, Landlord may exercise all rights and remedies at law or in equity, including (a) terminating this Lease or Tenant's right of possession, (b) reletting the Premises and recovering deficiency damages, (c) drawing on the Letter of Credit, (d) curing the Default at Tenant's expense, and (e) seeking injunctive relief. Landlord shall use commercially reasonable efforts to mitigate to the extent required by Utah law.</w:t>
      </w:r>
    </w:p>
    <w:p>
      <w:pPr>
        <w:spacing w:before="0" w:after="120"/>
      </w:pPr>
      <w:r>
        <w:rPr>
          <w:b/>
          <w:bCs/>
        </w:rPr>
        <w:t xml:space="preserve">23.2   Cumulative; No Waiver. </w:t>
      </w:r>
      <w:r>
        <w:t xml:space="preserve">Remedies are cumulative and not exclusive. No waiver of one Default shall waive any other.</w:t>
      </w:r>
    </w:p>
    <w:p>
      <w:pPr>
        <w:spacing w:before="0" w:after="120"/>
      </w:pPr>
      <w:r>
        <w:rPr>
          <w:b/>
          <w:bCs/>
        </w:rPr>
        <w:t xml:space="preserve">23.3   Attorneys' Fees. </w:t>
      </w:r>
      <w:r>
        <w:t xml:space="preserve">The prevailing party in any action arising out of this Lease shall be entitled to recover its reasonable attorneys' fees and costs.</w:t>
      </w:r>
    </w:p>
    <w:p>
      <w:pPr>
        <w:spacing w:before="280" w:after="140"/>
        <w:keepNext/>
      </w:pPr>
      <w:r>
        <w:rPr>
          <w:b/>
          <w:bCs/>
          <w:sz w:val="28"/>
          <w:szCs w:val="28"/>
        </w:rPr>
        <w:t xml:space="preserve">ARTICLE 24.   BROKERS</w:t>
      </w:r>
    </w:p>
    <w:p>
      <w:pPr>
        <w:spacing w:before="0" w:after="120"/>
      </w:pPr>
      <w:r>
        <w:t xml:space="preserve">Landlord and Tenant represent that they have dealt with no brokers in connection with this Lease except the Brokers identified in Article 1. Landlord shall pay the Tenant Broker pursuant to a separate written commission agreement. Each party shall indemnify the other from claims by any other broker claiming through the indemnifying party.</w:t>
      </w:r>
    </w:p>
    <w:p>
      <w:pPr>
        <w:spacing w:before="280" w:after="140"/>
        <w:keepNext/>
      </w:pPr>
      <w:r>
        <w:rPr>
          <w:b/>
          <w:bCs/>
          <w:sz w:val="28"/>
          <w:szCs w:val="28"/>
        </w:rPr>
        <w:t xml:space="preserve">ARTICLE 25.   MISCELLANEOUS</w:t>
      </w:r>
    </w:p>
    <w:p>
      <w:pPr>
        <w:spacing w:before="0" w:after="120"/>
      </w:pPr>
      <w:r>
        <w:rPr>
          <w:b/>
          <w:bCs/>
        </w:rPr>
        <w:t xml:space="preserve">25.1   Governing Law; Venue. </w:t>
      </w:r>
      <w:r>
        <w:t xml:space="preserve">Utah law governs. Venue is exclusively in the state and federal courts in Salt Lake County, Utah.</w:t>
      </w:r>
    </w:p>
    <w:p>
      <w:pPr>
        <w:spacing w:before="0" w:after="120"/>
      </w:pPr>
      <w:r>
        <w:rPr>
          <w:b/>
          <w:bCs/>
        </w:rPr>
        <w:t xml:space="preserve">25.2   Notices. </w:t>
      </w:r>
      <w:r>
        <w:t xml:space="preserve">Written, by personal delivery, certified mail (return receipt requested), or recognized overnight courier, to the addresses in Article 1. Courtesy email copies do not constitute notice.</w:t>
      </w:r>
    </w:p>
    <w:p>
      <w:pPr>
        <w:spacing w:before="0" w:after="120"/>
      </w:pPr>
      <w:r>
        <w:rPr>
          <w:b/>
          <w:bCs/>
        </w:rPr>
        <w:t xml:space="preserve">25.3   Entire Agreement; Amendment. </w:t>
      </w:r>
      <w:r>
        <w:t xml:space="preserve">This Lease (including Exhibits) is the entire agreement and supersedes prior negotiations. Amendments require a writing signed by both parties.</w:t>
      </w:r>
    </w:p>
    <w:p>
      <w:pPr>
        <w:spacing w:before="0" w:after="120"/>
      </w:pPr>
      <w:r>
        <w:rPr>
          <w:b/>
          <w:bCs/>
        </w:rPr>
        <w:t xml:space="preserve">25.4   Authority. </w:t>
      </w:r>
      <w:r>
        <w:t xml:space="preserve">Each signatory represents authority to bind the party for which it signs.</w:t>
      </w:r>
    </w:p>
    <w:p>
      <w:pPr>
        <w:spacing w:before="0" w:after="120"/>
      </w:pPr>
      <w:r>
        <w:rPr>
          <w:b/>
          <w:bCs/>
        </w:rPr>
        <w:t xml:space="preserve">25.5   Counterparts; Electronic Signatures. </w:t>
      </w:r>
      <w:r>
        <w:t xml:space="preserve">Counterparts and PDF/DocuSign signatures are binding.</w:t>
      </w:r>
    </w:p>
    <w:p>
      <w:pPr>
        <w:spacing w:before="0" w:after="120"/>
      </w:pPr>
      <w:r>
        <w:rPr>
          <w:b/>
          <w:bCs/>
        </w:rPr>
        <w:t xml:space="preserve">25.6   Severability. </w:t>
      </w:r>
      <w:r>
        <w:t xml:space="preserve">Unenforceable provisions are severable.</w:t>
      </w:r>
    </w:p>
    <w:p>
      <w:pPr>
        <w:spacing w:before="0" w:after="120"/>
      </w:pPr>
      <w:r>
        <w:rPr>
          <w:b/>
          <w:bCs/>
        </w:rPr>
        <w:t xml:space="preserve">25.7   Waiver of Jury Trial. </w:t>
      </w:r>
      <w:r>
        <w:t xml:space="preserve">To the maximum extent permitted by law, Landlord and Tenant waive trial by jury.</w:t>
      </w:r>
    </w:p>
    <w:p>
      <w:pPr>
        <w:spacing w:before="0" w:after="120"/>
      </w:pPr>
      <w:r>
        <w:rPr>
          <w:b/>
          <w:bCs/>
        </w:rPr>
        <w:t xml:space="preserve">25.8   Time of the Essence. </w:t>
      </w:r>
      <w:r>
        <w:t xml:space="preserve">Time is of the essence.</w:t>
      </w:r>
    </w:p>
    <w:p>
      <w:pPr>
        <w:spacing w:before="0" w:after="120"/>
      </w:pPr>
      <w:r>
        <w:rPr>
          <w:b/>
          <w:bCs/>
        </w:rPr>
        <w:t xml:space="preserve">25.9   OFAC. </w:t>
      </w:r>
      <w:r>
        <w:t xml:space="preserve">Each party represents it is not on any U.S. government list of prohibited or restricted parties.</w:t>
      </w:r>
    </w:p>
    <w:p>
      <w:pPr>
        <w:spacing w:before="0" w:after="120"/>
      </w:pPr>
      <w:r>
        <w:rPr>
          <w:b/>
          <w:bCs/>
        </w:rPr>
        <w:t xml:space="preserve">25.10   Survival. </w:t>
      </w:r>
      <w:r>
        <w:t xml:space="preserve">Indemnity, environmental, surrender, holdover, attorneys' fees, and reconciliation obligations survive expiration or termination.</w:t>
      </w:r>
    </w:p>
    <w:p>
      <w:pPr>
        <w:spacing w:before="0" w:after="120"/>
      </w:pPr>
      <w:r>
        <w:rPr>
          <w:b/>
          <w:bCs/>
        </w:rPr>
        <w:t xml:space="preserve">25.11   Financial Statements. </w:t>
      </w:r>
      <w:r>
        <w:t xml:space="preserve">Tenant shall deliver audited annual financial statements within one hundred twenty (120) days after fiscal year end, subject to confidentiality.</w:t>
      </w:r>
    </w:p>
    <w:p>
      <w:pPr>
        <w:spacing w:before="0" w:after="120"/>
      </w:pPr>
      <w:r>
        <w:rPr>
          <w:b/>
          <w:bCs/>
        </w:rPr>
        <w:t xml:space="preserve">25.12   Recording; Short-Form. </w:t>
      </w:r>
      <w:r>
        <w:t xml:space="preserve">Either party may record a short-form memorandum in a mutually approved form.</w:t>
      </w:r>
    </w:p>
    <w:p>
      <w:pPr>
        <w:spacing w:before="280" w:after="140"/>
        <w:keepNext/>
      </w:pPr>
      <w:r>
        <w:rPr>
          <w:b/>
          <w:bCs/>
          <w:sz w:val="28"/>
          <w:szCs w:val="28"/>
        </w:rPr>
        <w:t xml:space="preserve">ARTICLE 26.   SIGNATURES</w:t>
      </w:r>
    </w:p>
    <w:p>
      <w:pPr>
        <w:spacing w:before="0" w:after="120"/>
      </w:pPr>
      <w:r>
        <w:rPr>
          <w:b/>
          <w:bCs/>
        </w:rPr>
        <w:t xml:space="preserve">IN WITNESS WHEREOF, </w:t>
      </w:r>
      <w:r>
        <w:t xml:space="preserve">Landlord and Tenant have executed this Lease as of the Effective Date.</w:t>
      </w:r>
    </w:p>
    <w:p>
      <w:pPr>
        <w:spacing w:before="0" w:after="120"/>
      </w:pPr>
      <w:r>
        <w:t xml:space="preserve"> </w:t>
      </w:r>
    </w:p>
    <w:p>
      <w:pPr>
        <w:spacing w:before="0" w:after="120"/>
      </w:pPr>
      <w:r>
        <w:rPr>
          <w:b/>
          <w:bCs/>
        </w:rPr>
        <w:t xml:space="preserve">LANDLORD:</w:t>
      </w:r>
    </w:p>
    <w:p>
      <w:pPr>
        <w:spacing w:before="0" w:after="120"/>
      </w:pPr>
      <w:r>
        <w:rPr>
          <w:b/>
          <w:bCs/>
        </w:rPr>
        <w:t xml:space="preserve">BEEHIVE REALTY TRUST, LLC,</w:t>
      </w:r>
      <w:r>
        <w:t xml:space="preserve"> a Utah limited liability company</w:t>
      </w:r>
    </w:p>
    <w:p>
      <w:pPr>
        <w:spacing w:before="0" w:after="120"/>
      </w:pPr>
      <w:r>
        <w:t xml:space="preserve"> </w:t>
      </w:r>
    </w:p>
    <w:p>
      <w:pPr>
        <w:spacing w:before="0" w:after="120"/>
      </w:pPr>
      <w:r>
        <w:t xml:space="preserve">By: ___________________________________</w:t>
      </w:r>
    </w:p>
    <w:p>
      <w:pPr>
        <w:spacing w:before="0" w:after="120"/>
      </w:pPr>
      <w:r>
        <w:t xml:space="preserve">Name:  Cordelia P. Whitcombe</w:t>
      </w:r>
    </w:p>
    <w:p>
      <w:pPr>
        <w:spacing w:before="0" w:after="120"/>
      </w:pPr>
      <w:r>
        <w:t xml:space="preserve">Title: Managing Director, Leasing</w:t>
      </w:r>
    </w:p>
    <w:p>
      <w:pPr>
        <w:spacing w:before="0" w:after="120"/>
      </w:pPr>
      <w:r>
        <w:t xml:space="preserve"> </w:t>
      </w:r>
    </w:p>
    <w:p>
      <w:pPr>
        <w:spacing w:before="0" w:after="120"/>
      </w:pPr>
      <w:r>
        <w:rPr>
          <w:b/>
          <w:bCs/>
        </w:rPr>
        <w:t xml:space="preserve">TENANT:</w:t>
      </w:r>
    </w:p>
    <w:p>
      <w:pPr>
        <w:spacing w:before="0" w:after="120"/>
      </w:pPr>
      <w:r>
        <w:rPr>
          <w:b/>
          <w:bCs/>
        </w:rPr>
        <w:t xml:space="preserve">SWITCHBACK OUTFITTERS MANUFACTURING, LLC,</w:t>
      </w:r>
      <w:r>
        <w:t xml:space="preserve"> a Delaware limited liability company</w:t>
      </w:r>
    </w:p>
    <w:p>
      <w:pPr>
        <w:spacing w:before="0" w:after="120"/>
      </w:pPr>
      <w:r>
        <w:t xml:space="preserve"> </w:t>
      </w:r>
    </w:p>
    <w:p>
      <w:pPr>
        <w:spacing w:before="0" w:after="120"/>
      </w:pPr>
      <w:r>
        <w:t xml:space="preserve">By: ___________________________________</w:t>
      </w:r>
    </w:p>
    <w:p>
      <w:pPr>
        <w:spacing w:before="0" w:after="120"/>
      </w:pPr>
      <w:r>
        <w:t xml:space="preserve">Name:  Linnea M. Bjornsen</w:t>
      </w:r>
    </w:p>
    <w:p>
      <w:pPr>
        <w:spacing w:before="0" w:after="120"/>
      </w:pPr>
      <w:r>
        <w:t xml:space="preserve">Title: VP of Operations</w:t>
      </w:r>
    </w:p>
    <w:p>
      <w:pPr>
        <w:spacing w:before="280" w:after="140"/>
        <w:keepNext/>
      </w:pPr>
      <w:r>
        <w:rPr>
          <w:b/>
          <w:bCs/>
          <w:sz w:val="28"/>
          <w:szCs w:val="28"/>
        </w:rPr>
        <w:t xml:space="preserve">ARTICLE 27.   RENEWAL OPTION</w:t>
      </w:r>
    </w:p>
    <w:p>
      <w:pPr>
        <w:spacing w:before="0" w:after="120"/>
      </w:pPr>
      <w:r>
        <w:rPr>
          <w:b/>
          <w:bCs/>
        </w:rPr>
        <w:t xml:space="preserve">27.1   Option Grant. </w:t>
      </w:r>
      <w:r>
        <w:t xml:space="preserve">Provided no uncured Event of Default exists and the original Tenant (or a Permitted Transferee) is in occupancy of not less than seventy-five percent (75%) of the Premises, Tenant shall have one (1) option to renew the Term for an additional five (5) years (the "Renewal Term") on the same terms, except as set forth below.</w:t>
      </w:r>
    </w:p>
    <w:p>
      <w:pPr>
        <w:spacing w:before="0" w:after="120"/>
      </w:pPr>
      <w:r>
        <w:rPr>
          <w:b/>
          <w:bCs/>
        </w:rPr>
        <w:t xml:space="preserve">27.2   Notice. </w:t>
      </w:r>
      <w:r>
        <w:t xml:space="preserve">Tenant shall exercise the option by delivering written notice to Landlord not earlier than fifteen (15) months and not later than twelve (12) months prior to the Expiration Date. Time is of the essence; failure to exercise within this window terminates the option.</w:t>
      </w:r>
    </w:p>
    <w:p>
      <w:pPr>
        <w:spacing w:before="0" w:after="120"/>
      </w:pPr>
      <w:r>
        <w:rPr>
          <w:b/>
          <w:bCs/>
        </w:rPr>
        <w:t xml:space="preserve">27.3   Renewal Rent. </w:t>
      </w:r>
      <w:r>
        <w:t xml:space="preserve">Base Rent for the Renewal Term shall be the Fair Market Rent for comparable industrial/flex single-tenant space in the Clearfield/Layton submarket, taking into account building condition, length of term, escalations, tenant credit, and concessions. The parties shall use good-faith efforts to agree within thirty (30) days; failing agreement, each party shall select a qualified MAI appraiser, the two appraisers shall jointly select a third, and the Fair Market Rent shall be determined by majority vote within sixty (60) days. The renewal option is personal to the original Tenant and any Permitted Transferee.</w:t>
      </w:r>
    </w:p>
    <w:p>
      <w:r>
        <w:br w:type="page"/>
      </w:r>
    </w:p>
    <w:p>
      <w:pPr>
        <w:jc w:val="center"/>
        <w:spacing w:before="0" w:after="40"/>
      </w:pPr>
      <w:r>
        <w:rPr>
          <w:b/>
          <w:bCs/>
          <w:sz w:val="32"/>
          <w:szCs w:val="32"/>
        </w:rPr>
        <w:t xml:space="preserve">EXHIBIT A</w:t>
      </w:r>
    </w:p>
    <w:p>
      <w:pPr>
        <w:jc w:val="center"/>
        <w:spacing w:before="0" w:after="160"/>
      </w:pPr>
      <w:r>
        <w:rPr>
          <w:b/>
          <w:bCs/>
          <w:sz w:val="26"/>
          <w:szCs w:val="26"/>
        </w:rPr>
        <w:t xml:space="preserve">Site Plan &amp; Premises</w:t>
      </w:r>
    </w:p>
    <w:p>
      <w:pPr>
        <w:spacing w:before="0" w:after="120"/>
      </w:pPr>
      <w:r>
        <w:t xml:space="preserve">The Premises consist of the entire Building and the Property located at 870 South Depot Crossing, Clearfield, Utah 84015, as depicted below. The depiction is illustrative; in the event of a measurable discrepancy, the rentable square footage and acreage in Article 1 control.</w:t>
      </w:r>
    </w:p>
    <w:p>
      <w:pPr>
        <w:jc w:val="center"/>
        <w:spacing w:before="120" w:after="120"/>
      </w:pPr>
      <w:r>
        <w:drawing>
          <wp:inline distT="0" distB="0" distL="0" distR="0">
            <wp:extent cx="6248400" cy="408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Pic1"/>
                    <a:stretch>
                      <a:fillRect/>
                    </a:stretch>
                  </pic:blipFill>
                  <pic:spPr>
                    <a:xfrm>
                      <a:off x="0" y="0"/>
                      <a:ext cx="6248400" cy="4083600"/>
                    </a:xfrm>
                    <a:prstGeom prst="rect">
                      <a:avLst/>
                    </a:prstGeom>
                  </pic:spPr>
                </pic:pic>
              </a:graphicData>
            </a:graphic>
          </wp:inline>
        </w:drawing>
      </w:r>
    </w:p>
    <w:p>
      <w:r>
        <w:br w:type="page"/>
      </w:r>
    </w:p>
    <w:p>
      <w:pPr>
        <w:jc w:val="center"/>
        <w:spacing w:before="0" w:after="40"/>
      </w:pPr>
      <w:r>
        <w:rPr>
          <w:b/>
          <w:bCs/>
          <w:sz w:val="32"/>
          <w:szCs w:val="32"/>
        </w:rPr>
        <w:t xml:space="preserve">EXHIBIT A-1</w:t>
      </w:r>
    </w:p>
    <w:p>
      <w:pPr>
        <w:jc w:val="center"/>
        <w:spacing w:before="0" w:after="160"/>
      </w:pPr>
      <w:r>
        <w:rPr>
          <w:b/>
          <w:bCs/>
          <w:sz w:val="26"/>
          <w:szCs w:val="26"/>
        </w:rPr>
        <w:t xml:space="preserve">Truck Access Route</w:t>
      </w:r>
    </w:p>
    <w:p>
      <w:pPr>
        <w:spacing w:before="0" w:after="120"/>
      </w:pPr>
      <w:r>
        <w:t xml:space="preserve">All truck traffic to and from the Premises shall use the access route depicted below: I-15 → Antelope Drive (Exit 332) → South Depot Crossing → Premises (truck entry at the north driveway). 1000 West and residential streets in Clearfield City are restricted truck routes and shall not be used. Tenant shall include these routing instructions in its driver onboarding, carrier instructions, and yard signage, and shall enforce the no-idling rule consistent with Utah Division of Air Quality requirements.</w:t>
      </w:r>
    </w:p>
    <w:p>
      <w:pPr>
        <w:jc w:val="center"/>
        <w:spacing w:before="120" w:after="120"/>
      </w:pPr>
      <w:r>
        <w:drawing>
          <wp:inline distT="0" distB="0" distL="0" distR="0">
            <wp:extent cx="6248400" cy="408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Pic2"/>
                    <a:stretch>
                      <a:fillRect/>
                    </a:stretch>
                  </pic:blipFill>
                  <pic:spPr>
                    <a:xfrm>
                      <a:off x="0" y="0"/>
                      <a:ext cx="6248400" cy="4083600"/>
                    </a:xfrm>
                    <a:prstGeom prst="rect">
                      <a:avLst/>
                    </a:prstGeom>
                  </pic:spPr>
                </pic:pic>
              </a:graphicData>
            </a:graphic>
          </wp:inline>
        </w:drawing>
      </w:r>
    </w:p>
    <w:p>
      <w:r>
        <w:br w:type="page"/>
      </w:r>
    </w:p>
    <w:p>
      <w:pPr>
        <w:jc w:val="center"/>
        <w:spacing w:before="0" w:after="40"/>
      </w:pPr>
      <w:r>
        <w:rPr>
          <w:b/>
          <w:bCs/>
          <w:sz w:val="32"/>
          <w:szCs w:val="32"/>
        </w:rPr>
        <w:t xml:space="preserve">EXHIBIT B</w:t>
      </w:r>
    </w:p>
    <w:p>
      <w:pPr>
        <w:jc w:val="center"/>
        <w:spacing w:before="0" w:after="160"/>
      </w:pPr>
      <w:r>
        <w:rPr>
          <w:b/>
          <w:bCs/>
          <w:sz w:val="26"/>
          <w:szCs w:val="26"/>
        </w:rPr>
        <w:t xml:space="preserve">Surrender Requirements</w:t>
      </w:r>
    </w:p>
    <w:p>
      <w:pPr>
        <w:spacing w:before="0" w:after="120"/>
      </w:pPr>
      <w:r>
        <w:t xml:space="preserve">On or before the Expiration Date, Tenant shall, at its sole cost:</w:t>
      </w:r>
    </w:p>
    <w:p>
      <w:pPr>
        <w:spacing w:before="0" w:after="120"/>
      </w:pPr>
      <w:r>
        <w:t xml:space="preserve">1.   Complete the environmental closure required by Section 9.5 and deliver to Landlord (a) a final closure report from a qualified environmental consultant, (b) hazardous-waste manifests for all final shipments, (c) UST/AST closure documentation if applicable, and (d) a no-further-action letter from any agency with open files relating to Tenant's operations, to the extent obtainable.</w:t>
      </w:r>
    </w:p>
    <w:p>
      <w:pPr>
        <w:spacing w:before="0" w:after="120"/>
      </w:pPr>
      <w:r>
        <w:t xml:space="preserve">2.   Remove all racking, machinery, dust-collection systems, compressed-air piping installed by Tenant, dyeing/coating booths, battery-test enclosures, fume hoods, low-voltage cabling, and personal property. Patch and seal all floor anchors, wall and roof penetrations, and slab cores.</w:t>
      </w:r>
    </w:p>
    <w:p>
      <w:pPr>
        <w:spacing w:before="0" w:after="120"/>
      </w:pPr>
      <w:r>
        <w:t xml:space="preserve">3.   Repair (or replace, if not repairable) the floor coating in any area where machinery, chemical storage, dyeing/coating booths, or forklift traffic has caused damage beyond ordinary wear and tear.</w:t>
      </w:r>
    </w:p>
    <w:p>
      <w:pPr>
        <w:spacing w:before="0" w:after="120"/>
      </w:pPr>
      <w:r>
        <w:t xml:space="preserve">4.   Service and repair all dock doors, drive-in door, dock levelers, bumpers, seals, and shelters; provide certification from a licensed dock contractor that all components are operational.</w:t>
      </w:r>
    </w:p>
    <w:p>
      <w:pPr>
        <w:spacing w:before="0" w:after="120"/>
      </w:pPr>
      <w:r>
        <w:t xml:space="preserve">5.   Deliver a current annual fire-suppression and fire-alarm inspection certificate.</w:t>
      </w:r>
    </w:p>
    <w:p>
      <w:pPr>
        <w:spacing w:before="0" w:after="120"/>
      </w:pPr>
      <w:r>
        <w:t xml:space="preserve">6.   Clean and re-stripe the parking lot and truck court; repair potholes and cracks greater than ½ inch.</w:t>
      </w:r>
    </w:p>
    <w:p>
      <w:pPr>
        <w:spacing w:before="0" w:after="120"/>
      </w:pPr>
      <w:r>
        <w:t xml:space="preserve">7.   Remove all signage, including monument and building signs, and repair any damage to fascia, masonry, or landscaping.</w:t>
      </w:r>
    </w:p>
    <w:p>
      <w:pPr>
        <w:spacing w:before="0" w:after="120"/>
      </w:pPr>
      <w:r>
        <w:t xml:space="preserve">8.   Sweep, scrub, and pressure-wash the manufacturing floor; deliver the Premises broom-clean.</w:t>
      </w:r>
    </w:p>
    <w:p>
      <w:pPr>
        <w:spacing w:before="0" w:after="120"/>
      </w:pPr>
      <w:r>
        <w:t xml:space="preserve">9.   Surrender all keys, fobs, gate codes, alarm credentials, fire panel codes, and BMS/HVAC login credentials.</w:t>
      </w:r>
    </w:p>
    <w:p>
      <w:pPr>
        <w:spacing w:before="0" w:after="120"/>
      </w:pPr>
      <w:r>
        <w:t xml:space="preserve">10.   Provide as-built drawings, equipment manuals, and warranty assignments for any systems remaining in the Premises (e.g., supplemental HVAC, electrical upgrades, fire-suppression).</w:t>
      </w:r>
    </w:p>
    <w:p>
      <w:r>
        <w:br w:type="page"/>
      </w:r>
    </w:p>
    <w:p>
      <w:pPr>
        <w:jc w:val="center"/>
        <w:spacing w:before="0" w:after="40"/>
      </w:pPr>
      <w:r>
        <w:rPr>
          <w:b/>
          <w:bCs/>
          <w:sz w:val="32"/>
          <w:szCs w:val="32"/>
        </w:rPr>
        <w:t xml:space="preserve">EXHIBIT C</w:t>
      </w:r>
    </w:p>
    <w:p>
      <w:pPr>
        <w:jc w:val="center"/>
        <w:spacing w:before="0" w:after="160"/>
      </w:pPr>
      <w:r>
        <w:rPr>
          <w:b/>
          <w:bCs/>
          <w:sz w:val="26"/>
          <w:szCs w:val="26"/>
        </w:rPr>
        <w:t xml:space="preserve">Rules and Prohibited Uses</w:t>
      </w:r>
    </w:p>
    <w:p>
      <w:pPr>
        <w:spacing w:before="0" w:after="120"/>
      </w:pPr>
      <w:r>
        <w:rPr>
          <w:b/>
          <w:bCs/>
        </w:rPr>
        <w:t xml:space="preserve">Rules. </w:t>
      </w:r>
    </w:p>
    <w:p>
      <w:pPr>
        <w:spacing w:before="0" w:after="120"/>
      </w:pPr>
      <w:r>
        <w:t xml:space="preserve">1.   Truck idling longer than five (5) minutes is prohibited (Utah Division of Air Quality).</w:t>
      </w:r>
    </w:p>
    <w:p>
      <w:pPr>
        <w:spacing w:before="0" w:after="120"/>
      </w:pPr>
      <w:r>
        <w:t xml:space="preserve">2.   Deliveries and pickups in or out of the truck court are permitted between 5:00 a.m. and 10:00 p.m. Sunday through Saturday. Overnight trailer storage is permitted only within the fenced yard.</w:t>
      </w:r>
    </w:p>
    <w:p>
      <w:pPr>
        <w:spacing w:before="0" w:after="120"/>
      </w:pPr>
      <w:r>
        <w:t xml:space="preserve">3.   The Premises shall not be left unattended without the alarm armed and gates closed.</w:t>
      </w:r>
    </w:p>
    <w:p>
      <w:pPr>
        <w:spacing w:before="0" w:after="120"/>
      </w:pPr>
      <w:r>
        <w:t xml:space="preserve">4.   Smoking, vaping, and the use of cannabis products are prohibited inside the Building. Designated outdoor smoking areas, if any, shall be located not less than 25 feet from any entry, dock door, or air intake.</w:t>
      </w:r>
    </w:p>
    <w:p>
      <w:pPr>
        <w:spacing w:before="0" w:after="120"/>
      </w:pPr>
      <w:r>
        <w:t xml:space="preserve">5.   Tenant shall maintain a written hazard communication program, SDS library, and chemical inventory consistent with OSHA and Utah Labor Commission requirements.</w:t>
      </w:r>
    </w:p>
    <w:p>
      <w:pPr>
        <w:spacing w:before="0" w:after="120"/>
      </w:pPr>
      <w:r>
        <w:rPr>
          <w:b/>
          <w:bCs/>
        </w:rPr>
        <w:t xml:space="preserve">Prohibited Uses. </w:t>
      </w:r>
    </w:p>
    <w:p>
      <w:pPr>
        <w:spacing w:before="0" w:after="120"/>
      </w:pPr>
      <w:r>
        <w:t xml:space="preserve">A.   Vehicle service, fueling, or fluid changing of non-Tenant vehicles.</w:t>
      </w:r>
    </w:p>
    <w:p>
      <w:pPr>
        <w:spacing w:before="0" w:after="120"/>
      </w:pPr>
      <w:r>
        <w:t xml:space="preserve">B.   Storage or use of explosives, fireworks, ammunition manufacturing, or Class 1 flammable liquids in quantities greater than permitted by the fire code as adopted by Clearfield City.</w:t>
      </w:r>
    </w:p>
    <w:p>
      <w:pPr>
        <w:spacing w:before="0" w:after="120"/>
      </w:pPr>
      <w:r>
        <w:t xml:space="preserve">C.   Animal boarding, kenneling, or slaughtering operations.</w:t>
      </w:r>
    </w:p>
    <w:p>
      <w:pPr>
        <w:spacing w:before="0" w:after="120"/>
      </w:pPr>
      <w:r>
        <w:t xml:space="preserve">D.   Adult entertainment, gambling, or any use prohibited by recorded covenants or zoning.</w:t>
      </w:r>
    </w:p>
    <w:p>
      <w:pPr>
        <w:spacing w:before="0" w:after="120"/>
      </w:pPr>
      <w:r>
        <w:t xml:space="preserve">E.   Open-air outdoor manufacturing (manufacturing must occur within the Building).</w:t>
      </w:r>
    </w:p>
    <w:p>
      <w:pPr>
        <w:spacing w:before="0" w:after="120"/>
      </w:pPr>
      <w:r>
        <w:t xml:space="preserve">F.   Industrial laundry or dry-cleaning operations using chlorinated solvents.</w:t>
      </w:r>
    </w:p>
    <w:p>
      <w:r>
        <w:br w:type="page"/>
      </w:r>
    </w:p>
    <w:p>
      <w:pPr>
        <w:jc w:val="center"/>
        <w:spacing w:before="0" w:after="40"/>
      </w:pPr>
      <w:r>
        <w:rPr>
          <w:b/>
          <w:bCs/>
          <w:sz w:val="32"/>
          <w:szCs w:val="32"/>
        </w:rPr>
        <w:t xml:space="preserve">EXHIBIT D</w:t>
      </w:r>
    </w:p>
    <w:p>
      <w:pPr>
        <w:jc w:val="center"/>
        <w:spacing w:before="0" w:after="160"/>
      </w:pPr>
      <w:r>
        <w:rPr>
          <w:b/>
          <w:bCs/>
          <w:sz w:val="26"/>
          <w:szCs w:val="26"/>
        </w:rPr>
        <w:t xml:space="preserve">Tenant Contact Information</w:t>
      </w:r>
    </w:p>
    <w:p>
      <w:pPr>
        <w:spacing w:before="0" w:after="120"/>
      </w:pPr>
      <w:r>
        <w:t xml:space="preserve">Tenant shall maintain the following primary contact for all operational, emergency, insurance, accounting, and environmental matters under this Lease, and shall provide written notice of any change within ten (10) business days.</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3000"/>
        <w:gridCol w:w="6500"/>
      </w:tblGrid>
      <w:tr>
        <w:tc>
          <w:tcPr>
            <w:tcW w:w="3000" w:type="dxa"/>
            <w:shd w:val="clear" w:color="auto" w:fill="E5E7EB"/>
          </w:tcPr>
          <w:p>
            <w:pPr>
              <w:spacing w:before="0" w:after="60"/>
            </w:pPr>
            <w:r>
              <w:rPr>
                <w:b/>
                <w:bCs/>
              </w:rPr>
              <w:t xml:space="preserve">Field</w:t>
            </w:r>
          </w:p>
        </w:tc>
        <w:tc>
          <w:tcPr>
            <w:tcW w:w="6500" w:type="dxa"/>
            <w:shd w:val="clear" w:color="auto" w:fill="E5E7EB"/>
          </w:tcPr>
          <w:p>
            <w:pPr>
              <w:spacing w:before="0" w:after="60"/>
            </w:pPr>
            <w:r>
              <w:rPr>
                <w:b/>
                <w:bCs/>
              </w:rPr>
              <w:t xml:space="preserve">Information</w:t>
            </w:r>
          </w:p>
        </w:tc>
      </w:tr>
      <w:tr>
        <w:tc>
          <w:tcPr>
            <w:tcW w:w="3000" w:type="dxa"/>
          </w:tcPr>
          <w:p>
            <w:pPr>
              <w:spacing w:before="0" w:after="60"/>
            </w:pPr>
            <w:r>
              <w:t xml:space="preserve">Name</w:t>
            </w:r>
          </w:p>
        </w:tc>
        <w:tc>
          <w:tcPr>
            <w:tcW w:w="6500" w:type="dxa"/>
          </w:tcPr>
          <w:p>
            <w:pPr>
              <w:spacing w:before="0" w:after="60"/>
            </w:pPr>
            <w:r>
              <w:t xml:space="preserve">Linnea M. Bjornsen</w:t>
            </w:r>
          </w:p>
        </w:tc>
      </w:tr>
      <w:tr>
        <w:tc>
          <w:tcPr>
            <w:tcW w:w="3000" w:type="dxa"/>
          </w:tcPr>
          <w:p>
            <w:pPr>
              <w:spacing w:before="0" w:after="60"/>
            </w:pPr>
            <w:r>
              <w:t xml:space="preserve">Title</w:t>
            </w:r>
          </w:p>
        </w:tc>
        <w:tc>
          <w:tcPr>
            <w:tcW w:w="6500" w:type="dxa"/>
          </w:tcPr>
          <w:p>
            <w:pPr>
              <w:spacing w:before="0" w:after="60"/>
            </w:pPr>
            <w:r>
              <w:t xml:space="preserve">VP of Operations</w:t>
            </w:r>
          </w:p>
        </w:tc>
      </w:tr>
      <w:tr>
        <w:tc>
          <w:tcPr>
            <w:tcW w:w="3000" w:type="dxa"/>
          </w:tcPr>
          <w:p>
            <w:pPr>
              <w:spacing w:before="0" w:after="60"/>
            </w:pPr>
            <w:r>
              <w:t xml:space="preserve">Business Phone</w:t>
            </w:r>
          </w:p>
        </w:tc>
        <w:tc>
          <w:tcPr>
            <w:tcW w:w="6500" w:type="dxa"/>
          </w:tcPr>
          <w:p>
            <w:pPr>
              <w:spacing w:before="0" w:after="60"/>
            </w:pPr>
            <w:r>
              <w:t xml:space="preserve">(801) 555-0271</w:t>
            </w:r>
          </w:p>
        </w:tc>
      </w:tr>
      <w:tr>
        <w:tc>
          <w:tcPr>
            <w:tcW w:w="3000" w:type="dxa"/>
          </w:tcPr>
          <w:p>
            <w:pPr>
              <w:spacing w:before="0" w:after="60"/>
            </w:pPr>
            <w:r>
              <w:t xml:space="preserve">Mobile / After-Hours Phone</w:t>
            </w:r>
          </w:p>
        </w:tc>
        <w:tc>
          <w:tcPr>
            <w:tcW w:w="6500" w:type="dxa"/>
          </w:tcPr>
          <w:p>
            <w:pPr>
              <w:spacing w:before="0" w:after="60"/>
            </w:pPr>
            <w:r>
              <w:t xml:space="preserve">(801) 555-0299</w:t>
            </w:r>
          </w:p>
        </w:tc>
      </w:tr>
      <w:tr>
        <w:tc>
          <w:tcPr>
            <w:tcW w:w="3000" w:type="dxa"/>
          </w:tcPr>
          <w:p>
            <w:pPr>
              <w:spacing w:before="0" w:after="60"/>
            </w:pPr>
            <w:r>
              <w:t xml:space="preserve">Email</w:t>
            </w:r>
          </w:p>
        </w:tc>
        <w:tc>
          <w:tcPr>
            <w:tcW w:w="6500" w:type="dxa"/>
          </w:tcPr>
          <w:p>
            <w:pPr>
              <w:spacing w:before="0" w:after="60"/>
            </w:pPr>
            <w:r>
              <w:t xml:space="preserve">lbjornsen@switchbackoutfitters.example</w:t>
            </w:r>
          </w:p>
        </w:tc>
      </w:tr>
      <w:tr>
        <w:tc>
          <w:tcPr>
            <w:tcW w:w="3000" w:type="dxa"/>
          </w:tcPr>
          <w:p>
            <w:pPr>
              <w:spacing w:before="0" w:after="60"/>
            </w:pPr>
            <w:r>
              <w:t xml:space="preserve">Mailing Address</w:t>
            </w:r>
          </w:p>
        </w:tc>
        <w:tc>
          <w:tcPr>
            <w:tcW w:w="6500" w:type="dxa"/>
          </w:tcPr>
          <w:p>
            <w:pPr>
              <w:spacing w:before="0" w:after="60"/>
            </w:pPr>
            <w:r>
              <w:t xml:space="preserve">Switchback Outfitters Manufacturing, LLC, 870 South Depot Crossing, Clearfield, UT 84015</w:t>
            </w:r>
          </w:p>
        </w:tc>
      </w:tr>
      <w:tr>
        <w:tc>
          <w:tcPr>
            <w:tcW w:w="3000" w:type="dxa"/>
          </w:tcPr>
          <w:p>
            <w:pPr>
              <w:spacing w:before="0" w:after="60"/>
            </w:pPr>
            <w:r>
              <w:t xml:space="preserve">24/7 Emergency / Spill Line</w:t>
            </w:r>
          </w:p>
        </w:tc>
        <w:tc>
          <w:tcPr>
            <w:tcW w:w="6500" w:type="dxa"/>
          </w:tcPr>
          <w:p>
            <w:pPr>
              <w:spacing w:before="0" w:after="60"/>
            </w:pPr>
            <w:r>
              <w:t xml:space="preserve">(801) 555-0911</w:t>
            </w:r>
          </w:p>
        </w:tc>
      </w:tr>
    </w:tbl>
    <w:p>
      <w:pPr>
        <w:spacing w:before="0" w:after="80"/>
      </w:pPr>
    </w:p>
    <w:p>
      <w:r>
        <w:br w:type="page"/>
      </w:r>
    </w:p>
    <w:p>
      <w:pPr>
        <w:jc w:val="center"/>
        <w:spacing w:before="0" w:after="40"/>
      </w:pPr>
      <w:r>
        <w:rPr>
          <w:b/>
          <w:bCs/>
          <w:sz w:val="32"/>
          <w:szCs w:val="32"/>
        </w:rPr>
        <w:t xml:space="preserve">EXHIBIT G</w:t>
      </w:r>
    </w:p>
    <w:p>
      <w:pPr>
        <w:jc w:val="center"/>
        <w:spacing w:before="0" w:after="160"/>
      </w:pPr>
      <w:r>
        <w:rPr>
          <w:b/>
          <w:bCs/>
          <w:sz w:val="26"/>
          <w:szCs w:val="26"/>
        </w:rPr>
        <w:t xml:space="preserve">Landlord Work Letter</w:t>
      </w:r>
    </w:p>
    <w:p>
      <w:pPr>
        <w:spacing w:before="0" w:after="120"/>
      </w:pPr>
      <w:r>
        <w:rPr>
          <w:b/>
          <w:bCs/>
        </w:rPr>
        <w:t xml:space="preserve">1.   Scope. </w:t>
      </w:r>
      <w:r>
        <w:t xml:space="preserve">Landlord shall, at its sole cost (the "Landlord Work"): (a) deliver the manufacturing/warehouse floor broom-clean with sealed concrete in good condition; (b) confirm all dock doors, dock levelers, the drive-in door, and the fire-suppression system are operational; (c) provide a 1,200-amp, 480/277V three-phase service to the main electrical room with documented capacity; (d) install LED high-bay lighting throughout the manufacturing/warehouse floor at not less than 35 footcandles maintained; (e) demise and turn over the office mezzanine in current "white-box" condition with grid ceiling, carpet, and base building HVAC; and (f) deliver the fenced yard gates, fencing, and lighting in good working order.</w:t>
      </w:r>
    </w:p>
    <w:p>
      <w:pPr>
        <w:spacing w:before="0" w:after="120"/>
      </w:pPr>
      <w:r>
        <w:rPr>
          <w:b/>
          <w:bCs/>
        </w:rPr>
        <w:t xml:space="preserve">2.   Exclusions. </w:t>
      </w:r>
      <w:r>
        <w:t xml:space="preserve">Landlord Work excludes Tenant's improvements (including racking, additional power runs, compressed air, dust collection, dyeing/coating booths, battery-test enclosures, sprinkler reconfiguration, telecom/cabling, security systems, and FF&amp;E), all of which are Tenant's responsibility.</w:t>
      </w:r>
    </w:p>
    <w:p>
      <w:pPr>
        <w:spacing w:before="0" w:after="120"/>
      </w:pPr>
      <w:r>
        <w:rPr>
          <w:b/>
          <w:bCs/>
        </w:rPr>
        <w:t xml:space="preserve">3.   Allowance. </w:t>
      </w:r>
      <w:r>
        <w:t xml:space="preserve">Landlord shall provide a one-time tenant improvement allowance of $5.00 per RSF ($162,000.00 total), payable to Tenant in arrears against paid invoices and lien waivers for Tenant's improvements completed before the first anniversary of the Commencement Date. Unused allowance is forfeited.</w:t>
      </w:r>
    </w:p>
    <w:p>
      <w:pPr>
        <w:spacing w:before="0" w:after="120"/>
      </w:pPr>
      <w:r>
        <w:rPr>
          <w:b/>
          <w:bCs/>
        </w:rPr>
        <w:t xml:space="preserve">4.   Schedule. </w:t>
      </w:r>
      <w:r>
        <w:t xml:space="preserve">Landlord shall use commercially reasonable efforts to achieve substantial completion of Landlord Work by October 30, 2026, subject to Force Majeure and Tenant Delay.</w:t>
      </w:r>
    </w:p>
    <w:p>
      <w:pPr>
        <w:spacing w:before="0" w:after="120"/>
      </w:pPr>
      <w:r>
        <w:rPr>
          <w:b/>
          <w:bCs/>
        </w:rPr>
        <w:t xml:space="preserve">5.   Permits and Compliance. </w:t>
      </w:r>
      <w:r>
        <w:t xml:space="preserve">Landlord shall obtain a Certificate of Occupancy (or Temporary CO) covering the Landlord Work. Tenant shall obtain its own building permits for Tenant's improvements.</w:t>
      </w:r>
    </w:p>
    <w:p>
      <w:pPr>
        <w:spacing w:before="0" w:after="120"/>
      </w:pPr>
      <w:r>
        <w:rPr>
          <w:b/>
          <w:bCs/>
        </w:rPr>
        <w:t xml:space="preserve">6.   Punch List; Acceptance. </w:t>
      </w:r>
      <w:r>
        <w:t xml:space="preserve">Within ten (10) business days after Landlord's notice of substantial completion, Tenant shall inspect the Premises and deliver a written punch list. Landlord shall complete punch-list items within thirty (30) days, weather permitting.</w:t>
      </w:r>
    </w:p>
    <w:p>
      <w:r>
        <w:br w:type="page"/>
      </w:r>
    </w:p>
    <w:p>
      <w:pPr>
        <w:jc w:val="center"/>
        <w:spacing w:before="0" w:after="40"/>
      </w:pPr>
      <w:r>
        <w:rPr>
          <w:b/>
          <w:bCs/>
          <w:sz w:val="32"/>
          <w:szCs w:val="32"/>
        </w:rPr>
        <w:t xml:space="preserve">EXHIBIT H</w:t>
      </w:r>
    </w:p>
    <w:p>
      <w:pPr>
        <w:jc w:val="center"/>
        <w:spacing w:before="0" w:after="160"/>
      </w:pPr>
      <w:r>
        <w:rPr>
          <w:b/>
          <w:bCs/>
          <w:sz w:val="26"/>
          <w:szCs w:val="26"/>
        </w:rPr>
        <w:t xml:space="preserve">Form of Letter of Credit</w:t>
      </w:r>
    </w:p>
    <w:p>
      <w:pPr>
        <w:spacing w:before="0" w:after="120"/>
      </w:pPr>
      <w:r>
        <w:rPr>
          <w:b/>
          <w:bCs/>
        </w:rPr>
        <w:t xml:space="preserve">Issuer. </w:t>
      </w:r>
      <w:r>
        <w:t xml:space="preserve">A federally insured bank with a long-term unsecured credit rating of not less than A3/A- (Moody's/S&amp;P), with an office in Salt Lake County, Utah, or otherwise approved by Landlord (initial approved issuer: Granite Crest National Bank, N.A.).</w:t>
      </w:r>
    </w:p>
    <w:p>
      <w:pPr>
        <w:spacing w:before="0" w:after="120"/>
      </w:pPr>
      <w:r>
        <w:rPr>
          <w:b/>
          <w:bCs/>
        </w:rPr>
        <w:t xml:space="preserve">Form. </w:t>
      </w:r>
      <w:r>
        <w:t xml:space="preserve">Irrevocable standby letter of credit, automatically renewable through sixty (60) days after the Expiration Date with at least sixty (60) days' prior written notice of nonrenewal, transferable to a successor landlord (with any transfer fees paid by Tenant), and available by sight draft accompanied only by a written statement from Landlord that "an Event of Default has occurred and is continuing under the Lease, or the Letter of Credit has not been renewed or replaced as required by the Lease."</w:t>
      </w:r>
    </w:p>
    <w:p>
      <w:pPr>
        <w:spacing w:before="0" w:after="120"/>
      </w:pPr>
      <w:r>
        <w:rPr>
          <w:b/>
          <w:bCs/>
        </w:rPr>
        <w:t xml:space="preserve">Amount and Burn-Down. </w:t>
      </w:r>
      <w:r>
        <w:t xml:space="preserve">Initial amount: $91,125.00. Reductions per Section 2.7.</w:t>
      </w:r>
    </w:p>
    <w:p>
      <w:pPr>
        <w:spacing w:before="0" w:after="120"/>
      </w:pPr>
      <w:r>
        <w:rPr>
          <w:b/>
          <w:bCs/>
        </w:rPr>
        <w:t xml:space="preserve">Draw Events. </w:t>
      </w:r>
      <w:r>
        <w:t xml:space="preserve">(a) an Event of Default by Tenant; (b) nonrenewal or impairment of the Letter of Credit within thirty (30) days of expiry without a replacement reasonably acceptable to Landlord; (c) a downgrade of the issuer's rating below the minimum specified above and failure to replace within thirty (30) days after notice; or (d) a bankruptcy filing by Tenant or the issuer.</w:t>
      </w:r>
    </w:p>
    <w:p>
      <w:pPr>
        <w:spacing w:before="0" w:after="120"/>
      </w:pPr>
      <w:r>
        <w:rPr>
          <w:b/>
          <w:bCs/>
        </w:rPr>
        <w:t xml:space="preserve">Bankruptcy-Safe. </w:t>
      </w:r>
      <w:r>
        <w:t xml:space="preserve">Landlord is entitled to draw the entire face amount in the event of a bankruptcy filing involving Tenant or the issuer, and the proceeds shall be held by Landlord as cash security under this Lease.</w:t>
      </w:r>
    </w:p>
    <w:p>
      <w:r>
        <w:br w:type="page"/>
      </w:r>
    </w:p>
    <w:p>
      <w:pPr>
        <w:jc w:val="center"/>
        <w:spacing w:before="0" w:after="40"/>
      </w:pPr>
      <w:r>
        <w:rPr>
          <w:b/>
          <w:bCs/>
          <w:sz w:val="32"/>
          <w:szCs w:val="32"/>
        </w:rPr>
        <w:t xml:space="preserve">EXHIBIT I</w:t>
      </w:r>
    </w:p>
    <w:p>
      <w:pPr>
        <w:jc w:val="center"/>
        <w:spacing w:before="0" w:after="160"/>
      </w:pPr>
      <w:r>
        <w:rPr>
          <w:b/>
          <w:bCs/>
          <w:sz w:val="26"/>
          <w:szCs w:val="26"/>
        </w:rPr>
        <w:t xml:space="preserve">Utah-Specific Provisions</w:t>
      </w:r>
    </w:p>
    <w:p>
      <w:pPr>
        <w:spacing w:before="0" w:after="120"/>
      </w:pPr>
      <w:r>
        <w:rPr>
          <w:b/>
          <w:bCs/>
        </w:rPr>
        <w:t xml:space="preserve">I.1   Governing Law. </w:t>
      </w:r>
      <w:r>
        <w:t xml:space="preserve">Utah law governs. The State of Utah does not impose a state sales or rent tax on commercial real property rent as of the Effective Date; if any such tax is later imposed and required to be paid by tenants, Tenant shall pay such tax on Rent payable under this Lease.</w:t>
      </w:r>
    </w:p>
    <w:p>
      <w:pPr>
        <w:spacing w:before="0" w:after="120"/>
      </w:pPr>
      <w:r>
        <w:rPr>
          <w:b/>
          <w:bCs/>
        </w:rPr>
        <w:t xml:space="preserve">I.2   Mechanics' Liens. </w:t>
      </w:r>
      <w:r>
        <w:t xml:space="preserve">Tenant shall keep the Property free from any mechanics', materialmen's, or similar liens arising out of Tenant's work. Tenant shall cause any such lien to be released or bonded within thirty (30) days after notice or filing in accordance with Utah Code §38-1a et seq. Landlord may post and maintain on the Property notices of non-responsibility as permitted by Utah law.</w:t>
      </w:r>
    </w:p>
    <w:p>
      <w:pPr>
        <w:spacing w:before="0" w:after="120"/>
      </w:pPr>
      <w:r>
        <w:rPr>
          <w:b/>
          <w:bCs/>
        </w:rPr>
        <w:t xml:space="preserve">I.3   Stormwater (UPDES). </w:t>
      </w:r>
      <w:r>
        <w:t xml:space="preserve">Tenant shall comply with the Utah Pollutant Discharge Elimination System ("UPDES") Multi-Sector General Permit for industrial stormwater (MSGP) and obtain coverage as required. Tenant shall implement and maintain a Stormwater Pollution Prevention Plan (SWPPP) and provide a copy to Landlord on request.</w:t>
      </w:r>
    </w:p>
    <w:p>
      <w:pPr>
        <w:spacing w:before="0" w:after="120"/>
      </w:pPr>
      <w:r>
        <w:rPr>
          <w:b/>
          <w:bCs/>
        </w:rPr>
        <w:t xml:space="preserve">I.4   Air Quality / Idling. </w:t>
      </w:r>
      <w:r>
        <w:t xml:space="preserve">Tenant shall comply with Utah Division of Air Quality rules, including the truck and equipment idling restrictions applicable to the Wasatch Front nonattainment area.</w:t>
      </w:r>
    </w:p>
    <w:p>
      <w:pPr>
        <w:spacing w:before="0" w:after="120"/>
      </w:pPr>
      <w:r>
        <w:rPr>
          <w:b/>
          <w:bCs/>
        </w:rPr>
        <w:t xml:space="preserve">I.5   Snow and Ice. </w:t>
      </w:r>
      <w:r>
        <w:t xml:space="preserve">Snow and ice removal in parking areas, driveways, sidewalks, and points of entry is Tenant's responsibility under Section 15.1, in accordance with Clearfield City ordinances.</w:t>
      </w:r>
    </w:p>
    <w:p>
      <w:pPr>
        <w:spacing w:before="0" w:after="120"/>
      </w:pPr>
      <w:r>
        <w:rPr>
          <w:b/>
          <w:bCs/>
        </w:rPr>
        <w:t xml:space="preserve">I.6   Broker Disclosure. </w:t>
      </w:r>
      <w:r>
        <w:t xml:space="preserve">Tenant Broker represents Tenant; Landlord Broker (Beehive Realty Trust, LLC, in-house) represents Landlord, consistent with the agency disclosures of the Utah Division of Real Estate.</w:t>
      </w:r>
    </w:p>
    <w:p>
      <w:pPr>
        <w:spacing w:before="0" w:after="120"/>
      </w:pPr>
      <w:r>
        <w:rPr>
          <w:b/>
          <w:bCs/>
        </w:rPr>
        <w:t xml:space="preserve">I.7   Accessibility (ADA / Utah). </w:t>
      </w:r>
      <w:r>
        <w:t xml:space="preserve">Tenant shall be responsible for ADA and Utah accessibility compliance with respect to its operations, alterations, and the interior of the Premises. Landlord shall be responsible for accessibility of any portions of the Property remaining under Landlord's direct control.</w:t>
      </w:r>
    </w:p>
    <w:p>
      <w:pPr>
        <w:spacing w:before="0" w:after="120"/>
      </w:pPr>
      <w:r>
        <w:rPr>
          <w:b/>
          <w:bCs/>
        </w:rPr>
        <w:t xml:space="preserve">I.8   Service of Process. </w:t>
      </w:r>
      <w:r>
        <w:t xml:space="preserve">Tenant consents to service of process by certified mail at the Tenant Notice Address in any action arising out of this Lease.</w:t>
      </w:r>
    </w:p>
    <w:p>
      <w:r>
        <w:br w:type="page"/>
      </w:r>
    </w:p>
    <w:p>
      <w:pPr>
        <w:jc w:val="center"/>
        <w:spacing w:before="0" w:after="40"/>
      </w:pPr>
      <w:r>
        <w:rPr>
          <w:b/>
          <w:bCs/>
          <w:sz w:val="32"/>
          <w:szCs w:val="32"/>
        </w:rPr>
        <w:t xml:space="preserve">EXHIBIT J</w:t>
      </w:r>
    </w:p>
    <w:p>
      <w:pPr>
        <w:jc w:val="center"/>
        <w:spacing w:before="0" w:after="160"/>
      </w:pPr>
      <w:r>
        <w:rPr>
          <w:b/>
          <w:bCs/>
          <w:sz w:val="26"/>
          <w:szCs w:val="26"/>
        </w:rPr>
        <w:t xml:space="preserve">Outside Storage and Yard</w:t>
      </w:r>
    </w:p>
    <w:p>
      <w:pPr>
        <w:spacing w:before="0" w:after="120"/>
      </w:pPr>
      <w:r>
        <w:rPr>
          <w:b/>
          <w:bCs/>
        </w:rPr>
        <w:t xml:space="preserve">J.1   Permitted Area. </w:t>
      </w:r>
      <w:r>
        <w:t xml:space="preserve">Outside storage is permitted only within the fenced yard depicted on Exhibit A. No outside storage of any kind is permitted outside of the fenced yard.</w:t>
      </w:r>
    </w:p>
    <w:p>
      <w:pPr>
        <w:spacing w:before="0" w:after="120"/>
      </w:pPr>
      <w:r>
        <w:rPr>
          <w:b/>
          <w:bCs/>
        </w:rPr>
        <w:t xml:space="preserve">J.2   Permitted Items. </w:t>
      </w:r>
      <w:r>
        <w:t xml:space="preserve">Within the fenced yard, Tenant may stage and store: (a) sealed, weather-rated 20-foot and 40-foot ISO shipping containers for inbound/outbound inventory; (b) trailers (loaded and unloaded) at the designated trailer stalls (eight (8) stalls); (c) covered/lidded waste, recycling, and cardboard balers; and (d) two (2) above-ground propane tanks (each not exceeding 100 gallons) for forklift fueling, in compliance with NFPA 58.</w:t>
      </w:r>
    </w:p>
    <w:p>
      <w:pPr>
        <w:spacing w:before="0" w:after="120"/>
      </w:pPr>
      <w:r>
        <w:rPr>
          <w:b/>
          <w:bCs/>
        </w:rPr>
        <w:t xml:space="preserve">J.3   Prohibited Items. </w:t>
      </w:r>
      <w:r>
        <w:t xml:space="preserve">No outside storage of: open-top dumpsters of mixed waste; raw materials, finished goods, or work-in-process exposed to weather; hazardous waste accumulation in containers larger than 55 gallons (other than the propane tanks above); unsealed totes or drums; abandoned vehicles or equipment; or pallets stacked higher than the top of the fence.</w:t>
      </w:r>
    </w:p>
    <w:p>
      <w:pPr>
        <w:spacing w:before="0" w:after="120"/>
      </w:pPr>
      <w:r>
        <w:rPr>
          <w:b/>
          <w:bCs/>
        </w:rPr>
        <w:t xml:space="preserve">J.4   Height and Visibility. </w:t>
      </w:r>
      <w:r>
        <w:t xml:space="preserve">Stacked items shall not exceed the height of the fenced yard's perimeter screening (eight (8) feet). Items shall not be visible above the screening from South Depot Crossing or adjacent properties.</w:t>
      </w:r>
    </w:p>
    <w:p>
      <w:pPr>
        <w:spacing w:before="0" w:after="120"/>
      </w:pPr>
      <w:r>
        <w:rPr>
          <w:b/>
          <w:bCs/>
        </w:rPr>
        <w:t xml:space="preserve">J.5   Housekeeping. </w:t>
      </w:r>
      <w:r>
        <w:t xml:space="preserve">Tenant shall keep the yard clean and orderly, free of litter, leaks, and pest harborage. Spill kits appropriate to the materials present shall be maintained on site.</w:t>
      </w:r>
    </w:p>
    <w:p>
      <w:pPr>
        <w:spacing w:before="0" w:after="120"/>
      </w:pPr>
      <w:r>
        <w:rPr>
          <w:b/>
          <w:bCs/>
        </w:rPr>
        <w:t xml:space="preserve">J.6   Fence, Gate, Lighting. </w:t>
      </w:r>
      <w:r>
        <w:t xml:space="preserve">Tenant shall maintain the fence, gates, gate operators, and yard lighting in good working order. Modifications require Landlord's prior written consent.</w:t>
      </w:r>
    </w:p>
    <w:p>
      <w:pPr>
        <w:spacing w:before="0" w:after="120"/>
      </w:pPr>
      <w:r>
        <w:rPr>
          <w:b/>
          <w:bCs/>
        </w:rPr>
        <w:t xml:space="preserve">J.7   City Approvals. </w:t>
      </w:r>
      <w:r>
        <w:t xml:space="preserve">Tenant shall obtain and maintain any conditional-use permits, fire-marshal approvals, and other municipal approvals required by Clearfield City for the activities and quantities described above.</w:t>
      </w:r>
    </w:p>
    <w:p>
      <w:r>
        <w:br w:type="page"/>
      </w:r>
    </w:p>
    <w:p>
      <w:pPr>
        <w:jc w:val="center"/>
        <w:spacing w:before="0" w:after="40"/>
      </w:pPr>
      <w:r>
        <w:rPr>
          <w:b/>
          <w:bCs/>
          <w:sz w:val="32"/>
          <w:szCs w:val="32"/>
        </w:rPr>
        <w:t xml:space="preserve">EXHIBIT K</w:t>
      </w:r>
    </w:p>
    <w:p>
      <w:pPr>
        <w:jc w:val="center"/>
        <w:spacing w:before="0" w:after="160"/>
      </w:pPr>
      <w:r>
        <w:rPr>
          <w:b/>
          <w:bCs/>
          <w:sz w:val="26"/>
          <w:szCs w:val="26"/>
        </w:rPr>
        <w:t xml:space="preserve">Environmental Disclosure Schedule</w:t>
      </w:r>
    </w:p>
    <w:p>
      <w:pPr>
        <w:spacing w:before="0" w:after="120"/>
      </w:pPr>
      <w:r>
        <w:t xml:space="preserve">Tenant has completed the following disclosure under Article 9. Tenant shall update this disclosure on each anniversary of the Commencement Date and within thirty (30) days of any material change in Tenant's operations.</w:t>
      </w:r>
    </w:p>
    <w:p>
      <w:pPr>
        <w:spacing w:before="0" w:after="120"/>
      </w:pPr>
      <w:r>
        <w:rPr>
          <w:b/>
          <w:bCs/>
        </w:rPr>
        <w:t xml:space="preserve">Regulatory Status.</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4000"/>
        <w:gridCol w:w="5500"/>
      </w:tblGrid>
      <w:tr>
        <w:tc>
          <w:tcPr>
            <w:tcW w:w="4000" w:type="dxa"/>
            <w:shd w:val="clear" w:color="auto" w:fill="E5E7EB"/>
          </w:tcPr>
          <w:p>
            <w:pPr>
              <w:spacing w:before="0" w:after="60"/>
            </w:pPr>
            <w:r>
              <w:rPr>
                <w:b/>
                <w:bCs/>
              </w:rPr>
              <w:t xml:space="preserve">Program / Status</w:t>
            </w:r>
          </w:p>
        </w:tc>
        <w:tc>
          <w:tcPr>
            <w:tcW w:w="5500" w:type="dxa"/>
            <w:shd w:val="clear" w:color="auto" w:fill="E5E7EB"/>
          </w:tcPr>
          <w:p>
            <w:pPr>
              <w:spacing w:before="0" w:after="60"/>
            </w:pPr>
            <w:r>
              <w:rPr>
                <w:b/>
                <w:bCs/>
              </w:rPr>
              <w:t xml:space="preserve">Tenant Status</w:t>
            </w:r>
          </w:p>
        </w:tc>
      </w:tr>
      <w:tr>
        <w:tc>
          <w:tcPr>
            <w:tcW w:w="4000" w:type="dxa"/>
          </w:tcPr>
          <w:p>
            <w:pPr>
              <w:spacing w:before="0" w:after="60"/>
            </w:pPr>
            <w:r>
              <w:t xml:space="preserve">EPA Hazardous Waste Generator ID</w:t>
            </w:r>
          </w:p>
        </w:tc>
        <w:tc>
          <w:tcPr>
            <w:tcW w:w="5500" w:type="dxa"/>
          </w:tcPr>
          <w:p>
            <w:pPr>
              <w:spacing w:before="0" w:after="60"/>
            </w:pPr>
            <w:r>
              <w:t xml:space="preserve">Yes — Small Quantity Generator (SQG); UT EPA ID pending issuance prior to Commencement Date.</w:t>
            </w:r>
          </w:p>
        </w:tc>
      </w:tr>
      <w:tr>
        <w:tc>
          <w:tcPr>
            <w:tcW w:w="4000" w:type="dxa"/>
          </w:tcPr>
          <w:p>
            <w:pPr>
              <w:spacing w:before="0" w:after="60"/>
            </w:pPr>
            <w:r>
              <w:t xml:space="preserve">SARA Title III §312 (Tier II) reporting</w:t>
            </w:r>
          </w:p>
        </w:tc>
        <w:tc>
          <w:tcPr>
            <w:tcW w:w="5500" w:type="dxa"/>
          </w:tcPr>
          <w:p>
            <w:pPr>
              <w:spacing w:before="0" w:after="60"/>
            </w:pPr>
            <w:r>
              <w:t xml:space="preserve">Yes — propane (forklift) and limited adhesive/coating inventories exceed reporting thresholds.</w:t>
            </w:r>
          </w:p>
        </w:tc>
      </w:tr>
      <w:tr>
        <w:tc>
          <w:tcPr>
            <w:tcW w:w="4000" w:type="dxa"/>
          </w:tcPr>
          <w:p>
            <w:pPr>
              <w:spacing w:before="0" w:after="60"/>
            </w:pPr>
            <w:r>
              <w:t xml:space="preserve">SARA Title III §313 (TRI) reporting</w:t>
            </w:r>
          </w:p>
        </w:tc>
        <w:tc>
          <w:tcPr>
            <w:tcW w:w="5500" w:type="dxa"/>
          </w:tcPr>
          <w:p>
            <w:pPr>
              <w:spacing w:before="0" w:after="60"/>
            </w:pPr>
            <w:r>
              <w:t xml:space="preserve">No — operations below threshold quantities.</w:t>
            </w:r>
          </w:p>
        </w:tc>
      </w:tr>
      <w:tr>
        <w:tc>
          <w:tcPr>
            <w:tcW w:w="4000" w:type="dxa"/>
          </w:tcPr>
          <w:p>
            <w:pPr>
              <w:spacing w:before="0" w:after="60"/>
            </w:pPr>
            <w:r>
              <w:t xml:space="preserve">UPDES Stormwater (industrial)</w:t>
            </w:r>
          </w:p>
        </w:tc>
        <w:tc>
          <w:tcPr>
            <w:tcW w:w="5500" w:type="dxa"/>
          </w:tcPr>
          <w:p>
            <w:pPr>
              <w:spacing w:before="0" w:after="60"/>
            </w:pPr>
            <w:r>
              <w:t xml:space="preserve">Yes — coverage under the Multi-Sector General Permit (MSGP) to be obtained prior to Commencement Date.</w:t>
            </w:r>
          </w:p>
        </w:tc>
      </w:tr>
      <w:tr>
        <w:tc>
          <w:tcPr>
            <w:tcW w:w="4000" w:type="dxa"/>
          </w:tcPr>
          <w:p>
            <w:pPr>
              <w:spacing w:before="0" w:after="60"/>
            </w:pPr>
            <w:r>
              <w:t xml:space="preserve">Air-Quality Permits</w:t>
            </w:r>
          </w:p>
        </w:tc>
        <w:tc>
          <w:tcPr>
            <w:tcW w:w="5500" w:type="dxa"/>
          </w:tcPr>
          <w:p>
            <w:pPr>
              <w:spacing w:before="0" w:after="60"/>
            </w:pPr>
            <w:r>
              <w:t xml:space="preserve">Approval Order or Notice of Intent under Utah Division of Air Quality R307-401 to be obtained for coating and dyeing operations.</w:t>
            </w:r>
          </w:p>
        </w:tc>
      </w:tr>
      <w:tr>
        <w:tc>
          <w:tcPr>
            <w:tcW w:w="4000" w:type="dxa"/>
          </w:tcPr>
          <w:p>
            <w:pPr>
              <w:spacing w:before="0" w:after="60"/>
            </w:pPr>
            <w:r>
              <w:t xml:space="preserve">USTs / ASTs</w:t>
            </w:r>
          </w:p>
        </w:tc>
        <w:tc>
          <w:tcPr>
            <w:tcW w:w="5500" w:type="dxa"/>
          </w:tcPr>
          <w:p>
            <w:pPr>
              <w:spacing w:before="0" w:after="60"/>
            </w:pPr>
            <w:r>
              <w:t xml:space="preserve">Two (2) ASTs (propane, 100 gallons each). No USTs.</w:t>
            </w:r>
          </w:p>
        </w:tc>
      </w:tr>
    </w:tbl>
    <w:p>
      <w:pPr>
        <w:spacing w:before="0" w:after="80"/>
      </w:pPr>
    </w:p>
    <w:p>
      <w:pPr>
        <w:spacing w:before="0" w:after="120"/>
      </w:pPr>
      <w:r>
        <w:rPr>
          <w:b/>
          <w:bCs/>
        </w:rPr>
        <w:t xml:space="preserve">Materials Inventory (annual estimates).</w:t>
      </w:r>
    </w:p>
    <w:tbl>
      <w:tblPr>
        <w:tblW w:w="100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2700"/>
        <w:gridCol w:w="2200"/>
        <w:gridCol w:w="3000"/>
        <w:gridCol w:w="2100"/>
      </w:tblGrid>
      <w:tr>
        <w:tc>
          <w:tcPr>
            <w:tcW w:w="2700" w:type="dxa"/>
            <w:shd w:val="clear" w:color="auto" w:fill="E5E7EB"/>
          </w:tcPr>
          <w:p>
            <w:pPr>
              <w:spacing w:before="0" w:after="60"/>
            </w:pPr>
            <w:r>
              <w:rPr>
                <w:b/>
                <w:bCs/>
              </w:rPr>
              <w:t xml:space="preserve">Material</w:t>
            </w:r>
          </w:p>
        </w:tc>
        <w:tc>
          <w:tcPr>
            <w:tcW w:w="2200" w:type="dxa"/>
            <w:shd w:val="clear" w:color="auto" w:fill="E5E7EB"/>
          </w:tcPr>
          <w:p>
            <w:pPr>
              <w:spacing w:before="0" w:after="60"/>
            </w:pPr>
            <w:r>
              <w:rPr>
                <w:b/>
                <w:bCs/>
              </w:rPr>
              <w:t xml:space="preserve">Approx. Annual Quantity</w:t>
            </w:r>
          </w:p>
        </w:tc>
        <w:tc>
          <w:tcPr>
            <w:tcW w:w="3000" w:type="dxa"/>
            <w:shd w:val="clear" w:color="auto" w:fill="E5E7EB"/>
          </w:tcPr>
          <w:p>
            <w:pPr>
              <w:spacing w:before="0" w:after="60"/>
            </w:pPr>
            <w:r>
              <w:rPr>
                <w:b/>
                <w:bCs/>
              </w:rPr>
              <w:t xml:space="preserve">Storage</w:t>
            </w:r>
          </w:p>
        </w:tc>
        <w:tc>
          <w:tcPr>
            <w:tcW w:w="2100" w:type="dxa"/>
            <w:shd w:val="clear" w:color="auto" w:fill="E5E7EB"/>
          </w:tcPr>
          <w:p>
            <w:pPr>
              <w:spacing w:before="0" w:after="60"/>
            </w:pPr>
            <w:r>
              <w:rPr>
                <w:b/>
                <w:bCs/>
              </w:rPr>
              <w:t xml:space="preserve">Compliance / Permits</w:t>
            </w:r>
          </w:p>
        </w:tc>
      </w:tr>
      <w:tr>
        <w:tc>
          <w:tcPr>
            <w:tcW w:w="2700" w:type="dxa"/>
          </w:tcPr>
          <w:p>
            <w:pPr>
              <w:spacing w:before="0" w:after="60"/>
            </w:pPr>
            <w:r>
              <w:t xml:space="preserve">Adhesives (water-based)</w:t>
            </w:r>
          </w:p>
        </w:tc>
        <w:tc>
          <w:tcPr>
            <w:tcW w:w="2200" w:type="dxa"/>
          </w:tcPr>
          <w:p>
            <w:pPr>
              <w:spacing w:before="0" w:after="60"/>
            </w:pPr>
            <w:r>
              <w:t xml:space="preserve">~120 gallons</w:t>
            </w:r>
          </w:p>
        </w:tc>
        <w:tc>
          <w:tcPr>
            <w:tcW w:w="3000" w:type="dxa"/>
          </w:tcPr>
          <w:p>
            <w:pPr>
              <w:spacing w:before="0" w:after="60"/>
            </w:pPr>
            <w:r>
              <w:t xml:space="preserve">Sealed 5-gal pails in chemical cabinet</w:t>
            </w:r>
          </w:p>
        </w:tc>
        <w:tc>
          <w:tcPr>
            <w:tcW w:w="2100" w:type="dxa"/>
          </w:tcPr>
          <w:p>
            <w:pPr>
              <w:spacing w:before="0" w:after="60"/>
            </w:pPr>
            <w:r>
              <w:t xml:space="preserve">SDS on file; OSHA HazCom</w:t>
            </w:r>
          </w:p>
        </w:tc>
      </w:tr>
      <w:tr>
        <w:tc>
          <w:tcPr>
            <w:tcW w:w="2700" w:type="dxa"/>
          </w:tcPr>
          <w:p>
            <w:pPr>
              <w:spacing w:before="0" w:after="60"/>
            </w:pPr>
            <w:r>
              <w:t xml:space="preserve">Adhesives (solvent-based)</w:t>
            </w:r>
          </w:p>
        </w:tc>
        <w:tc>
          <w:tcPr>
            <w:tcW w:w="2200" w:type="dxa"/>
          </w:tcPr>
          <w:p>
            <w:pPr>
              <w:spacing w:before="0" w:after="60"/>
            </w:pPr>
            <w:r>
              <w:t xml:space="preserve">~60 gallons</w:t>
            </w:r>
          </w:p>
        </w:tc>
        <w:tc>
          <w:tcPr>
            <w:tcW w:w="3000" w:type="dxa"/>
          </w:tcPr>
          <w:p>
            <w:pPr>
              <w:spacing w:before="0" w:after="60"/>
            </w:pPr>
            <w:r>
              <w:t xml:space="preserve">Flammable storage cabinet (FM-approved)</w:t>
            </w:r>
          </w:p>
        </w:tc>
        <w:tc>
          <w:tcPr>
            <w:tcW w:w="2100" w:type="dxa"/>
          </w:tcPr>
          <w:p>
            <w:pPr>
              <w:spacing w:before="0" w:after="60"/>
            </w:pPr>
            <w:r>
              <w:t xml:space="preserve">Fire code; OSHA HazCom</w:t>
            </w:r>
          </w:p>
        </w:tc>
      </w:tr>
      <w:tr>
        <w:tc>
          <w:tcPr>
            <w:tcW w:w="2700" w:type="dxa"/>
          </w:tcPr>
          <w:p>
            <w:pPr>
              <w:spacing w:before="0" w:after="60"/>
            </w:pPr>
            <w:r>
              <w:t xml:space="preserve">Dyes and pigments</w:t>
            </w:r>
          </w:p>
        </w:tc>
        <w:tc>
          <w:tcPr>
            <w:tcW w:w="2200" w:type="dxa"/>
          </w:tcPr>
          <w:p>
            <w:pPr>
              <w:spacing w:before="0" w:after="60"/>
            </w:pPr>
            <w:r>
              <w:t xml:space="preserve">~250 lbs (dry); ~30 gallons (liquid)</w:t>
            </w:r>
          </w:p>
        </w:tc>
        <w:tc>
          <w:tcPr>
            <w:tcW w:w="3000" w:type="dxa"/>
          </w:tcPr>
          <w:p>
            <w:pPr>
              <w:spacing w:before="0" w:after="60"/>
            </w:pPr>
            <w:r>
              <w:t xml:space="preserve">Labeled drums and totes inside Building</w:t>
            </w:r>
          </w:p>
        </w:tc>
        <w:tc>
          <w:tcPr>
            <w:tcW w:w="2100" w:type="dxa"/>
          </w:tcPr>
          <w:p>
            <w:pPr>
              <w:spacing w:before="0" w:after="60"/>
            </w:pPr>
            <w:r>
              <w:t xml:space="preserve">SDS on file</w:t>
            </w:r>
          </w:p>
        </w:tc>
      </w:tr>
      <w:tr>
        <w:tc>
          <w:tcPr>
            <w:tcW w:w="2700" w:type="dxa"/>
          </w:tcPr>
          <w:p>
            <w:pPr>
              <w:spacing w:before="0" w:after="60"/>
            </w:pPr>
            <w:r>
              <w:t xml:space="preserve">Coatings / sealants</w:t>
            </w:r>
          </w:p>
        </w:tc>
        <w:tc>
          <w:tcPr>
            <w:tcW w:w="2200" w:type="dxa"/>
          </w:tcPr>
          <w:p>
            <w:pPr>
              <w:spacing w:before="0" w:after="60"/>
            </w:pPr>
            <w:r>
              <w:t xml:space="preserve">~60 gallons</w:t>
            </w:r>
          </w:p>
        </w:tc>
        <w:tc>
          <w:tcPr>
            <w:tcW w:w="3000" w:type="dxa"/>
          </w:tcPr>
          <w:p>
            <w:pPr>
              <w:spacing w:before="0" w:after="60"/>
            </w:pPr>
            <w:r>
              <w:t xml:space="preserve">Flammable storage cabinet</w:t>
            </w:r>
          </w:p>
        </w:tc>
        <w:tc>
          <w:tcPr>
            <w:tcW w:w="2100" w:type="dxa"/>
          </w:tcPr>
          <w:p>
            <w:pPr>
              <w:spacing w:before="0" w:after="60"/>
            </w:pPr>
            <w:r>
              <w:t xml:space="preserve">Fire code; air quality if VOC threshold exceeded</w:t>
            </w:r>
          </w:p>
        </w:tc>
      </w:tr>
      <w:tr>
        <w:tc>
          <w:tcPr>
            <w:tcW w:w="2700" w:type="dxa"/>
          </w:tcPr>
          <w:p>
            <w:pPr>
              <w:spacing w:before="0" w:after="60"/>
            </w:pPr>
            <w:r>
              <w:t xml:space="preserve">Lithium-ion battery packs (product test)</w:t>
            </w:r>
          </w:p>
        </w:tc>
        <w:tc>
          <w:tcPr>
            <w:tcW w:w="2200" w:type="dxa"/>
          </w:tcPr>
          <w:p>
            <w:pPr>
              <w:spacing w:before="0" w:after="60"/>
            </w:pPr>
            <w:r>
              <w:t xml:space="preserve">~150 units rotating</w:t>
            </w:r>
          </w:p>
        </w:tc>
        <w:tc>
          <w:tcPr>
            <w:tcW w:w="3000" w:type="dxa"/>
          </w:tcPr>
          <w:p>
            <w:pPr>
              <w:spacing w:before="0" w:after="60"/>
            </w:pPr>
            <w:r>
              <w:t xml:space="preserve">Battery-test enclosure with thermal controls</w:t>
            </w:r>
          </w:p>
        </w:tc>
        <w:tc>
          <w:tcPr>
            <w:tcW w:w="2100" w:type="dxa"/>
          </w:tcPr>
          <w:p>
            <w:pPr>
              <w:spacing w:before="0" w:after="60"/>
            </w:pPr>
            <w:r>
              <w:t xml:space="preserve">NFPA 855; UL 9540A coordination</w:t>
            </w:r>
          </w:p>
        </w:tc>
      </w:tr>
      <w:tr>
        <w:tc>
          <w:tcPr>
            <w:tcW w:w="2700" w:type="dxa"/>
          </w:tcPr>
          <w:p>
            <w:pPr>
              <w:spacing w:before="0" w:after="60"/>
            </w:pPr>
            <w:r>
              <w:t xml:space="preserve">Propane (forklift fueling)</w:t>
            </w:r>
          </w:p>
        </w:tc>
        <w:tc>
          <w:tcPr>
            <w:tcW w:w="2200" w:type="dxa"/>
          </w:tcPr>
          <w:p>
            <w:pPr>
              <w:spacing w:before="0" w:after="60"/>
            </w:pPr>
            <w:r>
              <w:t xml:space="preserve">2 × 100-gal ASTs</w:t>
            </w:r>
          </w:p>
        </w:tc>
        <w:tc>
          <w:tcPr>
            <w:tcW w:w="3000" w:type="dxa"/>
          </w:tcPr>
          <w:p>
            <w:pPr>
              <w:spacing w:before="0" w:after="60"/>
            </w:pPr>
            <w:r>
              <w:t xml:space="preserve">Yard, NFPA 58 compliant</w:t>
            </w:r>
          </w:p>
        </w:tc>
        <w:tc>
          <w:tcPr>
            <w:tcW w:w="2100" w:type="dxa"/>
          </w:tcPr>
          <w:p>
            <w:pPr>
              <w:spacing w:before="0" w:after="60"/>
            </w:pPr>
            <w:r>
              <w:t xml:space="preserve">Tier II reporting; AHJ permit</w:t>
            </w:r>
          </w:p>
        </w:tc>
      </w:tr>
      <w:tr>
        <w:tc>
          <w:tcPr>
            <w:tcW w:w="2700" w:type="dxa"/>
          </w:tcPr>
          <w:p>
            <w:pPr>
              <w:spacing w:before="0" w:after="60"/>
            </w:pPr>
            <w:r>
              <w:t xml:space="preserve">Compressed gases (small cylinders)</w:t>
            </w:r>
          </w:p>
        </w:tc>
        <w:tc>
          <w:tcPr>
            <w:tcW w:w="2200" w:type="dxa"/>
          </w:tcPr>
          <w:p>
            <w:pPr>
              <w:spacing w:before="0" w:after="60"/>
            </w:pPr>
            <w:r>
              <w:t xml:space="preserve">As needed (≤ 20 cyl on site)</w:t>
            </w:r>
          </w:p>
        </w:tc>
        <w:tc>
          <w:tcPr>
            <w:tcW w:w="3000" w:type="dxa"/>
          </w:tcPr>
          <w:p>
            <w:pPr>
              <w:spacing w:before="0" w:after="60"/>
            </w:pPr>
            <w:r>
              <w:t xml:space="preserve">Vented chemical cabinet, chained</w:t>
            </w:r>
          </w:p>
        </w:tc>
        <w:tc>
          <w:tcPr>
            <w:tcW w:w="2100" w:type="dxa"/>
          </w:tcPr>
          <w:p>
            <w:pPr>
              <w:spacing w:before="0" w:after="60"/>
            </w:pPr>
            <w:r>
              <w:t xml:space="preserve">Fire code</w:t>
            </w:r>
          </w:p>
        </w:tc>
      </w:tr>
      <w:tr>
        <w:tc>
          <w:tcPr>
            <w:tcW w:w="2700" w:type="dxa"/>
          </w:tcPr>
          <w:p>
            <w:pPr>
              <w:spacing w:before="0" w:after="60"/>
            </w:pPr>
            <w:r>
              <w:t xml:space="preserve">Used oils / solvents (waste)</w:t>
            </w:r>
          </w:p>
        </w:tc>
        <w:tc>
          <w:tcPr>
            <w:tcW w:w="2200" w:type="dxa"/>
          </w:tcPr>
          <w:p>
            <w:pPr>
              <w:spacing w:before="0" w:after="60"/>
            </w:pPr>
            <w:r>
              <w:t xml:space="preserve">≤ 55-gal drum at a time</w:t>
            </w:r>
          </w:p>
        </w:tc>
        <w:tc>
          <w:tcPr>
            <w:tcW w:w="3000" w:type="dxa"/>
          </w:tcPr>
          <w:p>
            <w:pPr>
              <w:spacing w:before="0" w:after="60"/>
            </w:pPr>
            <w:r>
              <w:t xml:space="preserve">Indoor accumulation area; off-site disposal monthly</w:t>
            </w:r>
          </w:p>
        </w:tc>
        <w:tc>
          <w:tcPr>
            <w:tcW w:w="2100" w:type="dxa"/>
          </w:tcPr>
          <w:p>
            <w:pPr>
              <w:spacing w:before="0" w:after="60"/>
            </w:pPr>
            <w:r>
              <w:t xml:space="preserve">RCRA SQG</w:t>
            </w:r>
          </w:p>
        </w:tc>
      </w:tr>
      <w:tr>
        <w:tc>
          <w:tcPr>
            <w:tcW w:w="2700" w:type="dxa"/>
          </w:tcPr>
          <w:p>
            <w:pPr>
              <w:spacing w:before="0" w:after="60"/>
            </w:pPr>
            <w:r>
              <w:t xml:space="preserve">Universal waste (batteries, bulbs)</w:t>
            </w:r>
          </w:p>
        </w:tc>
        <w:tc>
          <w:tcPr>
            <w:tcW w:w="2200" w:type="dxa"/>
          </w:tcPr>
          <w:p>
            <w:pPr>
              <w:spacing w:before="0" w:after="60"/>
            </w:pPr>
            <w:r>
              <w:t xml:space="preserve">As generated</w:t>
            </w:r>
          </w:p>
        </w:tc>
        <w:tc>
          <w:tcPr>
            <w:tcW w:w="3000" w:type="dxa"/>
          </w:tcPr>
          <w:p>
            <w:pPr>
              <w:spacing w:before="0" w:after="60"/>
            </w:pPr>
            <w:r>
              <w:t xml:space="preserve">Labeled containers in central area</w:t>
            </w:r>
          </w:p>
        </w:tc>
        <w:tc>
          <w:tcPr>
            <w:tcW w:w="2100" w:type="dxa"/>
          </w:tcPr>
          <w:p>
            <w:pPr>
              <w:spacing w:before="0" w:after="60"/>
            </w:pPr>
            <w:r>
              <w:t xml:space="preserve">RCRA universal-waste rules</w:t>
            </w:r>
          </w:p>
        </w:tc>
      </w:tr>
    </w:tbl>
    <w:p>
      <w:pPr>
        <w:spacing w:before="0" w:after="80"/>
      </w:pPr>
    </w:p>
    <w:p>
      <w:pPr>
        <w:spacing w:before="0" w:after="120"/>
      </w:pPr>
      <w:r>
        <w:rPr>
          <w:b/>
          <w:bCs/>
        </w:rPr>
        <w:t xml:space="preserve">Acknowledgment. </w:t>
      </w:r>
      <w:r>
        <w:t xml:space="preserve">Tenant represents that, to its knowledge and giving effect to the permits and controls described above, its operations as of the Effective Date will be conducted in compliance with applicable Environmental Laws.</w:t>
      </w:r>
    </w:p>
    <w:p>
      <w:r>
        <w:br w:type="page"/>
      </w:r>
    </w:p>
    <w:p>
      <w:pPr>
        <w:jc w:val="center"/>
        <w:spacing w:before="0" w:after="40"/>
      </w:pPr>
      <w:r>
        <w:rPr>
          <w:b/>
          <w:bCs/>
          <w:sz w:val="32"/>
          <w:szCs w:val="32"/>
        </w:rPr>
        <w:t xml:space="preserve">APPENDIX 1</w:t>
      </w:r>
    </w:p>
    <w:p>
      <w:pPr>
        <w:jc w:val="center"/>
        <w:spacing w:before="0" w:after="160"/>
      </w:pPr>
      <w:r>
        <w:rPr>
          <w:b/>
          <w:bCs/>
          <w:sz w:val="26"/>
          <w:szCs w:val="26"/>
        </w:rPr>
        <w:t xml:space="preserve">Deal Summary and Drafting Notes</w:t>
      </w:r>
    </w:p>
    <w:p>
      <w:pPr>
        <w:spacing w:before="0" w:after="120"/>
      </w:pPr>
      <w:r>
        <w:rPr>
          <w:b/>
          <w:bCs/>
          <w:sz w:val="24"/>
          <w:szCs w:val="24"/>
        </w:rPr>
        <w:t xml:space="preserve">Description. </w:t>
      </w:r>
    </w:p>
    <w:p>
      <w:pPr>
        <w:spacing w:before="0" w:after="120"/>
      </w:pPr>
      <w:r>
        <w:t xml:space="preserve">This Lease is a seven-year, single-tenant, triple-net industrial/flex lease for the entire 32,400 RSF Building at 870 South Depot Crossing, Clearfield, Utah. The Tenant, Switchback Outfitters Manufacturing, LLC, is a Delaware LLC authorized to do business in Utah that manufactures and warehouses outdoor recreation equipment, with light hazardous-materials operations (adhesives, coatings, dyes, small lithium-ion battery testing, and forklift propane). The transaction includes modest Landlord Work, a $5/SF tenant improvement allowance, three months of free Base Rent, 2.75% annual escalations, an LC with burn-down, robust environmental controls, controlled outside storage in a fenced yard, and one five-year renewal at Fair Market Rent.</w:t>
      </w:r>
    </w:p>
    <w:p>
      <w:pPr>
        <w:spacing w:before="0" w:after="120"/>
      </w:pPr>
      <w:r>
        <w:rPr>
          <w:b/>
          <w:bCs/>
          <w:sz w:val="24"/>
          <w:szCs w:val="24"/>
        </w:rPr>
        <w:t xml:space="preserve">Archetype. </w:t>
      </w:r>
    </w:p>
    <w:p>
      <w:pPr>
        <w:spacing w:before="0" w:after="120"/>
      </w:pPr>
      <w:r>
        <w:t xml:space="preserve">Whole-building / single-tenant industrial lease with modest landlord work, a defined environmental module, an outside-storage exhibit, and a truck-routing exhibit consistent with Clearfield City's designated truck routes. The structure is closer to AIR CRE NNN than the multi-tenant office form.</w:t>
      </w:r>
    </w:p>
    <w:p>
      <w:pPr>
        <w:spacing w:before="0" w:after="120"/>
      </w:pPr>
      <w:r>
        <w:rPr>
          <w:b/>
          <w:bCs/>
          <w:sz w:val="24"/>
          <w:szCs w:val="24"/>
        </w:rPr>
        <w:t xml:space="preserve">Key Drafting Notes. </w:t>
      </w:r>
    </w:p>
    <w:p>
      <w:pPr>
        <w:spacing w:before="0" w:after="120"/>
      </w:pPr>
      <w:r>
        <w:t xml:space="preserve">•   Triple-net structure: Tenant pays taxes, insurance (as reimbursement), utilities (direct), and exterior maintenance. Landlord retains only structural / roof obligations.</w:t>
      </w:r>
    </w:p>
    <w:p>
      <w:pPr>
        <w:spacing w:before="0" w:after="120"/>
      </w:pPr>
      <w:r>
        <w:t xml:space="preserve">•   Three months of free Base Rent; all other charges continue during the Abatement Period.</w:t>
      </w:r>
    </w:p>
    <w:p>
      <w:pPr>
        <w:spacing w:before="0" w:after="120"/>
      </w:pPr>
      <w:r>
        <w:t xml:space="preserve">•   Letter of credit with two-step burn-down tied to no-default and tangible-net-worth tests.</w:t>
      </w:r>
    </w:p>
    <w:p>
      <w:pPr>
        <w:spacing w:before="0" w:after="120"/>
      </w:pPr>
      <w:r>
        <w:t xml:space="preserve">•   Environmental module is operationally specific: closure plan, pollution insurance, four-hour spill notice, surrender certification, and a full disclosure schedule.</w:t>
      </w:r>
    </w:p>
    <w:p>
      <w:pPr>
        <w:spacing w:before="0" w:after="120"/>
      </w:pPr>
      <w:r>
        <w:t xml:space="preserve">•   Truck routing is enforced by a dedicated exhibit (A-1), referenced in Section 5.4 and incorporated in the Rules.</w:t>
      </w:r>
    </w:p>
    <w:p>
      <w:pPr>
        <w:spacing w:before="0" w:after="120"/>
      </w:pPr>
      <w:r>
        <w:t xml:space="preserve">•   Outside storage is permitted but tightly defined by Exhibit J.</w:t>
      </w:r>
    </w:p>
    <w:p>
      <w:pPr>
        <w:spacing w:before="0" w:after="120"/>
      </w:pPr>
      <w:r>
        <w:t xml:space="preserve">•   Renewal option is at Fair Market Rent with a baseball-arbitration backstop (three-appraiser process).</w:t>
      </w:r>
    </w:p>
    <w:p>
      <w:pPr>
        <w:spacing w:before="0" w:after="120"/>
      </w:pPr>
      <w:r>
        <w:rPr>
          <w:b/>
          <w:bCs/>
          <w:sz w:val="24"/>
          <w:szCs w:val="24"/>
        </w:rPr>
        <w:t xml:space="preserve">Items Intentionally Omitted. </w:t>
      </w:r>
    </w:p>
    <w:p>
      <w:pPr>
        <w:spacing w:before="0" w:after="120"/>
      </w:pPr>
      <w:r>
        <w:t xml:space="preserve">Corporate guaranty; cash security deposit; relocation right; ROFO/ROFR; expansion option; LEED/sustainability addendum (Tenant's sustainability reporting is handled via benchmarking and the environmental exhibits); co-occupant rights; SNDA form (the SNDA is required at the time any future lender requests subordination under Section 7.1, but no template is pre-agreed).</w:t>
      </w:r>
    </w:p>
    <w:p>
      <w:pPr>
        <w:spacing w:before="0" w:after="120"/>
      </w:pPr>
      <w:r>
        <w:rPr>
          <w:b/>
          <w:bCs/>
          <w:sz w:val="24"/>
          <w:szCs w:val="24"/>
        </w:rPr>
        <w:t xml:space="preserve">Post-Execution Calendar. </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2700"/>
        <w:gridCol w:w="6800"/>
      </w:tblGrid>
      <w:tr>
        <w:tc>
          <w:tcPr>
            <w:tcW w:w="2700" w:type="dxa"/>
            <w:shd w:val="clear" w:color="auto" w:fill="E5E7EB"/>
          </w:tcPr>
          <w:p>
            <w:pPr>
              <w:spacing w:before="0" w:after="60"/>
            </w:pPr>
            <w:r>
              <w:rPr>
                <w:b/>
                <w:bCs/>
              </w:rPr>
              <w:t xml:space="preserve">Date</w:t>
            </w:r>
          </w:p>
        </w:tc>
        <w:tc>
          <w:tcPr>
            <w:tcW w:w="6800" w:type="dxa"/>
            <w:shd w:val="clear" w:color="auto" w:fill="E5E7EB"/>
          </w:tcPr>
          <w:p>
            <w:pPr>
              <w:spacing w:before="0" w:after="60"/>
            </w:pPr>
            <w:r>
              <w:rPr>
                <w:b/>
                <w:bCs/>
              </w:rPr>
              <w:t xml:space="preserve">Action</w:t>
            </w:r>
          </w:p>
        </w:tc>
      </w:tr>
      <w:tr>
        <w:tc>
          <w:tcPr>
            <w:tcW w:w="2700" w:type="dxa"/>
          </w:tcPr>
          <w:p>
            <w:pPr>
              <w:spacing w:before="0" w:after="60"/>
            </w:pPr>
            <w:r>
              <w:t xml:space="preserve">Oct 9, 2026</w:t>
            </w:r>
          </w:p>
        </w:tc>
        <w:tc>
          <w:tcPr>
            <w:tcW w:w="6800" w:type="dxa"/>
          </w:tcPr>
          <w:p>
            <w:pPr>
              <w:spacing w:before="0" w:after="60"/>
            </w:pPr>
            <w:r>
              <w:t xml:space="preserve">Lease fully executed; first payments, LC, and COIs due within 5 business days.</w:t>
            </w:r>
          </w:p>
        </w:tc>
      </w:tr>
      <w:tr>
        <w:tc>
          <w:tcPr>
            <w:tcW w:w="2700" w:type="dxa"/>
          </w:tcPr>
          <w:p>
            <w:pPr>
              <w:spacing w:before="0" w:after="60"/>
            </w:pPr>
            <w:r>
              <w:t xml:space="preserve">Oct 12, 2026</w:t>
            </w:r>
          </w:p>
        </w:tc>
        <w:tc>
          <w:tcPr>
            <w:tcW w:w="6800" w:type="dxa"/>
          </w:tcPr>
          <w:p>
            <w:pPr>
              <w:spacing w:before="0" w:after="60"/>
            </w:pPr>
            <w:r>
              <w:t xml:space="preserve">Tenant may begin early access for installation work.</w:t>
            </w:r>
          </w:p>
        </w:tc>
      </w:tr>
      <w:tr>
        <w:tc>
          <w:tcPr>
            <w:tcW w:w="2700" w:type="dxa"/>
          </w:tcPr>
          <w:p>
            <w:pPr>
              <w:spacing w:before="0" w:after="60"/>
            </w:pPr>
            <w:r>
              <w:t xml:space="preserve">Oct 30, 2026</w:t>
            </w:r>
          </w:p>
        </w:tc>
        <w:tc>
          <w:tcPr>
            <w:tcW w:w="6800" w:type="dxa"/>
          </w:tcPr>
          <w:p>
            <w:pPr>
              <w:spacing w:before="0" w:after="60"/>
            </w:pPr>
            <w:r>
              <w:t xml:space="preserve">Target substantial completion of Landlord Work.</w:t>
            </w:r>
          </w:p>
        </w:tc>
      </w:tr>
      <w:tr>
        <w:tc>
          <w:tcPr>
            <w:tcW w:w="2700" w:type="dxa"/>
          </w:tcPr>
          <w:p>
            <w:pPr>
              <w:spacing w:before="0" w:after="60"/>
            </w:pPr>
            <w:r>
              <w:t xml:space="preserve">Nov 1, 2026</w:t>
            </w:r>
          </w:p>
        </w:tc>
        <w:tc>
          <w:tcPr>
            <w:tcW w:w="6800" w:type="dxa"/>
          </w:tcPr>
          <w:p>
            <w:pPr>
              <w:spacing w:before="0" w:after="60"/>
            </w:pPr>
            <w:r>
              <w:t xml:space="preserve">Commencement Date; Abatement Period begins; environmental permits in place.</w:t>
            </w:r>
          </w:p>
        </w:tc>
      </w:tr>
      <w:tr>
        <w:tc>
          <w:tcPr>
            <w:tcW w:w="2700" w:type="dxa"/>
          </w:tcPr>
          <w:p>
            <w:pPr>
              <w:spacing w:before="0" w:after="60"/>
            </w:pPr>
            <w:r>
              <w:t xml:space="preserve">Feb 1, 2027</w:t>
            </w:r>
          </w:p>
        </w:tc>
        <w:tc>
          <w:tcPr>
            <w:tcW w:w="6800" w:type="dxa"/>
          </w:tcPr>
          <w:p>
            <w:pPr>
              <w:spacing w:before="0" w:after="60"/>
            </w:pPr>
            <w:r>
              <w:t xml:space="preserve">Rent Commencement Date; first $30,375.00 Base Rent installment due.</w:t>
            </w:r>
          </w:p>
        </w:tc>
      </w:tr>
      <w:tr>
        <w:tc>
          <w:tcPr>
            <w:tcW w:w="2700" w:type="dxa"/>
          </w:tcPr>
          <w:p>
            <w:pPr>
              <w:spacing w:before="0" w:after="60"/>
            </w:pPr>
            <w:r>
              <w:t xml:space="preserve">Apr 30, 2028</w:t>
            </w:r>
          </w:p>
        </w:tc>
        <w:tc>
          <w:tcPr>
            <w:tcW w:w="6800" w:type="dxa"/>
          </w:tcPr>
          <w:p>
            <w:pPr>
              <w:spacing w:before="0" w:after="60"/>
            </w:pPr>
            <w:r>
              <w:t xml:space="preserve">Latest delivery of 2027 NNN reconciliation (150 days).</w:t>
            </w:r>
          </w:p>
        </w:tc>
      </w:tr>
      <w:tr>
        <w:tc>
          <w:tcPr>
            <w:tcW w:w="2700" w:type="dxa"/>
          </w:tcPr>
          <w:p>
            <w:pPr>
              <w:spacing w:before="0" w:after="60"/>
            </w:pPr>
            <w:r>
              <w:t xml:space="preserve">Nov 1, 2027</w:t>
            </w:r>
          </w:p>
        </w:tc>
        <w:tc>
          <w:tcPr>
            <w:tcW w:w="6800" w:type="dxa"/>
          </w:tcPr>
          <w:p>
            <w:pPr>
              <w:spacing w:before="0" w:after="60"/>
            </w:pPr>
            <w:r>
              <w:t xml:space="preserve">LC burn-down step #1 (to $60,750), subject to conditions in Section 2.7.</w:t>
            </w:r>
          </w:p>
        </w:tc>
      </w:tr>
      <w:tr>
        <w:tc>
          <w:tcPr>
            <w:tcW w:w="2700" w:type="dxa"/>
          </w:tcPr>
          <w:p>
            <w:pPr>
              <w:spacing w:before="0" w:after="60"/>
            </w:pPr>
            <w:r>
              <w:t xml:space="preserve">Nov 1, 2029</w:t>
            </w:r>
          </w:p>
        </w:tc>
        <w:tc>
          <w:tcPr>
            <w:tcW w:w="6800" w:type="dxa"/>
          </w:tcPr>
          <w:p>
            <w:pPr>
              <w:spacing w:before="0" w:after="60"/>
            </w:pPr>
            <w:r>
              <w:t xml:space="preserve">LC burn-down step #2 (to $30,375), subject to conditions in Section 2.7.</w:t>
            </w:r>
          </w:p>
        </w:tc>
      </w:tr>
      <w:tr>
        <w:tc>
          <w:tcPr>
            <w:tcW w:w="2700" w:type="dxa"/>
          </w:tcPr>
          <w:p>
            <w:pPr>
              <w:spacing w:before="0" w:after="60"/>
            </w:pPr>
            <w:r>
              <w:t xml:space="preserve">Aug 1, 2032 – Oct 31, 2032</w:t>
            </w:r>
          </w:p>
        </w:tc>
        <w:tc>
          <w:tcPr>
            <w:tcW w:w="6800" w:type="dxa"/>
          </w:tcPr>
          <w:p>
            <w:pPr>
              <w:spacing w:before="0" w:after="60"/>
            </w:pPr>
            <w:r>
              <w:t xml:space="preserve">Renewal option window (12–15 months prior to Expiration).</w:t>
            </w:r>
          </w:p>
        </w:tc>
      </w:tr>
      <w:tr>
        <w:tc>
          <w:tcPr>
            <w:tcW w:w="2700" w:type="dxa"/>
          </w:tcPr>
          <w:p>
            <w:pPr>
              <w:spacing w:before="0" w:after="60"/>
            </w:pPr>
            <w:r>
              <w:t xml:space="preserve">May 5, 2033</w:t>
            </w:r>
          </w:p>
        </w:tc>
        <w:tc>
          <w:tcPr>
            <w:tcW w:w="6800" w:type="dxa"/>
          </w:tcPr>
          <w:p>
            <w:pPr>
              <w:spacing w:before="0" w:after="60"/>
            </w:pPr>
            <w:r>
              <w:t xml:space="preserve">Environmental closure plan due (180 days before Expiration).</w:t>
            </w:r>
          </w:p>
        </w:tc>
      </w:tr>
      <w:tr>
        <w:tc>
          <w:tcPr>
            <w:tcW w:w="2700" w:type="dxa"/>
          </w:tcPr>
          <w:p>
            <w:pPr>
              <w:spacing w:before="0" w:after="60"/>
            </w:pPr>
            <w:r>
              <w:t xml:space="preserve">Oct 31, 2033</w:t>
            </w:r>
          </w:p>
        </w:tc>
        <w:tc>
          <w:tcPr>
            <w:tcW w:w="6800" w:type="dxa"/>
          </w:tcPr>
          <w:p>
            <w:pPr>
              <w:spacing w:before="0" w:after="60"/>
            </w:pPr>
            <w:r>
              <w:t xml:space="preserve">Expiration Date; surrender per Exhibit B.</w:t>
            </w:r>
          </w:p>
        </w:tc>
      </w:tr>
    </w:tbl>
    <w:p>
      <w:pPr>
        <w:spacing w:before="0" w:after="80"/>
      </w:pPr>
    </w:p>
    <w:sectPr>
      <w:pgSz w:w="12240" w:h="15840"/>
      <w:pgMar w:top="1080" w:right="1080" w:bottom="1080" w:left="1080" w:header="720" w:footer="720" w:gutter="0"/>
      <w:cols w:space="720"/>
      <w:docGrid w:linePitch="36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60" w:line="276" w:lineRule="auto"/>
      </w:pPr>
    </w:pPrDefault>
  </w:docDefaults>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Pic1" Type="http://schemas.openxmlformats.org/officeDocument/2006/relationships/image" Target="media/image1.png"/>
<Relationship Id="rIdPic2" Type="http://schemas.openxmlformats.org/officeDocument/2006/relationships/image" Target="media/image2.png"/>
</Relationships>
</file>