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9AA81" w14:textId="77777777" w:rsidR="007E7288" w:rsidRPr="00F326FA" w:rsidRDefault="007E7288" w:rsidP="00A93934">
      <w:pPr>
        <w:jc w:val="center"/>
        <w:rPr>
          <w:rFonts w:ascii="Arial" w:hAnsi="Arial" w:cs="Arial"/>
          <w:b/>
          <w:bCs/>
          <w:color w:val="374151"/>
          <w:sz w:val="24"/>
          <w:szCs w:val="24"/>
          <w:lang w:val="es-MX"/>
        </w:rPr>
      </w:pPr>
      <w:r w:rsidRPr="00F326FA">
        <w:rPr>
          <w:rFonts w:ascii="Arial" w:hAnsi="Arial" w:cs="Arial"/>
          <w:b/>
          <w:bCs/>
          <w:color w:val="374151"/>
          <w:sz w:val="24"/>
          <w:szCs w:val="24"/>
          <w:lang w:val="es-MX"/>
        </w:rPr>
        <w:t>Índice de criminalidad en México</w:t>
      </w:r>
    </w:p>
    <w:p w14:paraId="6A9ED188" w14:textId="77777777" w:rsidR="007E7288" w:rsidRPr="00F326FA" w:rsidRDefault="007E7288" w:rsidP="00C351D1">
      <w:pPr>
        <w:jc w:val="both"/>
        <w:rPr>
          <w:rFonts w:ascii="Arial" w:hAnsi="Arial" w:cs="Arial"/>
          <w:color w:val="374151"/>
          <w:sz w:val="24"/>
          <w:szCs w:val="24"/>
          <w:lang w:val="es-MX"/>
        </w:rPr>
      </w:pPr>
      <w:r w:rsidRPr="00F326FA">
        <w:rPr>
          <w:rFonts w:ascii="Arial" w:hAnsi="Arial" w:cs="Arial"/>
          <w:color w:val="374151"/>
          <w:sz w:val="24"/>
          <w:szCs w:val="24"/>
          <w:lang w:val="es-MX"/>
        </w:rPr>
        <w:t xml:space="preserve">Durante generaciones, el crimen ha sido uno de los principales problemas de México, y a pesar de las soluciones que se han propuesto, el país sigue sufriendo altos niveles de inseguridad y violencia. Aunque existen diferentes fuentes que ofrecen información, en general, estas solo proporcionan un análisis de los temas de mayor interés. Con el objetivo de ayudar a las personas a analizar los índices de criminalidad en el país, se presenta un </w:t>
      </w:r>
      <w:proofErr w:type="spellStart"/>
      <w:r w:rsidRPr="00F326FA">
        <w:rPr>
          <w:rFonts w:ascii="Arial" w:hAnsi="Arial" w:cs="Arial"/>
          <w:color w:val="374151"/>
          <w:sz w:val="24"/>
          <w:szCs w:val="24"/>
          <w:lang w:val="es-MX"/>
        </w:rPr>
        <w:t>dashboard</w:t>
      </w:r>
      <w:proofErr w:type="spellEnd"/>
      <w:r w:rsidRPr="00F326FA">
        <w:rPr>
          <w:rFonts w:ascii="Arial" w:hAnsi="Arial" w:cs="Arial"/>
          <w:color w:val="374151"/>
          <w:sz w:val="24"/>
          <w:szCs w:val="24"/>
          <w:lang w:val="es-MX"/>
        </w:rPr>
        <w:t xml:space="preserve"> interactivo que ayuda a interpretar la incidencia delictiva en México a nivel nacional y estatal.</w:t>
      </w:r>
    </w:p>
    <w:p w14:paraId="69D930DC" w14:textId="77777777" w:rsidR="007E7288" w:rsidRPr="00F326FA" w:rsidRDefault="007E7288" w:rsidP="00C351D1">
      <w:pPr>
        <w:jc w:val="both"/>
        <w:rPr>
          <w:rFonts w:ascii="Arial" w:hAnsi="Arial" w:cs="Arial"/>
          <w:color w:val="374151"/>
          <w:sz w:val="24"/>
          <w:szCs w:val="24"/>
          <w:lang w:val="es-MX"/>
        </w:rPr>
      </w:pPr>
      <w:r w:rsidRPr="00F326FA">
        <w:rPr>
          <w:rFonts w:ascii="Arial" w:hAnsi="Arial" w:cs="Arial"/>
          <w:color w:val="374151"/>
          <w:sz w:val="24"/>
          <w:szCs w:val="24"/>
          <w:lang w:val="es-MX"/>
        </w:rPr>
        <w:t>Esta herramienta permite a los usuarios explorar la información otorgada por el Secretariado Ejecutivo del Sistema Nacional de Seguridad Pública (SESNSP) con la nueva metodología implementada en 2015. Los usuarios pueden filtrar la información por estado y tipo de delito, clasificada por bien jurídico afectado, y también ofrece visualizaciones para ayudar a analizar la información con el mayor detalle posible.</w:t>
      </w:r>
    </w:p>
    <w:p w14:paraId="4C345BB0" w14:textId="77777777" w:rsidR="007E7288" w:rsidRPr="00F326FA" w:rsidRDefault="007E7288" w:rsidP="00C351D1">
      <w:pPr>
        <w:jc w:val="both"/>
        <w:rPr>
          <w:rFonts w:ascii="Arial" w:hAnsi="Arial" w:cs="Arial"/>
          <w:b/>
          <w:bCs/>
          <w:color w:val="374151"/>
          <w:sz w:val="24"/>
          <w:szCs w:val="24"/>
          <w:lang w:val="es-MX"/>
        </w:rPr>
      </w:pPr>
      <w:r w:rsidRPr="00F326FA">
        <w:rPr>
          <w:rFonts w:ascii="Arial" w:hAnsi="Arial" w:cs="Arial"/>
          <w:b/>
          <w:bCs/>
          <w:color w:val="374151"/>
          <w:sz w:val="24"/>
          <w:szCs w:val="24"/>
          <w:lang w:val="es-MX"/>
        </w:rPr>
        <w:t>Cifra negra</w:t>
      </w:r>
    </w:p>
    <w:p w14:paraId="0FAE3AC5" w14:textId="77777777" w:rsidR="007E7288" w:rsidRPr="00F326FA" w:rsidRDefault="007E7288" w:rsidP="00C351D1">
      <w:pPr>
        <w:jc w:val="both"/>
        <w:rPr>
          <w:rFonts w:ascii="Arial" w:hAnsi="Arial" w:cs="Arial"/>
          <w:color w:val="374151"/>
          <w:sz w:val="24"/>
          <w:szCs w:val="24"/>
          <w:lang w:val="es-MX"/>
        </w:rPr>
      </w:pPr>
      <w:r w:rsidRPr="00F326FA">
        <w:rPr>
          <w:rFonts w:ascii="Arial" w:hAnsi="Arial" w:cs="Arial"/>
          <w:color w:val="374151"/>
          <w:sz w:val="24"/>
          <w:szCs w:val="24"/>
          <w:lang w:val="es-MX"/>
        </w:rPr>
        <w:t>Según la Encuesta Nacional de Victimización y Percepción sobre Seguridad Pública (ENVIPE) 2022, durante 2021, solo se denunció e inició carpeta de investigación en el 6.8% del total de los delitos. En el 93.2% de los delitos no hubo denuncia o no se inició carpeta de investigación (cifra negra).</w:t>
      </w:r>
    </w:p>
    <w:p w14:paraId="2A114427" w14:textId="458DABDB" w:rsidR="007E7288" w:rsidRPr="00F326FA" w:rsidRDefault="007E7288" w:rsidP="00C351D1">
      <w:pPr>
        <w:jc w:val="both"/>
        <w:rPr>
          <w:rFonts w:ascii="Arial" w:hAnsi="Arial" w:cs="Arial"/>
          <w:b/>
          <w:bCs/>
          <w:color w:val="374151"/>
          <w:sz w:val="24"/>
          <w:szCs w:val="24"/>
          <w:lang w:val="es-MX"/>
        </w:rPr>
      </w:pPr>
      <w:r w:rsidRPr="00F326FA">
        <w:rPr>
          <w:rFonts w:ascii="Arial" w:hAnsi="Arial" w:cs="Arial"/>
          <w:b/>
          <w:bCs/>
          <w:color w:val="374151"/>
          <w:sz w:val="24"/>
          <w:szCs w:val="24"/>
          <w:lang w:val="es-MX"/>
        </w:rPr>
        <w:t>Resultados negativos con consecuencias más negativas</w:t>
      </w:r>
      <w:r w:rsidR="0077082A">
        <w:rPr>
          <w:rFonts w:ascii="Arial" w:hAnsi="Arial" w:cs="Arial"/>
          <w:b/>
          <w:bCs/>
          <w:color w:val="374151"/>
          <w:sz w:val="24"/>
          <w:szCs w:val="24"/>
          <w:lang w:val="es-MX"/>
        </w:rPr>
        <w:t>.</w:t>
      </w:r>
    </w:p>
    <w:p w14:paraId="73704290" w14:textId="3751CB7D" w:rsidR="007E7288" w:rsidRDefault="007E7288" w:rsidP="00C351D1">
      <w:pPr>
        <w:jc w:val="both"/>
        <w:rPr>
          <w:rFonts w:ascii="Arial" w:hAnsi="Arial" w:cs="Arial"/>
          <w:color w:val="374151"/>
          <w:sz w:val="24"/>
          <w:szCs w:val="24"/>
          <w:lang w:val="es-MX"/>
        </w:rPr>
      </w:pPr>
      <w:r w:rsidRPr="00F326FA">
        <w:rPr>
          <w:rFonts w:ascii="Arial" w:hAnsi="Arial" w:cs="Arial"/>
          <w:color w:val="374151"/>
          <w:sz w:val="24"/>
          <w:szCs w:val="24"/>
          <w:lang w:val="es-MX"/>
        </w:rPr>
        <w:t xml:space="preserve">De acuerdo con la ENVIPE 2022, en el 61.1% de los casos, la población no inició una denuncia por causas atribuibles a la autoridad. </w:t>
      </w:r>
      <w:r w:rsidRPr="0076722F">
        <w:rPr>
          <w:rFonts w:ascii="Arial" w:hAnsi="Arial" w:cs="Arial"/>
          <w:color w:val="374151"/>
          <w:sz w:val="24"/>
          <w:szCs w:val="24"/>
          <w:lang w:val="es-MX"/>
        </w:rPr>
        <w:t xml:space="preserve">El 33.5% de ellos lo consideró una pérdida de tiempo, mientras que el 14.8% declaró desconfianza en la autoridad y otro 8.4% </w:t>
      </w:r>
      <w:r w:rsidR="0076722F">
        <w:rPr>
          <w:rFonts w:ascii="Arial" w:hAnsi="Arial" w:cs="Arial"/>
          <w:color w:val="374151"/>
          <w:sz w:val="24"/>
          <w:szCs w:val="24"/>
          <w:lang w:val="es-MX"/>
        </w:rPr>
        <w:t>lo</w:t>
      </w:r>
      <w:r w:rsidRPr="0076722F">
        <w:rPr>
          <w:rFonts w:ascii="Arial" w:hAnsi="Arial" w:cs="Arial"/>
          <w:color w:val="374151"/>
          <w:sz w:val="24"/>
          <w:szCs w:val="24"/>
          <w:lang w:val="es-MX"/>
        </w:rPr>
        <w:t xml:space="preserve"> atribuyó al proceso, </w:t>
      </w:r>
      <w:r w:rsidR="0076722F">
        <w:rPr>
          <w:rFonts w:ascii="Arial" w:hAnsi="Arial" w:cs="Arial"/>
          <w:color w:val="374151"/>
          <w:sz w:val="24"/>
          <w:szCs w:val="24"/>
          <w:lang w:val="es-MX"/>
        </w:rPr>
        <w:t>indicando</w:t>
      </w:r>
      <w:r w:rsidRPr="0076722F">
        <w:rPr>
          <w:rFonts w:ascii="Arial" w:hAnsi="Arial" w:cs="Arial"/>
          <w:color w:val="374151"/>
          <w:sz w:val="24"/>
          <w:szCs w:val="24"/>
          <w:lang w:val="es-MX"/>
        </w:rPr>
        <w:t xml:space="preserve"> que era largo y difícil. Esto, </w:t>
      </w:r>
      <w:r w:rsidR="0076722F" w:rsidRPr="0076722F">
        <w:rPr>
          <w:rFonts w:ascii="Arial" w:hAnsi="Arial" w:cs="Arial"/>
          <w:color w:val="374151"/>
          <w:sz w:val="24"/>
          <w:szCs w:val="24"/>
          <w:lang w:val="es-MX"/>
        </w:rPr>
        <w:t>má</w:t>
      </w:r>
      <w:r w:rsidR="0076722F">
        <w:rPr>
          <w:rFonts w:ascii="Arial" w:hAnsi="Arial" w:cs="Arial"/>
          <w:color w:val="374151"/>
          <w:sz w:val="24"/>
          <w:szCs w:val="24"/>
          <w:lang w:val="es-MX"/>
        </w:rPr>
        <w:t>s</w:t>
      </w:r>
      <w:r w:rsidRPr="0076722F">
        <w:rPr>
          <w:rFonts w:ascii="Arial" w:hAnsi="Arial" w:cs="Arial"/>
          <w:color w:val="374151"/>
          <w:sz w:val="24"/>
          <w:szCs w:val="24"/>
          <w:lang w:val="es-MX"/>
        </w:rPr>
        <w:t xml:space="preserve"> al hecho de que en el 50.8% de los casos de denuncia realizada no pasó nada o no se continuó con la investigación, ha dado como resultado una percepción a la baja de las autoridades gubernamentales </w:t>
      </w:r>
      <w:r w:rsidR="003D06B8">
        <w:rPr>
          <w:rFonts w:ascii="Arial" w:hAnsi="Arial" w:cs="Arial"/>
          <w:color w:val="374151"/>
          <w:sz w:val="24"/>
          <w:szCs w:val="24"/>
          <w:lang w:val="es-MX"/>
        </w:rPr>
        <w:t>responsables</w:t>
      </w:r>
      <w:r w:rsidRPr="0076722F">
        <w:rPr>
          <w:rFonts w:ascii="Arial" w:hAnsi="Arial" w:cs="Arial"/>
          <w:color w:val="374151"/>
          <w:sz w:val="24"/>
          <w:szCs w:val="24"/>
          <w:lang w:val="es-MX"/>
        </w:rPr>
        <w:t>.</w:t>
      </w:r>
    </w:p>
    <w:p w14:paraId="6B749C0D" w14:textId="77777777" w:rsidR="001573F3" w:rsidRDefault="001573F3" w:rsidP="001573F3">
      <w:pPr>
        <w:jc w:val="both"/>
        <w:rPr>
          <w:rFonts w:ascii="Arial" w:hAnsi="Arial" w:cs="Arial"/>
          <w:b/>
          <w:bCs/>
          <w:color w:val="374151"/>
          <w:sz w:val="24"/>
          <w:szCs w:val="24"/>
          <w:lang w:val="es-MX"/>
        </w:rPr>
      </w:pPr>
      <w:r>
        <w:rPr>
          <w:rFonts w:ascii="Arial" w:hAnsi="Arial" w:cs="Arial"/>
          <w:b/>
          <w:bCs/>
          <w:color w:val="374151"/>
          <w:sz w:val="24"/>
          <w:szCs w:val="24"/>
          <w:lang w:val="es-MX"/>
        </w:rPr>
        <w:t>La relación narcotráfico-corrupción.</w:t>
      </w:r>
    </w:p>
    <w:p w14:paraId="57F84B7B" w14:textId="7C7468D9" w:rsidR="001573F3" w:rsidRDefault="001573F3" w:rsidP="00C351D1">
      <w:pPr>
        <w:jc w:val="both"/>
        <w:rPr>
          <w:rFonts w:ascii="Arial" w:hAnsi="Arial" w:cs="Arial"/>
          <w:color w:val="374151"/>
          <w:sz w:val="24"/>
          <w:szCs w:val="24"/>
          <w:lang w:val="es-MX"/>
        </w:rPr>
      </w:pPr>
      <w:r>
        <w:rPr>
          <w:rFonts w:ascii="Arial" w:hAnsi="Arial" w:cs="Arial"/>
          <w:color w:val="374151"/>
          <w:sz w:val="24"/>
          <w:szCs w:val="24"/>
          <w:lang w:val="es-MX"/>
        </w:rPr>
        <w:t>En la vida del mexicano, la corrupción y el narcotráfico han sido un tema constante en el día a día, y a pesar de los esfuerzos de cada administración en combatirlos, la situación va en aumento. Esta estrecha relación a se ha reflejado en el aumento de la impunidad, y en la creciente desconfianza de la ciudadanía hacia el estado, lo que a su vez obstaculiza su capacidad para poder afrontar los problemas.</w:t>
      </w:r>
    </w:p>
    <w:p w14:paraId="1E783BFE" w14:textId="43E592FC" w:rsidR="00D203F7" w:rsidRDefault="001573F3" w:rsidP="00C351D1">
      <w:pPr>
        <w:jc w:val="both"/>
        <w:rPr>
          <w:rFonts w:ascii="Arial" w:hAnsi="Arial" w:cs="Arial"/>
          <w:color w:val="374151"/>
          <w:sz w:val="24"/>
          <w:szCs w:val="24"/>
          <w:lang w:val="es-MX"/>
        </w:rPr>
      </w:pPr>
      <w:r>
        <w:rPr>
          <w:rFonts w:ascii="Arial" w:hAnsi="Arial" w:cs="Arial"/>
          <w:color w:val="374151"/>
          <w:sz w:val="24"/>
          <w:szCs w:val="24"/>
          <w:lang w:val="es-MX"/>
        </w:rPr>
        <w:t xml:space="preserve">De acuerdo con el </w:t>
      </w:r>
      <w:r w:rsidR="00683525">
        <w:rPr>
          <w:rFonts w:ascii="Arial" w:hAnsi="Arial" w:cs="Arial"/>
          <w:color w:val="374151"/>
          <w:sz w:val="24"/>
          <w:szCs w:val="24"/>
          <w:lang w:val="es-MX"/>
        </w:rPr>
        <w:t>Índice</w:t>
      </w:r>
      <w:r>
        <w:rPr>
          <w:rFonts w:ascii="Arial" w:hAnsi="Arial" w:cs="Arial"/>
          <w:color w:val="374151"/>
          <w:sz w:val="24"/>
          <w:szCs w:val="24"/>
          <w:lang w:val="es-MX"/>
        </w:rPr>
        <w:t xml:space="preserve"> de la Percepción de la Corrupción (IPC), México obtuvo, por 3er año consecutivo, un puntaje de 31 sobre 100, lo que lo sitúa en el </w:t>
      </w:r>
      <w:r w:rsidR="00D203F7">
        <w:rPr>
          <w:rFonts w:ascii="Arial" w:hAnsi="Arial" w:cs="Arial"/>
          <w:color w:val="374151"/>
          <w:sz w:val="24"/>
          <w:szCs w:val="24"/>
          <w:lang w:val="es-MX"/>
        </w:rPr>
        <w:t>lugar número 126 de los países evaluados; mientras que dentro de los países que integran la OCDE y el G20, México se encuentra en el último y penúltimo lugar, respectivamente.</w:t>
      </w:r>
    </w:p>
    <w:p w14:paraId="691DD1C2" w14:textId="77777777" w:rsidR="00D203F7" w:rsidRPr="0076722F" w:rsidRDefault="00D203F7" w:rsidP="00C351D1">
      <w:pPr>
        <w:jc w:val="both"/>
        <w:rPr>
          <w:rFonts w:ascii="Arial" w:hAnsi="Arial" w:cs="Arial"/>
          <w:color w:val="374151"/>
          <w:sz w:val="24"/>
          <w:szCs w:val="24"/>
          <w:lang w:val="es-MX"/>
        </w:rPr>
      </w:pPr>
    </w:p>
    <w:p w14:paraId="34B68992" w14:textId="730EAD38" w:rsidR="007E7288" w:rsidRPr="00A93934" w:rsidRDefault="007E7288" w:rsidP="00C351D1">
      <w:pPr>
        <w:jc w:val="both"/>
        <w:rPr>
          <w:rFonts w:ascii="Arial" w:hAnsi="Arial" w:cs="Arial"/>
          <w:b/>
          <w:bCs/>
          <w:color w:val="374151"/>
          <w:sz w:val="24"/>
          <w:szCs w:val="24"/>
          <w:lang w:val="es-MX"/>
        </w:rPr>
      </w:pPr>
      <w:r w:rsidRPr="00A93934">
        <w:rPr>
          <w:rFonts w:ascii="Arial" w:hAnsi="Arial" w:cs="Arial"/>
          <w:b/>
          <w:bCs/>
          <w:color w:val="374151"/>
          <w:sz w:val="24"/>
          <w:szCs w:val="24"/>
          <w:lang w:val="es-MX"/>
        </w:rPr>
        <w:lastRenderedPageBreak/>
        <w:t>Si la autoridad no lo hace, lo hará el ciudadano</w:t>
      </w:r>
      <w:r w:rsidR="00BD29FC" w:rsidRPr="00A93934">
        <w:rPr>
          <w:rFonts w:ascii="Arial" w:hAnsi="Arial" w:cs="Arial"/>
          <w:b/>
          <w:bCs/>
          <w:color w:val="374151"/>
          <w:sz w:val="24"/>
          <w:szCs w:val="24"/>
          <w:lang w:val="es-MX"/>
        </w:rPr>
        <w:t>.</w:t>
      </w:r>
    </w:p>
    <w:p w14:paraId="59C8783C" w14:textId="1CF3A281" w:rsidR="007E7288" w:rsidRPr="00F326FA" w:rsidRDefault="007E7288" w:rsidP="00C351D1">
      <w:pPr>
        <w:jc w:val="both"/>
        <w:rPr>
          <w:rFonts w:ascii="Arial" w:hAnsi="Arial" w:cs="Arial"/>
          <w:color w:val="374151"/>
          <w:sz w:val="24"/>
          <w:szCs w:val="24"/>
          <w:lang w:val="es-MX"/>
        </w:rPr>
      </w:pPr>
      <w:r w:rsidRPr="00BD29FC">
        <w:rPr>
          <w:rFonts w:ascii="Arial" w:hAnsi="Arial" w:cs="Arial"/>
          <w:color w:val="374151"/>
          <w:sz w:val="24"/>
          <w:szCs w:val="24"/>
          <w:lang w:val="es-MX"/>
        </w:rPr>
        <w:t xml:space="preserve">Aunque en realidad no quiero ahondar en el tema de justicieros, me parece interesante mencionarlos como una respuesta de la ciudadanía ante la inseguridad en el país. </w:t>
      </w:r>
      <w:r w:rsidRPr="00F326FA">
        <w:rPr>
          <w:rFonts w:ascii="Arial" w:hAnsi="Arial" w:cs="Arial"/>
          <w:color w:val="374151"/>
          <w:sz w:val="24"/>
          <w:szCs w:val="24"/>
          <w:lang w:val="es-MX"/>
        </w:rPr>
        <w:t>Además, quiero invitar a la lectura de la revista de ciencias "El acceso a la justicia en México: Entre la legalidad y la justicia por propia mano", ya que considero que ofrece una buena perspectiva del fenómeno de los justicieros como respuesta al crimen.</w:t>
      </w:r>
    </w:p>
    <w:p w14:paraId="49AE00AF" w14:textId="1615B024" w:rsidR="00A54ED6" w:rsidRPr="00A93934" w:rsidRDefault="00A54ED6" w:rsidP="00C351D1">
      <w:pPr>
        <w:jc w:val="both"/>
        <w:rPr>
          <w:rFonts w:ascii="Arial" w:hAnsi="Arial" w:cs="Arial"/>
          <w:b/>
          <w:bCs/>
          <w:color w:val="374151"/>
          <w:sz w:val="24"/>
          <w:szCs w:val="24"/>
          <w:lang w:val="es-MX"/>
        </w:rPr>
      </w:pPr>
      <w:r w:rsidRPr="00A93934">
        <w:rPr>
          <w:rFonts w:ascii="Arial" w:hAnsi="Arial" w:cs="Arial"/>
          <w:b/>
          <w:bCs/>
          <w:color w:val="374151"/>
          <w:sz w:val="24"/>
          <w:szCs w:val="24"/>
          <w:lang w:val="es-MX"/>
        </w:rPr>
        <w:t xml:space="preserve">El </w:t>
      </w:r>
      <w:r w:rsidR="00A459B9">
        <w:rPr>
          <w:rFonts w:ascii="Arial" w:hAnsi="Arial" w:cs="Arial"/>
          <w:b/>
          <w:bCs/>
          <w:color w:val="374151"/>
          <w:sz w:val="24"/>
          <w:szCs w:val="24"/>
          <w:lang w:val="es-MX"/>
        </w:rPr>
        <w:t>“</w:t>
      </w:r>
      <w:r w:rsidRPr="00A93934">
        <w:rPr>
          <w:rFonts w:ascii="Arial" w:hAnsi="Arial" w:cs="Arial"/>
          <w:b/>
          <w:bCs/>
          <w:color w:val="374151"/>
          <w:sz w:val="24"/>
          <w:szCs w:val="24"/>
          <w:lang w:val="es-MX"/>
        </w:rPr>
        <w:t>amor</w:t>
      </w:r>
      <w:r w:rsidR="00A459B9">
        <w:rPr>
          <w:rFonts w:ascii="Arial" w:hAnsi="Arial" w:cs="Arial"/>
          <w:b/>
          <w:bCs/>
          <w:color w:val="374151"/>
          <w:sz w:val="24"/>
          <w:szCs w:val="24"/>
          <w:lang w:val="es-MX"/>
        </w:rPr>
        <w:t>”</w:t>
      </w:r>
      <w:r w:rsidRPr="00A93934">
        <w:rPr>
          <w:rFonts w:ascii="Arial" w:hAnsi="Arial" w:cs="Arial"/>
          <w:b/>
          <w:bCs/>
          <w:color w:val="374151"/>
          <w:sz w:val="24"/>
          <w:szCs w:val="24"/>
          <w:lang w:val="es-MX"/>
        </w:rPr>
        <w:t xml:space="preserve"> </w:t>
      </w:r>
      <w:r w:rsidR="00A459B9">
        <w:rPr>
          <w:rFonts w:ascii="Arial" w:hAnsi="Arial" w:cs="Arial"/>
          <w:b/>
          <w:bCs/>
          <w:color w:val="374151"/>
          <w:sz w:val="24"/>
          <w:szCs w:val="24"/>
          <w:lang w:val="es-MX"/>
        </w:rPr>
        <w:t>q</w:t>
      </w:r>
      <w:r w:rsidRPr="00A93934">
        <w:rPr>
          <w:rFonts w:ascii="Arial" w:hAnsi="Arial" w:cs="Arial"/>
          <w:b/>
          <w:bCs/>
          <w:color w:val="374151"/>
          <w:sz w:val="24"/>
          <w:szCs w:val="24"/>
          <w:lang w:val="es-MX"/>
        </w:rPr>
        <w:t>ue tiene el crimen contra la mujer.</w:t>
      </w:r>
    </w:p>
    <w:p w14:paraId="356E35EA" w14:textId="3149E52B" w:rsidR="00A54ED6" w:rsidRDefault="003D06B8" w:rsidP="00C351D1">
      <w:pPr>
        <w:jc w:val="both"/>
        <w:rPr>
          <w:rFonts w:ascii="Arial" w:hAnsi="Arial" w:cs="Arial"/>
          <w:color w:val="374151"/>
          <w:sz w:val="24"/>
          <w:szCs w:val="24"/>
          <w:lang w:val="es-MX"/>
        </w:rPr>
      </w:pPr>
      <w:r>
        <w:rPr>
          <w:rFonts w:ascii="Arial" w:hAnsi="Arial" w:cs="Arial"/>
          <w:color w:val="374151"/>
          <w:sz w:val="24"/>
          <w:szCs w:val="24"/>
          <w:lang w:val="es-MX"/>
        </w:rPr>
        <w:t>Es importante considerar el papel que juega la mujer en la interpretación de esta informació</w:t>
      </w:r>
      <w:r w:rsidR="00A54ED6">
        <w:rPr>
          <w:rFonts w:ascii="Arial" w:hAnsi="Arial" w:cs="Arial"/>
          <w:color w:val="374151"/>
          <w:sz w:val="24"/>
          <w:szCs w:val="24"/>
          <w:lang w:val="es-MX"/>
        </w:rPr>
        <w:t>n</w:t>
      </w:r>
      <w:r>
        <w:rPr>
          <w:rFonts w:ascii="Arial" w:hAnsi="Arial" w:cs="Arial"/>
          <w:color w:val="374151"/>
          <w:sz w:val="24"/>
          <w:szCs w:val="24"/>
          <w:lang w:val="es-MX"/>
        </w:rPr>
        <w:t>.</w:t>
      </w:r>
      <w:r w:rsidR="00A54ED6">
        <w:rPr>
          <w:rFonts w:ascii="Arial" w:hAnsi="Arial" w:cs="Arial"/>
          <w:color w:val="374151"/>
          <w:sz w:val="24"/>
          <w:szCs w:val="24"/>
          <w:lang w:val="es-MX"/>
        </w:rPr>
        <w:t xml:space="preserve"> </w:t>
      </w:r>
      <w:r>
        <w:rPr>
          <w:rFonts w:ascii="Arial" w:hAnsi="Arial" w:cs="Arial"/>
          <w:color w:val="374151"/>
          <w:sz w:val="24"/>
          <w:szCs w:val="24"/>
          <w:lang w:val="es-MX"/>
        </w:rPr>
        <w:t>S</w:t>
      </w:r>
      <w:r w:rsidR="00A54ED6">
        <w:rPr>
          <w:rFonts w:ascii="Arial" w:hAnsi="Arial" w:cs="Arial"/>
          <w:color w:val="374151"/>
          <w:sz w:val="24"/>
          <w:szCs w:val="24"/>
          <w:lang w:val="es-MX"/>
        </w:rPr>
        <w:t xml:space="preserve">egún la ENVIPE 2022, </w:t>
      </w:r>
      <w:r w:rsidR="00BD29FC">
        <w:rPr>
          <w:rFonts w:ascii="Arial" w:hAnsi="Arial" w:cs="Arial"/>
          <w:color w:val="374151"/>
          <w:sz w:val="24"/>
          <w:szCs w:val="24"/>
          <w:lang w:val="es-MX"/>
        </w:rPr>
        <w:t xml:space="preserve">las mujeres sufren diez veces más delitos sexuales que los hombres, </w:t>
      </w:r>
      <w:r>
        <w:rPr>
          <w:rFonts w:ascii="Arial" w:hAnsi="Arial" w:cs="Arial"/>
          <w:color w:val="374151"/>
          <w:sz w:val="24"/>
          <w:szCs w:val="24"/>
          <w:lang w:val="es-MX"/>
        </w:rPr>
        <w:t xml:space="preserve">lo que resulta en una </w:t>
      </w:r>
      <w:r w:rsidR="0077082A">
        <w:rPr>
          <w:rFonts w:ascii="Arial" w:hAnsi="Arial" w:cs="Arial"/>
          <w:color w:val="374151"/>
          <w:sz w:val="24"/>
          <w:szCs w:val="24"/>
          <w:lang w:val="es-MX"/>
        </w:rPr>
        <w:t>prevalencia</w:t>
      </w:r>
      <w:r>
        <w:rPr>
          <w:rFonts w:ascii="Arial" w:hAnsi="Arial" w:cs="Arial"/>
          <w:color w:val="374151"/>
          <w:sz w:val="24"/>
          <w:szCs w:val="24"/>
          <w:lang w:val="es-MX"/>
        </w:rPr>
        <w:t xml:space="preserve"> del 89.7% de mujeres en delitos contra la seguridad sexual.</w:t>
      </w:r>
      <w:r w:rsidR="0010450D">
        <w:rPr>
          <w:rFonts w:ascii="Arial" w:hAnsi="Arial" w:cs="Arial"/>
          <w:color w:val="374151"/>
          <w:sz w:val="24"/>
          <w:szCs w:val="24"/>
          <w:lang w:val="es-MX"/>
        </w:rPr>
        <w:t xml:space="preserve"> </w:t>
      </w:r>
      <w:r>
        <w:rPr>
          <w:rFonts w:ascii="Arial" w:hAnsi="Arial" w:cs="Arial"/>
          <w:color w:val="374151"/>
          <w:sz w:val="24"/>
          <w:szCs w:val="24"/>
          <w:lang w:val="es-MX"/>
        </w:rPr>
        <w:t>Por otro lado,</w:t>
      </w:r>
      <w:r w:rsidR="0010450D">
        <w:rPr>
          <w:rFonts w:ascii="Arial" w:hAnsi="Arial" w:cs="Arial"/>
          <w:color w:val="374151"/>
          <w:sz w:val="24"/>
          <w:szCs w:val="24"/>
          <w:lang w:val="es-MX"/>
        </w:rPr>
        <w:t xml:space="preserve"> la Encuesta Nacional sobre la Dinámicas de las Relaciones en los Hogares (ENDIREH) 2021, </w:t>
      </w:r>
      <w:r>
        <w:rPr>
          <w:rFonts w:ascii="Arial" w:hAnsi="Arial" w:cs="Arial"/>
          <w:color w:val="374151"/>
          <w:sz w:val="24"/>
          <w:szCs w:val="24"/>
          <w:lang w:val="es-MX"/>
        </w:rPr>
        <w:t>indica que el 39.9% de mujeres han experimentado violencia en pareja, y otro 11.4% ha sufrido violencia en el ámbito familiar</w:t>
      </w:r>
      <w:r w:rsidR="0010450D">
        <w:rPr>
          <w:rFonts w:ascii="Arial" w:hAnsi="Arial" w:cs="Arial"/>
          <w:color w:val="374151"/>
          <w:sz w:val="24"/>
          <w:szCs w:val="24"/>
          <w:lang w:val="es-MX"/>
        </w:rPr>
        <w:t xml:space="preserve">. </w:t>
      </w:r>
      <w:r>
        <w:rPr>
          <w:rFonts w:ascii="Arial" w:hAnsi="Arial" w:cs="Arial"/>
          <w:color w:val="374151"/>
          <w:sz w:val="24"/>
          <w:szCs w:val="24"/>
          <w:lang w:val="es-MX"/>
        </w:rPr>
        <w:t>Por lo que podemos interpretar que aproximadamente el 51.3% de los delitos de violencia familiar afectan a las mujeres</w:t>
      </w:r>
      <w:r w:rsidR="00D203F7">
        <w:rPr>
          <w:rFonts w:ascii="Arial" w:hAnsi="Arial" w:cs="Arial"/>
          <w:color w:val="374151"/>
          <w:sz w:val="24"/>
          <w:szCs w:val="24"/>
          <w:lang w:val="es-MX"/>
        </w:rPr>
        <w:t>, al menos hasta 2021.</w:t>
      </w:r>
    </w:p>
    <w:p w14:paraId="2C32EC70" w14:textId="21FA7C15" w:rsidR="00000BFE" w:rsidRDefault="00DD7A4B" w:rsidP="00C351D1">
      <w:pPr>
        <w:jc w:val="both"/>
        <w:rPr>
          <w:rFonts w:ascii="Arial" w:hAnsi="Arial" w:cs="Arial"/>
          <w:b/>
          <w:bCs/>
          <w:color w:val="374151"/>
          <w:sz w:val="24"/>
          <w:szCs w:val="24"/>
          <w:lang w:val="es-MX"/>
        </w:rPr>
      </w:pPr>
      <w:r>
        <w:rPr>
          <w:rFonts w:ascii="Arial" w:hAnsi="Arial" w:cs="Arial"/>
          <w:b/>
          <w:bCs/>
          <w:color w:val="374151"/>
          <w:sz w:val="24"/>
          <w:szCs w:val="24"/>
          <w:lang w:val="es-MX"/>
        </w:rPr>
        <w:t>Violencia, inseguridad, impunidad, corrupción, narcotráfico… ¿hay algo más?</w:t>
      </w:r>
    </w:p>
    <w:p w14:paraId="2176E6C1" w14:textId="7001C9F0" w:rsidR="00092659" w:rsidRPr="00092659" w:rsidRDefault="00683525" w:rsidP="00C351D1">
      <w:pPr>
        <w:jc w:val="both"/>
        <w:rPr>
          <w:rFonts w:ascii="Arial" w:hAnsi="Arial" w:cs="Arial"/>
          <w:color w:val="374151"/>
          <w:sz w:val="24"/>
          <w:szCs w:val="24"/>
          <w:lang w:val="es-MX"/>
        </w:rPr>
      </w:pPr>
      <w:r>
        <w:rPr>
          <w:rFonts w:ascii="Arial" w:hAnsi="Arial" w:cs="Arial"/>
          <w:color w:val="374151"/>
          <w:sz w:val="24"/>
          <w:szCs w:val="24"/>
          <w:lang w:val="es-MX"/>
        </w:rPr>
        <w:t>Hay que</w:t>
      </w:r>
      <w:r w:rsidR="00092659">
        <w:rPr>
          <w:rFonts w:ascii="Arial" w:hAnsi="Arial" w:cs="Arial"/>
          <w:color w:val="374151"/>
          <w:sz w:val="24"/>
          <w:szCs w:val="24"/>
          <w:lang w:val="es-MX"/>
        </w:rPr>
        <w:t xml:space="preserve"> destacar que la educación, el desempleo y la salud son factores que también influyen en el fenómeno del crimen. En México, la educación enfrenta diversos desafíos, en los que destacan la falta de recursos y la desigualdad en el acceso a una educación de calidad. El desempleo es un problema estructural que </w:t>
      </w:r>
      <w:r>
        <w:rPr>
          <w:rFonts w:ascii="Arial" w:hAnsi="Arial" w:cs="Arial"/>
          <w:color w:val="374151"/>
          <w:sz w:val="24"/>
          <w:szCs w:val="24"/>
          <w:lang w:val="es-MX"/>
        </w:rPr>
        <w:t>afecta a gran parte de la población, especialmente a los jóvenes, y este factor suele ser aprovechado por el crimen organizado. En cuanto a la salud, la pandemia de COVID-19 se manifestó en una baja a la inseguridad, mas también evidenció la falta de infraestructura y recursos para hacer frente a situaciones de emergencia sanitaria.</w:t>
      </w:r>
    </w:p>
    <w:p w14:paraId="7AB97999" w14:textId="0A8ECE55" w:rsidR="007E7288" w:rsidRPr="00BE66DD" w:rsidRDefault="007E7288" w:rsidP="00C351D1">
      <w:pPr>
        <w:jc w:val="both"/>
        <w:rPr>
          <w:rFonts w:ascii="Arial" w:hAnsi="Arial" w:cs="Arial"/>
          <w:b/>
          <w:bCs/>
          <w:color w:val="374151"/>
          <w:sz w:val="24"/>
          <w:szCs w:val="24"/>
          <w:lang w:val="es-MX"/>
        </w:rPr>
      </w:pPr>
      <w:r w:rsidRPr="00BE66DD">
        <w:rPr>
          <w:rFonts w:ascii="Arial" w:hAnsi="Arial" w:cs="Arial"/>
          <w:b/>
          <w:bCs/>
          <w:color w:val="374151"/>
          <w:sz w:val="24"/>
          <w:szCs w:val="24"/>
          <w:lang w:val="es-MX"/>
        </w:rPr>
        <w:t>Conclusiones</w:t>
      </w:r>
    </w:p>
    <w:p w14:paraId="387AE0B0" w14:textId="00426A09" w:rsidR="007E7288" w:rsidRDefault="007E7288" w:rsidP="00C351D1">
      <w:pPr>
        <w:jc w:val="both"/>
        <w:rPr>
          <w:rFonts w:ascii="Arial" w:hAnsi="Arial" w:cs="Arial"/>
          <w:color w:val="374151"/>
          <w:sz w:val="24"/>
          <w:szCs w:val="24"/>
          <w:lang w:val="es-MX"/>
        </w:rPr>
      </w:pPr>
      <w:r w:rsidRPr="007E7288">
        <w:rPr>
          <w:rFonts w:ascii="Arial" w:hAnsi="Arial" w:cs="Arial"/>
          <w:color w:val="374151"/>
          <w:sz w:val="24"/>
          <w:szCs w:val="24"/>
          <w:lang w:val="es-MX"/>
        </w:rPr>
        <w:t xml:space="preserve">A pesar del porcentaje de incidencia delictiva en cifra negra, la herramienta proporciona un análisis fácil de interpretar y otorga al usuario una visión detallada del crimen en el país. Para mantener al usuario </w:t>
      </w:r>
      <w:r w:rsidR="006E0140">
        <w:rPr>
          <w:rFonts w:ascii="Arial" w:hAnsi="Arial" w:cs="Arial"/>
          <w:color w:val="374151"/>
          <w:sz w:val="24"/>
          <w:szCs w:val="24"/>
          <w:lang w:val="es-MX"/>
        </w:rPr>
        <w:t>informado</w:t>
      </w:r>
      <w:r w:rsidRPr="007E7288">
        <w:rPr>
          <w:rFonts w:ascii="Arial" w:hAnsi="Arial" w:cs="Arial"/>
          <w:color w:val="374151"/>
          <w:sz w:val="24"/>
          <w:szCs w:val="24"/>
          <w:lang w:val="es-MX"/>
        </w:rPr>
        <w:t xml:space="preserve"> y mejorar su experiencia en la navegación del </w:t>
      </w:r>
      <w:proofErr w:type="spellStart"/>
      <w:r w:rsidRPr="007E7288">
        <w:rPr>
          <w:rFonts w:ascii="Arial" w:hAnsi="Arial" w:cs="Arial"/>
          <w:color w:val="374151"/>
          <w:sz w:val="24"/>
          <w:szCs w:val="24"/>
          <w:lang w:val="es-MX"/>
        </w:rPr>
        <w:t>dashboard</w:t>
      </w:r>
      <w:proofErr w:type="spellEnd"/>
      <w:r>
        <w:rPr>
          <w:rFonts w:ascii="Arial" w:hAnsi="Arial" w:cs="Arial"/>
          <w:color w:val="374151"/>
          <w:sz w:val="24"/>
          <w:szCs w:val="24"/>
          <w:lang w:val="es-MX"/>
        </w:rPr>
        <w:t>, se mantendrá en constante actualización, documentando en este mismo artículo los cambios más significativos</w:t>
      </w:r>
      <w:r w:rsidRPr="007E7288">
        <w:rPr>
          <w:rFonts w:ascii="Arial" w:hAnsi="Arial" w:cs="Arial"/>
          <w:color w:val="374151"/>
          <w:sz w:val="24"/>
          <w:szCs w:val="24"/>
          <w:lang w:val="es-MX"/>
        </w:rPr>
        <w:t>. También se incluirán las direcciones de los datos y el proceso de manipulación para animar a los usuarios a comprobar y aportar o realizar sus propios análisis.</w:t>
      </w:r>
    </w:p>
    <w:p w14:paraId="70BD93ED" w14:textId="275C0C26" w:rsidR="0010450D" w:rsidRPr="007E7288" w:rsidRDefault="0010450D" w:rsidP="00C351D1">
      <w:pPr>
        <w:jc w:val="both"/>
        <w:rPr>
          <w:rFonts w:ascii="Arial" w:hAnsi="Arial" w:cs="Arial"/>
          <w:color w:val="374151"/>
          <w:sz w:val="24"/>
          <w:szCs w:val="24"/>
          <w:lang w:val="es-MX"/>
        </w:rPr>
      </w:pPr>
      <w:r>
        <w:rPr>
          <w:rFonts w:ascii="Arial" w:hAnsi="Arial" w:cs="Arial"/>
          <w:color w:val="374151"/>
          <w:sz w:val="24"/>
          <w:szCs w:val="24"/>
          <w:lang w:val="es-MX"/>
        </w:rPr>
        <w:t>Es importante agregar que la participación ciudadana también juega un papel fundamental en el combate contra el crimen</w:t>
      </w:r>
      <w:r w:rsidR="0076722F">
        <w:rPr>
          <w:rFonts w:ascii="Arial" w:hAnsi="Arial" w:cs="Arial"/>
          <w:color w:val="374151"/>
          <w:sz w:val="24"/>
          <w:szCs w:val="24"/>
          <w:lang w:val="es-MX"/>
        </w:rPr>
        <w:t xml:space="preserve">. Aunque la existencia de los llamados justicieros puede ser vista como un reflejo de la frustración de la población ante la falta de seguridad y bienestar social, es importante mencionar que estas acciones no son la solución y pueden llevar a consecuencias graves. En cambio, </w:t>
      </w:r>
      <w:r w:rsidR="00104873">
        <w:rPr>
          <w:rFonts w:ascii="Arial" w:hAnsi="Arial" w:cs="Arial"/>
          <w:color w:val="374151"/>
          <w:sz w:val="24"/>
          <w:szCs w:val="24"/>
          <w:lang w:val="es-MX"/>
        </w:rPr>
        <w:t>resulta esencial</w:t>
      </w:r>
      <w:r w:rsidR="0076722F">
        <w:rPr>
          <w:rFonts w:ascii="Arial" w:hAnsi="Arial" w:cs="Arial"/>
          <w:color w:val="374151"/>
          <w:sz w:val="24"/>
          <w:szCs w:val="24"/>
          <w:lang w:val="es-MX"/>
        </w:rPr>
        <w:t xml:space="preserve"> fomentar la participación </w:t>
      </w:r>
      <w:r w:rsidR="0077082A">
        <w:rPr>
          <w:rFonts w:ascii="Arial" w:hAnsi="Arial" w:cs="Arial"/>
          <w:color w:val="374151"/>
          <w:sz w:val="24"/>
          <w:szCs w:val="24"/>
          <w:lang w:val="es-MX"/>
        </w:rPr>
        <w:t>ciudadana</w:t>
      </w:r>
      <w:r w:rsidR="0076722F">
        <w:rPr>
          <w:rFonts w:ascii="Arial" w:hAnsi="Arial" w:cs="Arial"/>
          <w:color w:val="374151"/>
          <w:sz w:val="24"/>
          <w:szCs w:val="24"/>
          <w:lang w:val="es-MX"/>
        </w:rPr>
        <w:t xml:space="preserve"> en la formulación y evaluación de políticas públicas</w:t>
      </w:r>
      <w:r w:rsidR="00104873">
        <w:rPr>
          <w:rFonts w:ascii="Arial" w:hAnsi="Arial" w:cs="Arial"/>
          <w:color w:val="374151"/>
          <w:sz w:val="24"/>
          <w:szCs w:val="24"/>
          <w:lang w:val="es-MX"/>
        </w:rPr>
        <w:t xml:space="preserve"> y denuncia de delitos, lo cual implica agilizar el proceso desde la denuncia hasta la sentencia penal </w:t>
      </w:r>
      <w:r w:rsidR="00104873">
        <w:rPr>
          <w:rFonts w:ascii="Arial" w:hAnsi="Arial" w:cs="Arial"/>
          <w:color w:val="374151"/>
          <w:sz w:val="24"/>
          <w:szCs w:val="24"/>
          <w:lang w:val="es-MX"/>
        </w:rPr>
        <w:lastRenderedPageBreak/>
        <w:t>correspondiente</w:t>
      </w:r>
      <w:r w:rsidR="00DD7A4B">
        <w:rPr>
          <w:rFonts w:ascii="Arial" w:hAnsi="Arial" w:cs="Arial"/>
          <w:color w:val="374151"/>
          <w:sz w:val="24"/>
          <w:szCs w:val="24"/>
          <w:lang w:val="es-MX"/>
        </w:rPr>
        <w:t>. Para este objetivo, resulta necesario generar herramientas y canales de comunicación que permitan a los ciudadanos entender la problemática y tomar decisiones informadas.</w:t>
      </w:r>
    </w:p>
    <w:p w14:paraId="1D8CE4B3" w14:textId="0046C665" w:rsidR="00663A4E" w:rsidRDefault="003D06B8" w:rsidP="00C351D1">
      <w:pPr>
        <w:jc w:val="both"/>
        <w:rPr>
          <w:rFonts w:ascii="Arial" w:hAnsi="Arial" w:cs="Arial"/>
          <w:sz w:val="24"/>
          <w:szCs w:val="24"/>
          <w:lang w:val="es-MX"/>
        </w:rPr>
      </w:pPr>
      <w:r>
        <w:rPr>
          <w:rFonts w:ascii="Arial" w:hAnsi="Arial" w:cs="Arial"/>
          <w:sz w:val="24"/>
          <w:szCs w:val="24"/>
          <w:lang w:val="es-MX"/>
        </w:rPr>
        <w:t xml:space="preserve">Como última reflexión, </w:t>
      </w:r>
      <w:r w:rsidR="00BE66DD">
        <w:rPr>
          <w:rFonts w:ascii="Arial" w:hAnsi="Arial" w:cs="Arial"/>
          <w:sz w:val="24"/>
          <w:szCs w:val="24"/>
          <w:lang w:val="es-MX"/>
        </w:rPr>
        <w:t>hago hincapié en</w:t>
      </w:r>
      <w:r w:rsidR="00C351D1">
        <w:rPr>
          <w:rFonts w:ascii="Arial" w:hAnsi="Arial" w:cs="Arial"/>
          <w:sz w:val="24"/>
          <w:szCs w:val="24"/>
          <w:lang w:val="es-MX"/>
        </w:rPr>
        <w:t xml:space="preserve"> señalar la necesidad urgente</w:t>
      </w:r>
      <w:r w:rsidR="000F0F55">
        <w:rPr>
          <w:rFonts w:ascii="Arial" w:hAnsi="Arial" w:cs="Arial"/>
          <w:sz w:val="24"/>
          <w:szCs w:val="24"/>
          <w:lang w:val="es-MX"/>
        </w:rPr>
        <w:t xml:space="preserve"> de cambios </w:t>
      </w:r>
      <w:r w:rsidR="00C351D1">
        <w:rPr>
          <w:rFonts w:ascii="Arial" w:hAnsi="Arial" w:cs="Arial"/>
          <w:sz w:val="24"/>
          <w:szCs w:val="24"/>
          <w:lang w:val="es-MX"/>
        </w:rPr>
        <w:t>y</w:t>
      </w:r>
      <w:r w:rsidR="000F0F55">
        <w:rPr>
          <w:rFonts w:ascii="Arial" w:hAnsi="Arial" w:cs="Arial"/>
          <w:sz w:val="24"/>
          <w:szCs w:val="24"/>
          <w:lang w:val="es-MX"/>
        </w:rPr>
        <w:t xml:space="preserve"> soluciones tanto en las políticas</w:t>
      </w:r>
      <w:r w:rsidR="00DD7A4B">
        <w:rPr>
          <w:rFonts w:ascii="Arial" w:hAnsi="Arial" w:cs="Arial"/>
          <w:sz w:val="24"/>
          <w:szCs w:val="24"/>
          <w:lang w:val="es-MX"/>
        </w:rPr>
        <w:t xml:space="preserve"> públicas</w:t>
      </w:r>
      <w:r w:rsidR="000F0F55">
        <w:rPr>
          <w:rFonts w:ascii="Arial" w:hAnsi="Arial" w:cs="Arial"/>
          <w:sz w:val="24"/>
          <w:szCs w:val="24"/>
          <w:lang w:val="es-MX"/>
        </w:rPr>
        <w:t xml:space="preserve"> como en los procesos judiciales, </w:t>
      </w:r>
      <w:r w:rsidR="00C351D1">
        <w:rPr>
          <w:rFonts w:ascii="Arial" w:hAnsi="Arial" w:cs="Arial"/>
          <w:sz w:val="24"/>
          <w:szCs w:val="24"/>
          <w:lang w:val="es-MX"/>
        </w:rPr>
        <w:t>ya que,</w:t>
      </w:r>
      <w:r w:rsidR="000F0F55">
        <w:rPr>
          <w:rFonts w:ascii="Arial" w:hAnsi="Arial" w:cs="Arial"/>
          <w:sz w:val="24"/>
          <w:szCs w:val="24"/>
          <w:lang w:val="es-MX"/>
        </w:rPr>
        <w:t xml:space="preserve"> sumado a la situación que enfrenta la población en general, la</w:t>
      </w:r>
      <w:r w:rsidR="00C351D1">
        <w:rPr>
          <w:rFonts w:ascii="Arial" w:hAnsi="Arial" w:cs="Arial"/>
          <w:sz w:val="24"/>
          <w:szCs w:val="24"/>
          <w:lang w:val="es-MX"/>
        </w:rPr>
        <w:t>s</w:t>
      </w:r>
      <w:r w:rsidR="000F0F55">
        <w:rPr>
          <w:rFonts w:ascii="Arial" w:hAnsi="Arial" w:cs="Arial"/>
          <w:sz w:val="24"/>
          <w:szCs w:val="24"/>
          <w:lang w:val="es-MX"/>
        </w:rPr>
        <w:t xml:space="preserve"> mujer</w:t>
      </w:r>
      <w:r w:rsidR="00C351D1">
        <w:rPr>
          <w:rFonts w:ascii="Arial" w:hAnsi="Arial" w:cs="Arial"/>
          <w:sz w:val="24"/>
          <w:szCs w:val="24"/>
          <w:lang w:val="es-MX"/>
        </w:rPr>
        <w:t>es</w:t>
      </w:r>
      <w:r w:rsidR="000F0F55">
        <w:rPr>
          <w:rFonts w:ascii="Arial" w:hAnsi="Arial" w:cs="Arial"/>
          <w:sz w:val="24"/>
          <w:szCs w:val="24"/>
          <w:lang w:val="es-MX"/>
        </w:rPr>
        <w:t xml:space="preserve"> sufre</w:t>
      </w:r>
      <w:r w:rsidR="00C351D1">
        <w:rPr>
          <w:rFonts w:ascii="Arial" w:hAnsi="Arial" w:cs="Arial"/>
          <w:sz w:val="24"/>
          <w:szCs w:val="24"/>
          <w:lang w:val="es-MX"/>
        </w:rPr>
        <w:t>n</w:t>
      </w:r>
      <w:r w:rsidR="000F0F55">
        <w:rPr>
          <w:rFonts w:ascii="Arial" w:hAnsi="Arial" w:cs="Arial"/>
          <w:sz w:val="24"/>
          <w:szCs w:val="24"/>
          <w:lang w:val="es-MX"/>
        </w:rPr>
        <w:t xml:space="preserve"> un </w:t>
      </w:r>
      <w:r w:rsidR="00C351D1">
        <w:rPr>
          <w:rFonts w:ascii="Arial" w:hAnsi="Arial" w:cs="Arial"/>
          <w:sz w:val="24"/>
          <w:szCs w:val="24"/>
          <w:lang w:val="es-MX"/>
        </w:rPr>
        <w:t xml:space="preserve">alarmante </w:t>
      </w:r>
      <w:r w:rsidR="000F0F55">
        <w:rPr>
          <w:rFonts w:ascii="Arial" w:hAnsi="Arial" w:cs="Arial"/>
          <w:sz w:val="24"/>
          <w:szCs w:val="24"/>
          <w:lang w:val="es-MX"/>
        </w:rPr>
        <w:t xml:space="preserve">porcentaje </w:t>
      </w:r>
      <w:r w:rsidR="00C351D1">
        <w:rPr>
          <w:rFonts w:ascii="Arial" w:hAnsi="Arial" w:cs="Arial"/>
          <w:sz w:val="24"/>
          <w:szCs w:val="24"/>
          <w:lang w:val="es-MX"/>
        </w:rPr>
        <w:t>en cuanto a</w:t>
      </w:r>
      <w:r w:rsidR="000F0F55">
        <w:rPr>
          <w:rFonts w:ascii="Arial" w:hAnsi="Arial" w:cs="Arial"/>
          <w:sz w:val="24"/>
          <w:szCs w:val="24"/>
          <w:lang w:val="es-MX"/>
        </w:rPr>
        <w:t xml:space="preserve"> delitos sexuales y violencia familiar. </w:t>
      </w:r>
      <w:r w:rsidR="00C351D1">
        <w:rPr>
          <w:rFonts w:ascii="Arial" w:hAnsi="Arial" w:cs="Arial"/>
          <w:sz w:val="24"/>
          <w:szCs w:val="24"/>
          <w:lang w:val="es-MX"/>
        </w:rPr>
        <w:t>Hasta</w:t>
      </w:r>
      <w:r w:rsidR="00104873">
        <w:rPr>
          <w:rFonts w:ascii="Arial" w:hAnsi="Arial" w:cs="Arial"/>
          <w:sz w:val="24"/>
          <w:szCs w:val="24"/>
          <w:lang w:val="es-MX"/>
        </w:rPr>
        <w:t xml:space="preserve"> la fecha de publicación de este artículo, los delitos sexuales ha</w:t>
      </w:r>
      <w:r w:rsidR="00C351D1">
        <w:rPr>
          <w:rFonts w:ascii="Arial" w:hAnsi="Arial" w:cs="Arial"/>
          <w:sz w:val="24"/>
          <w:szCs w:val="24"/>
          <w:lang w:val="es-MX"/>
        </w:rPr>
        <w:t>n aumentado un</w:t>
      </w:r>
      <w:r w:rsidR="00104873">
        <w:rPr>
          <w:rFonts w:ascii="Arial" w:hAnsi="Arial" w:cs="Arial"/>
          <w:sz w:val="24"/>
          <w:szCs w:val="24"/>
          <w:lang w:val="es-MX"/>
        </w:rPr>
        <w:t xml:space="preserve"> 33.4%, mientras que los delitos categorizados como ‘violación’, ‘</w:t>
      </w:r>
      <w:r w:rsidR="00C351D1">
        <w:rPr>
          <w:rFonts w:ascii="Arial" w:hAnsi="Arial" w:cs="Arial"/>
          <w:sz w:val="24"/>
          <w:szCs w:val="24"/>
          <w:lang w:val="es-MX"/>
        </w:rPr>
        <w:t>v</w:t>
      </w:r>
      <w:r w:rsidR="00104873">
        <w:rPr>
          <w:rFonts w:ascii="Arial" w:hAnsi="Arial" w:cs="Arial"/>
          <w:sz w:val="24"/>
          <w:szCs w:val="24"/>
          <w:lang w:val="es-MX"/>
        </w:rPr>
        <w:t xml:space="preserve">iolencia de género’ y ‘violencia familiar’ han </w:t>
      </w:r>
      <w:r w:rsidR="00C351D1">
        <w:rPr>
          <w:rFonts w:ascii="Arial" w:hAnsi="Arial" w:cs="Arial"/>
          <w:sz w:val="24"/>
          <w:szCs w:val="24"/>
          <w:lang w:val="es-MX"/>
        </w:rPr>
        <w:t>incrementad</w:t>
      </w:r>
      <w:r w:rsidR="00104873">
        <w:rPr>
          <w:rFonts w:ascii="Arial" w:hAnsi="Arial" w:cs="Arial"/>
          <w:sz w:val="24"/>
          <w:szCs w:val="24"/>
          <w:lang w:val="es-MX"/>
        </w:rPr>
        <w:t>o un 10.1%, 41.6% y 9.6% respectivamente.</w:t>
      </w:r>
    </w:p>
    <w:p w14:paraId="3635C7C4" w14:textId="48C64E10" w:rsidR="00DD7A4B" w:rsidRPr="007E7288" w:rsidRDefault="00DD7A4B" w:rsidP="00C351D1">
      <w:pPr>
        <w:jc w:val="both"/>
        <w:rPr>
          <w:rFonts w:ascii="Arial" w:hAnsi="Arial" w:cs="Arial"/>
          <w:sz w:val="24"/>
          <w:szCs w:val="24"/>
          <w:lang w:val="es-MX"/>
        </w:rPr>
      </w:pPr>
    </w:p>
    <w:sectPr w:rsidR="00DD7A4B" w:rsidRPr="007E72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791AB" w14:textId="77777777" w:rsidR="00327BE0" w:rsidRDefault="00327BE0" w:rsidP="00D203F7">
      <w:pPr>
        <w:spacing w:after="0" w:line="240" w:lineRule="auto"/>
      </w:pPr>
      <w:r>
        <w:separator/>
      </w:r>
    </w:p>
  </w:endnote>
  <w:endnote w:type="continuationSeparator" w:id="0">
    <w:p w14:paraId="61AAA140" w14:textId="77777777" w:rsidR="00327BE0" w:rsidRDefault="00327BE0" w:rsidP="00D20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82BE8" w14:textId="77777777" w:rsidR="00327BE0" w:rsidRDefault="00327BE0" w:rsidP="00D203F7">
      <w:pPr>
        <w:spacing w:after="0" w:line="240" w:lineRule="auto"/>
      </w:pPr>
      <w:r>
        <w:separator/>
      </w:r>
    </w:p>
  </w:footnote>
  <w:footnote w:type="continuationSeparator" w:id="0">
    <w:p w14:paraId="283A5538" w14:textId="77777777" w:rsidR="00327BE0" w:rsidRDefault="00327BE0" w:rsidP="00D203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64A"/>
    <w:rsid w:val="00000BFE"/>
    <w:rsid w:val="00002508"/>
    <w:rsid w:val="000065A2"/>
    <w:rsid w:val="00031789"/>
    <w:rsid w:val="00092659"/>
    <w:rsid w:val="000F0F55"/>
    <w:rsid w:val="0010450D"/>
    <w:rsid w:val="00104873"/>
    <w:rsid w:val="001573F3"/>
    <w:rsid w:val="001C71A1"/>
    <w:rsid w:val="00204C9E"/>
    <w:rsid w:val="002972A7"/>
    <w:rsid w:val="003228A3"/>
    <w:rsid w:val="00327BE0"/>
    <w:rsid w:val="00331BB6"/>
    <w:rsid w:val="00370B8F"/>
    <w:rsid w:val="003D06B8"/>
    <w:rsid w:val="003D0AB0"/>
    <w:rsid w:val="00457938"/>
    <w:rsid w:val="00491CC6"/>
    <w:rsid w:val="00505B72"/>
    <w:rsid w:val="00614878"/>
    <w:rsid w:val="006342BE"/>
    <w:rsid w:val="00663A4E"/>
    <w:rsid w:val="00683525"/>
    <w:rsid w:val="006B5A78"/>
    <w:rsid w:val="006D1B2F"/>
    <w:rsid w:val="006E0140"/>
    <w:rsid w:val="00717D55"/>
    <w:rsid w:val="0073764A"/>
    <w:rsid w:val="00746986"/>
    <w:rsid w:val="0076722F"/>
    <w:rsid w:val="0077082A"/>
    <w:rsid w:val="00780D7F"/>
    <w:rsid w:val="007E7288"/>
    <w:rsid w:val="0084062F"/>
    <w:rsid w:val="008802BE"/>
    <w:rsid w:val="00892197"/>
    <w:rsid w:val="00950A87"/>
    <w:rsid w:val="00A459B9"/>
    <w:rsid w:val="00A54ED6"/>
    <w:rsid w:val="00A77656"/>
    <w:rsid w:val="00A93934"/>
    <w:rsid w:val="00AB53F2"/>
    <w:rsid w:val="00B0727D"/>
    <w:rsid w:val="00B24817"/>
    <w:rsid w:val="00BD29FC"/>
    <w:rsid w:val="00BE66DD"/>
    <w:rsid w:val="00C351D1"/>
    <w:rsid w:val="00C66082"/>
    <w:rsid w:val="00CB3010"/>
    <w:rsid w:val="00D203F7"/>
    <w:rsid w:val="00D81D64"/>
    <w:rsid w:val="00DD7A4B"/>
    <w:rsid w:val="00DE75E7"/>
    <w:rsid w:val="00E24257"/>
    <w:rsid w:val="00F326FA"/>
    <w:rsid w:val="00F81211"/>
    <w:rsid w:val="00F93EE4"/>
    <w:rsid w:val="00FF6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35F0"/>
  <w15:chartTrackingRefBased/>
  <w15:docId w15:val="{981D62BE-0D0C-44B1-B806-A7501B838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7D55"/>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paragraph" w:styleId="Header">
    <w:name w:val="header"/>
    <w:basedOn w:val="Normal"/>
    <w:link w:val="HeaderChar"/>
    <w:uiPriority w:val="99"/>
    <w:unhideWhenUsed/>
    <w:rsid w:val="00D203F7"/>
    <w:pPr>
      <w:tabs>
        <w:tab w:val="center" w:pos="4419"/>
        <w:tab w:val="right" w:pos="8838"/>
      </w:tabs>
      <w:spacing w:after="0" w:line="240" w:lineRule="auto"/>
    </w:pPr>
  </w:style>
  <w:style w:type="character" w:customStyle="1" w:styleId="HeaderChar">
    <w:name w:val="Header Char"/>
    <w:basedOn w:val="DefaultParagraphFont"/>
    <w:link w:val="Header"/>
    <w:uiPriority w:val="99"/>
    <w:rsid w:val="00D203F7"/>
  </w:style>
  <w:style w:type="paragraph" w:styleId="Footer">
    <w:name w:val="footer"/>
    <w:basedOn w:val="Normal"/>
    <w:link w:val="FooterChar"/>
    <w:uiPriority w:val="99"/>
    <w:unhideWhenUsed/>
    <w:rsid w:val="00D203F7"/>
    <w:pPr>
      <w:tabs>
        <w:tab w:val="center" w:pos="4419"/>
        <w:tab w:val="right" w:pos="8838"/>
      </w:tabs>
      <w:spacing w:after="0" w:line="240" w:lineRule="auto"/>
    </w:pPr>
  </w:style>
  <w:style w:type="character" w:customStyle="1" w:styleId="FooterChar">
    <w:name w:val="Footer Char"/>
    <w:basedOn w:val="DefaultParagraphFont"/>
    <w:link w:val="Footer"/>
    <w:uiPriority w:val="99"/>
    <w:rsid w:val="00D20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81712">
      <w:bodyDiv w:val="1"/>
      <w:marLeft w:val="0"/>
      <w:marRight w:val="0"/>
      <w:marTop w:val="0"/>
      <w:marBottom w:val="0"/>
      <w:divBdr>
        <w:top w:val="none" w:sz="0" w:space="0" w:color="auto"/>
        <w:left w:val="none" w:sz="0" w:space="0" w:color="auto"/>
        <w:bottom w:val="none" w:sz="0" w:space="0" w:color="auto"/>
        <w:right w:val="none" w:sz="0" w:space="0" w:color="auto"/>
      </w:divBdr>
    </w:div>
    <w:div w:id="779371679">
      <w:bodyDiv w:val="1"/>
      <w:marLeft w:val="0"/>
      <w:marRight w:val="0"/>
      <w:marTop w:val="0"/>
      <w:marBottom w:val="0"/>
      <w:divBdr>
        <w:top w:val="none" w:sz="0" w:space="0" w:color="auto"/>
        <w:left w:val="none" w:sz="0" w:space="0" w:color="auto"/>
        <w:bottom w:val="none" w:sz="0" w:space="0" w:color="auto"/>
        <w:right w:val="none" w:sz="0" w:space="0" w:color="auto"/>
      </w:divBdr>
    </w:div>
    <w:div w:id="1498618242">
      <w:bodyDiv w:val="1"/>
      <w:marLeft w:val="0"/>
      <w:marRight w:val="0"/>
      <w:marTop w:val="0"/>
      <w:marBottom w:val="0"/>
      <w:divBdr>
        <w:top w:val="none" w:sz="0" w:space="0" w:color="auto"/>
        <w:left w:val="none" w:sz="0" w:space="0" w:color="auto"/>
        <w:bottom w:val="none" w:sz="0" w:space="0" w:color="auto"/>
        <w:right w:val="none" w:sz="0" w:space="0" w:color="auto"/>
      </w:divBdr>
    </w:div>
    <w:div w:id="1724329690">
      <w:bodyDiv w:val="1"/>
      <w:marLeft w:val="0"/>
      <w:marRight w:val="0"/>
      <w:marTop w:val="0"/>
      <w:marBottom w:val="0"/>
      <w:divBdr>
        <w:top w:val="none" w:sz="0" w:space="0" w:color="auto"/>
        <w:left w:val="none" w:sz="0" w:space="0" w:color="auto"/>
        <w:bottom w:val="none" w:sz="0" w:space="0" w:color="auto"/>
        <w:right w:val="none" w:sz="0" w:space="0" w:color="auto"/>
      </w:divBdr>
    </w:div>
    <w:div w:id="1807119400">
      <w:bodyDiv w:val="1"/>
      <w:marLeft w:val="0"/>
      <w:marRight w:val="0"/>
      <w:marTop w:val="0"/>
      <w:marBottom w:val="0"/>
      <w:divBdr>
        <w:top w:val="none" w:sz="0" w:space="0" w:color="auto"/>
        <w:left w:val="none" w:sz="0" w:space="0" w:color="auto"/>
        <w:bottom w:val="none" w:sz="0" w:space="0" w:color="auto"/>
        <w:right w:val="none" w:sz="0" w:space="0" w:color="auto"/>
      </w:divBdr>
      <w:divsChild>
        <w:div w:id="1084843976">
          <w:marLeft w:val="0"/>
          <w:marRight w:val="0"/>
          <w:marTop w:val="0"/>
          <w:marBottom w:val="0"/>
          <w:divBdr>
            <w:top w:val="none" w:sz="0" w:space="0" w:color="auto"/>
            <w:left w:val="none" w:sz="0" w:space="0" w:color="auto"/>
            <w:bottom w:val="none" w:sz="0" w:space="0" w:color="auto"/>
            <w:right w:val="none" w:sz="0" w:space="0" w:color="auto"/>
          </w:divBdr>
        </w:div>
        <w:div w:id="286817687">
          <w:marLeft w:val="0"/>
          <w:marRight w:val="0"/>
          <w:marTop w:val="0"/>
          <w:marBottom w:val="0"/>
          <w:divBdr>
            <w:top w:val="none" w:sz="0" w:space="0" w:color="auto"/>
            <w:left w:val="none" w:sz="0" w:space="0" w:color="auto"/>
            <w:bottom w:val="none" w:sz="0" w:space="0" w:color="auto"/>
            <w:right w:val="none" w:sz="0" w:space="0" w:color="auto"/>
          </w:divBdr>
        </w:div>
        <w:div w:id="816260974">
          <w:marLeft w:val="0"/>
          <w:marRight w:val="0"/>
          <w:marTop w:val="0"/>
          <w:marBottom w:val="0"/>
          <w:divBdr>
            <w:top w:val="none" w:sz="0" w:space="0" w:color="auto"/>
            <w:left w:val="none" w:sz="0" w:space="0" w:color="auto"/>
            <w:bottom w:val="none" w:sz="0" w:space="0" w:color="auto"/>
            <w:right w:val="none" w:sz="0" w:space="0" w:color="auto"/>
          </w:divBdr>
        </w:div>
        <w:div w:id="829754960">
          <w:marLeft w:val="0"/>
          <w:marRight w:val="0"/>
          <w:marTop w:val="0"/>
          <w:marBottom w:val="0"/>
          <w:divBdr>
            <w:top w:val="none" w:sz="0" w:space="0" w:color="auto"/>
            <w:left w:val="none" w:sz="0" w:space="0" w:color="auto"/>
            <w:bottom w:val="none" w:sz="0" w:space="0" w:color="auto"/>
            <w:right w:val="none" w:sz="0" w:space="0" w:color="auto"/>
          </w:divBdr>
        </w:div>
        <w:div w:id="237714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48F3B53-1755-4BAF-8F72-8BA0DF5F687F}">
  <we:reference id="wa104381335" version="1.0.0.1" store="en-US" storeType="OMEX"/>
  <we:alternateReferences>
    <we:reference id="WA104381335" version="1.0.0.1" store="WA104381335"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935BA5D-8A23-4302-9CF4-07ECCF0BB995}">
  <we:reference id="wa104178141" version="4.3.3.0" store="en-US" storeType="OMEX"/>
  <we:alternateReferences>
    <we:reference id="WA104178141" version="4.3.3.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B4620-5F17-44D3-BAE6-FBE2686A4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1</Pages>
  <Words>1000</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Estrada</dc:creator>
  <cp:keywords/>
  <dc:description/>
  <cp:lastModifiedBy>Alejandro Estrada</cp:lastModifiedBy>
  <cp:revision>11</cp:revision>
  <dcterms:created xsi:type="dcterms:W3CDTF">2023-03-26T20:22:00Z</dcterms:created>
  <dcterms:modified xsi:type="dcterms:W3CDTF">2023-03-28T22:27:00Z</dcterms:modified>
</cp:coreProperties>
</file>