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numbering.xml" ContentType="application/vnd.openxmlformats-officedocument.wordprocessingml.numbering+xml"/>
  <Override PartName="/word/theme/theme1.xml" ContentType="application/vnd.openxmlformats-officedocument.theme+xml"/>
</Types>
</file>

<file path=_rels/.rels><?xml version="1.0" encoding="UTF-8"?>
<Relationships xmlns="http://schemas.openxmlformats.org/package/2006/relationships"><Relationship Id="rId1" Type="http://schemas.openxmlformats.org/package/2006/relationships/metadata/core-properties" Target="docProps/core.xml"></Relationship><Relationship Id="rId2" Type="http://schemas.openxmlformats.org/officeDocument/2006/relationships/extended-properties" Target="docProps/app.xml"></Relationship><Relationship Id="rId3" Type="http://schemas.openxmlformats.org/officeDocument/2006/relationships/officeDocument" Target="word/document.xml"></Relationship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15="http://schemas.microsoft.com/office/word/2012/wordml" xmlns:wpi="http://schemas.microsoft.com/office/word/2010/wordprocessingInk" xmlns:w16cid="http://schemas.microsoft.com/office/word/2016/wordml/cid" xmlns:am3d="http://schemas.microsoft.com/office/drawing/2017/model3d" xmlns:w16se="http://schemas.microsoft.com/office/word/2015/wordml/symex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mc:Ignorable="w14 wp14 w15">
  <w:body>
    <w:p>
      <w:pPr>
        <w:pStyle w:val="PO155"/>
        <w:spacing w:lineRule="auto" w:line="256"/>
        <w:rPr>
          <w:color w:val="auto"/>
          <w:sz w:val="16"/>
          <w:szCs w:val="16"/>
          <w:shd w:val="clear" w:color="auto" w:fill="auto"/>
          <w:rFonts w:cs="함초롬바탕" w:asciiTheme="minorHAnsi" w:eastAsiaTheme="minorHAnsi" w:hAnsiTheme="minorHAnsi"/>
        </w:rPr>
      </w:pPr>
    </w:p>
    <w:tbl>
      <w:tblID w:val="0"/>
      <w:tblPr>
        <w:tblStyle w:val="PO37"/>
        <w:tblpPr w:vertAnchor="text" w:tblpXSpec="left" w:tblpY="1"/>
        <w:tblBorders>
          <w:top w:val="nil"/>
          <w:left w:val="nil"/>
          <w:bottom w:val="nil"/>
          <w:right w:val="nil"/>
          <w:insideH w:val="nil"/>
          <w:insideV w:val="nil"/>
        </w:tblBorders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7938"/>
      </w:tblGrid>
      <w:tr>
        <w:trPr>
          <w:trHeight w:hRule="exact" w:val="1587"/>
        </w:trPr>
        <w:tc>
          <w:tcPr>
            <w:tcW w:type="dxa" w:w="7938"/>
            <w:tcMar>
              <w:left w:w="0" w:type="dxa"/>
              <w:right w:w="0" w:type="dxa"/>
            </w:tcMar>
            <w:vAlign w:val="top"/>
          </w:tcPr>
          <w:p>
            <w:pPr>
              <w:pStyle w:val="PO155"/>
              <w:jc w:val="left"/>
              <w:rPr>
                <w:color w:val="auto"/>
                <w:shd w:val="clear" w:color="auto" w:fill="auto"/>
              </w:rPr>
              <w:wordWrap w:val="1"/>
            </w:pPr>
            <w:bookmarkStart w:id="1" w:name="_Hlk139202578"/>
          </w:p>
          <w:p>
            <w:pPr>
              <w:pStyle w:val="PO155"/>
              <w:jc w:val="left"/>
              <w:rPr>
                <w:b w:val="1"/>
                <w:color w:val="auto"/>
                <w:shd w:val="clear" w:color="auto" w:fill="auto"/>
              </w:rPr>
              <w:wordWrap w:val="1"/>
            </w:pPr>
          </w:p>
          <w:p>
            <w:pPr>
              <w:pStyle w:val="PO155"/>
              <w:jc w:val="center"/>
              <w:rPr>
                <w:color w:val="auto"/>
                <w:shd w:val="clear" w:color="auto" w:fill="auto"/>
              </w:rPr>
              <w:wordWrap w:val="1"/>
            </w:pPr>
            <w:r>
              <w:rPr>
                <w:b w:val="1"/>
                <w:shd w:val="clear" w:color="auto" w:fill="auto"/>
                <w:rFonts w:ascii="HY신명조" w:eastAsia="HY신명조" w:hAnsi="HY신명조" w:cs="HY신명조"/>
              </w:rPr>
              <w:t xml:space="preserve">독립 개인 연구 보고서</w:t>
            </w:r>
            <w:r>
              <w:rPr>
                <w:shd w:val="clear" w:color="auto" w:fill="auto"/>
              </w:rPr>
              <w:br/>
            </w:r>
            <w:r>
              <w:rPr>
                <w:i w:val="1"/>
                <w:shd w:val="clear" w:color="auto" w:fill="auto"/>
              </w:rPr>
              <w:t xml:space="preserve">Independent Personal Research Report (Non-degree, Non-thesis)</w:t>
            </w:r>
          </w:p>
          <w:p>
            <w:pPr>
              <w:pStyle w:val="PO155"/>
              <w:rPr>
                <w:color w:val="auto"/>
                <w:shd w:val="clear" w:color="auto" w:fill="auto"/>
              </w:rPr>
            </w:pPr>
          </w:p>
          <w:p>
            <w:pPr>
              <w:pStyle w:val="PO155"/>
              <w:jc w:val="center"/>
              <w:rPr>
                <w:color w:val="auto"/>
                <w:shd w:val="clear" w:color="auto" w:fill="auto"/>
              </w:rPr>
              <w:wordWrap w:val="1"/>
            </w:pPr>
            <w:r>
              <w:rPr>
                <w:b w:val="1"/>
                <w:color w:val="auto"/>
                <w:shd w:val="clear" w:color="auto" w:fill="auto"/>
                <w:rFonts w:eastAsia="한양신명조" w:hint="eastAsia"/>
              </w:rPr>
              <w:t xml:space="preserve"> 제본 크기를 고려하여 </w:t>
            </w:r>
            <w:r>
              <w:rPr>
                <w:b w:val="1"/>
                <w:color w:val="auto"/>
                <w:shd w:val="clear" w:color="auto" w:fill="auto"/>
                <w:rFonts w:eastAsia="한양신명조"/>
              </w:rPr>
              <w:t>‘</w:t>
            </w:r>
            <w:r>
              <w:rPr>
                <w:b w:val="1"/>
                <w:color w:val="auto"/>
                <w:shd w:val="clear" w:color="auto" w:fill="auto"/>
                <w:rFonts w:eastAsia="한양신명조" w:hint="eastAsia"/>
              </w:rPr>
              <w:t xml:space="preserve">위 여백</w:t>
            </w:r>
            <w:r>
              <w:rPr>
                <w:b w:val="1"/>
                <w:color w:val="auto"/>
                <w:shd w:val="clear" w:color="auto" w:fill="auto"/>
                <w:rFonts w:eastAsia="한양신명조"/>
              </w:rPr>
              <w:t xml:space="preserve">’ </w:t>
            </w:r>
            <w:r>
              <w:rPr>
                <w:b w:val="1"/>
                <w:color w:val="auto"/>
                <w:shd w:val="clear" w:color="auto" w:fill="auto"/>
                <w:rFonts w:eastAsia="한양신명조" w:hint="eastAsia"/>
              </w:rPr>
              <w:t xml:space="preserve">전체 </w:t>
            </w:r>
            <w:r>
              <w:rPr>
                <w:b w:val="1"/>
                <w:color w:val="auto"/>
                <w:shd w:val="clear" w:color="auto" w:fill="auto"/>
                <w:rFonts w:eastAsia="한양신명조"/>
              </w:rPr>
              <w:t xml:space="preserve">8cm (</w:t>
            </w:r>
            <w:r>
              <w:rPr>
                <w:b w:val="1"/>
                <w:color w:val="auto"/>
                <w:shd w:val="clear" w:color="auto" w:fill="auto"/>
                <w:rFonts w:eastAsia="한양신명조" w:hint="eastAsia"/>
              </w:rPr>
              <w:t xml:space="preserve">표 높이 변경 금지</w:t>
            </w:r>
            <w:r>
              <w:rPr>
                <w:b w:val="1"/>
                <w:color w:val="auto"/>
                <w:shd w:val="clear" w:color="auto" w:fill="auto"/>
                <w:rFonts w:eastAsia="한양신명조"/>
              </w:rPr>
              <w:t>)</w:t>
            </w:r>
          </w:p>
          <w:p>
            <w:pPr>
              <w:pStyle w:val="PO155"/>
              <w:jc w:val="center"/>
              <w:spacing w:lineRule="auto" w:line="240"/>
              <w:rPr>
                <w:b w:val="1"/>
                <w:color w:val="auto"/>
                <w:shd w:val="clear" w:color="auto" w:fill="auto"/>
                <w:rFonts w:ascii="HY신명조" w:eastAsia="HY신명조" w:cs="함초롬바탕" w:hAnsiTheme="minorHAnsi"/>
              </w:rPr>
            </w:pPr>
            <w:r>
              <w:rPr>
                <w:color w:val="auto"/>
                <w:shd w:val="clear" w:color="auto" w:fill="auto"/>
                <w:rFonts w:ascii="HY신명조" w:eastAsia="HY신명조" w:cs="함초롬바탕"/>
              </w:rPr>
              <w:t xml:space="preserve"> </w:t>
            </w:r>
          </w:p>
        </w:tc>
      </w:tr>
      <w:tr>
        <w:trPr>
          <w:trHeight w:hRule="exact" w:val="2767"/>
        </w:trPr>
        <w:tc>
          <w:tcPr>
            <w:tcW w:type="dxa" w:w="7938"/>
            <w:tcMar>
              <w:left w:w="0" w:type="dxa"/>
              <w:right w:w="0" w:type="dxa"/>
            </w:tcMar>
            <w:vAlign w:val="top"/>
          </w:tcPr>
          <w:p>
            <w:pPr>
              <w:jc w:val="center"/>
              <w:spacing w:lineRule="auto" w:line="275" w:after="0"/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cs="함초롬바탕" w:hAnsiTheme="minorHAnsi"/>
                <w:lang w:eastAsia="ko-KR"/>
              </w:rPr>
              <w:wordWrap w:val="1"/>
              <w:widowControl w:val="1"/>
              <w:autoSpaceDE w:val="1"/>
              <w:autoSpaceDN w:val="1"/>
            </w:pP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Ansi="HY신명조" w:cs="HY신명조"/>
              </w:rPr>
              <w:t xml:space="preserve">대전시 공공 대기질 자료를 활용한 </w:t>
            </w: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Ansi="HY신명조" w:cs="HY신명조"/>
              </w:rPr>
              <w:t xml:space="preserve">1시간 뒤 미세먼지 예측 성능 평가와 </w:t>
            </w: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Ansi="HY신명조" w:cs="HY신명조"/>
              </w:rPr>
              <w:t xml:space="preserve">공간 취약성 진단</w:t>
            </w:r>
          </w:p>
          <w:p>
            <w:pPr>
              <w:pStyle w:val="PO155"/>
              <w:jc w:val="both"/>
              <w:spacing w:lineRule="auto" w:line="275"/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cs="함초롬바탕" w:hAnsiTheme="minorHAnsi"/>
              </w:rPr>
            </w:pPr>
          </w:p>
          <w:p>
            <w:pPr>
              <w:pStyle w:val="PO155"/>
              <w:jc w:val="both"/>
              <w:spacing w:lineRule="auto" w:line="275"/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cs="함초롬바탕" w:hAnsiTheme="minorHAnsi"/>
              </w:rPr>
            </w:pPr>
          </w:p>
        </w:tc>
      </w:tr>
      <w:tr>
        <w:trPr>
          <w:trHeight w:hRule="atleast" w:val="2819"/>
        </w:trPr>
        <w:tc>
          <w:tcPr>
            <w:tcW w:type="dxa" w:w="7938"/>
            <w:tcMar>
              <w:left w:w="0" w:type="dxa"/>
              <w:right w:w="0" w:type="dxa"/>
            </w:tcMar>
            <w:vAlign w:val="top"/>
          </w:tcPr>
          <w:p>
            <w:pPr>
              <w:pStyle w:val="PO155"/>
              <w:jc w:val="center"/>
              <w:spacing w:lineRule="auto" w:line="240"/>
              <w:rPr>
                <w:color w:val="auto"/>
                <w:shd w:val="clear" w:color="auto" w:fill="auto"/>
              </w:rPr>
            </w:pPr>
            <w:r>
              <w:rPr>
                <w:b w:val="1"/>
                <w:color w:val="auto"/>
                <w:shd w:val="clear" w:color="auto" w:fill="auto"/>
                <w:rFonts w:ascii="HY신명조" w:eastAsia="HY신명조" w:cs="함초롬바탕" w:hAnsiTheme="minorHAnsi"/>
                <w:lang w:eastAsia="ko-KR"/>
              </w:rPr>
              <w:t xml:space="preserve">공공 관측자료 기반 시계열 예측·기준 모형 비교·공간 취약성 통합 스터디</w:t>
            </w:r>
          </w:p>
          <w:p>
            <w:pPr>
              <w:pStyle w:val="PO155"/>
              <w:jc w:val="center"/>
              <w:spacing w:lineRule="auto" w:line="240"/>
              <w:rPr>
                <w:b w:val="1"/>
                <w:color w:val="auto"/>
                <w:shd w:val="clear" w:color="auto" w:fill="auto"/>
                <w:rFonts w:ascii="HY신명조" w:eastAsia="HY신명조" w:cs="함초롬바탕" w:hAnsiTheme="minorHAnsi"/>
              </w:rPr>
            </w:pPr>
          </w:p>
          <w:p>
            <w:pPr>
              <w:pStyle w:val="PO155"/>
              <w:jc w:val="center"/>
              <w:spacing w:lineRule="auto" w:line="240"/>
              <w:rPr>
                <w:b w:val="0"/>
                <w:color w:val="auto"/>
                <w:shd w:val="clear" w:color="auto" w:fill="auto"/>
                <w:rFonts w:ascii="HY신명조" w:eastAsia="HY신명조" w:cs="함초롬바탕" w:hAnsiTheme="minorHAnsi"/>
              </w:rPr>
            </w:pPr>
            <w:r>
              <w:rPr>
                <w:shd w:val="clear" w:color="auto" w:fill="auto"/>
                <w:rFonts w:ascii="HY신명조" w:eastAsia="HY신명조" w:hAnsi="HY신명조" w:cs="HY신명조"/>
              </w:rPr>
              <w:t xml:space="preserve">이 문서는 </w:t>
            </w:r>
            <w:r>
              <w:rPr>
                <w:b w:val="1"/>
                <w:shd w:val="clear" w:color="auto" w:fill="auto"/>
                <w:rFonts w:ascii="HY신명조" w:eastAsia="HY신명조" w:hAnsi="HY신명조" w:cs="HY신명조"/>
              </w:rPr>
              <w:t xml:space="preserve">학부/석사/박사 학위 취득을 위한 졸업논문·학위논문이 아니며</w:t>
            </w:r>
            <w:r>
              <w:rPr>
                <w:shd w:val="clear" w:color="auto" w:fill="auto"/>
                <w:rFonts w:ascii="HY신명조" w:eastAsia="HY신명조" w:hAnsi="HY신명조" w:cs="HY신명조"/>
              </w:rPr>
              <w:t>,</w:t>
            </w:r>
            <w:r>
              <w:rPr>
                <w:shd w:val="clear" w:color="auto" w:fill="auto"/>
                <w:rFonts w:ascii="HY신명조" w:eastAsia="HY신명조" w:hAnsi="HY신명조" w:cs="HY신명조"/>
              </w:rPr>
              <w:br/>
            </w:r>
            <w:r>
              <w:rPr>
                <w:shd w:val="clear" w:color="auto" w:fill="auto"/>
                <w:rFonts w:ascii="HY신명조" w:eastAsia="HY신명조" w:hAnsi="HY신명조" w:cs="HY신명조"/>
              </w:rPr>
              <w:t xml:space="preserve">연구자가 개인적으로 수행한 </w:t>
            </w:r>
            <w:r>
              <w:rPr>
                <w:b w:val="1"/>
                <w:shd w:val="clear" w:color="auto" w:fill="auto"/>
                <w:rFonts w:ascii="HY신명조" w:eastAsia="HY신명조" w:hAnsi="HY신명조" w:cs="HY신명조"/>
              </w:rPr>
              <w:t xml:space="preserve">비공식·비심사용 독립 연구 프로젝트 보고서</w:t>
            </w:r>
            <w:r>
              <w:rPr>
                <w:shd w:val="clear" w:color="auto" w:fill="auto"/>
                <w:rFonts w:ascii="HY신명조" w:eastAsia="HY신명조" w:hAnsi="HY신명조" w:cs="HY신명조"/>
              </w:rPr>
              <w:t>입니다</w:t>
            </w:r>
            <w:r>
              <w:rPr>
                <w:shd w:val="clear" w:color="auto" w:fill="auto"/>
              </w:rPr>
              <w:t>.</w:t>
            </w:r>
          </w:p>
        </w:tc>
      </w:tr>
      <w:tr>
        <w:trPr>
          <w:trHeight w:hRule="atleast" w:val="510"/>
        </w:trPr>
        <w:tc>
          <w:tcPr>
            <w:tcW w:type="dxa" w:w="7938"/>
            <w:tcMar>
              <w:left w:w="0" w:type="dxa"/>
              <w:right w:w="0" w:type="dxa"/>
            </w:tcMar>
            <w:vAlign w:val="top"/>
          </w:tcPr>
          <w:p>
            <w:pPr>
              <w:pStyle w:val="PO155"/>
              <w:jc w:val="center"/>
              <w:spacing w:lineRule="auto" w:line="240"/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cs="함초롬바탕" w:hAnsiTheme="minorHAnsi"/>
              </w:rPr>
            </w:pP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cs="함초롬바탕" w:hAnsiTheme="minorHAnsi" w:hint="eastAsia"/>
                <w:lang w:eastAsia="ko-KR"/>
              </w:rPr>
              <w:t>이청빈</w:t>
            </w:r>
          </w:p>
        </w:tc>
      </w:tr>
      <w:tr>
        <w:trPr>
          <w:trHeight w:hRule="exact" w:val="454"/>
        </w:trPr>
        <w:tc>
          <w:tcPr>
            <w:tcW w:type="dxa" w:w="7938"/>
            <w:tcMar>
              <w:left w:w="0" w:type="dxa"/>
              <w:right w:w="0" w:type="dxa"/>
            </w:tcMar>
            <w:vAlign w:val="top"/>
          </w:tcPr>
          <w:p>
            <w:pPr>
              <w:pStyle w:val="PO155"/>
              <w:jc w:val="center"/>
              <w:spacing w:lineRule="auto" w:line="240"/>
              <w:rPr>
                <w:color w:val="auto"/>
                <w:shd w:val="clear" w:color="auto" w:fill="auto"/>
                <w:rFonts w:cs="함초롬바탕" w:asciiTheme="minorHAnsi" w:eastAsiaTheme="minorHAnsi" w:hAnsiTheme="minorHAnsi"/>
              </w:rPr>
            </w:pPr>
          </w:p>
        </w:tc>
      </w:tr>
      <w:tr>
        <w:trPr>
          <w:trHeight w:hRule="atleast" w:val="510"/>
        </w:trPr>
        <w:tc>
          <w:tcPr>
            <w:tcW w:type="dxa" w:w="7938"/>
            <w:tcMar>
              <w:left w:w="0" w:type="dxa"/>
              <w:right w:w="0" w:type="dxa"/>
            </w:tcMar>
            <w:vAlign w:val="top"/>
          </w:tcPr>
          <w:p>
            <w:pPr>
              <w:pStyle w:val="PO155"/>
              <w:jc w:val="center"/>
              <w:spacing w:lineRule="auto" w:line="240"/>
              <w:rPr>
                <w:b w:val="1"/>
                <w:color w:val="auto"/>
                <w:shd w:val="clear" w:color="auto" w:fill="auto"/>
                <w:rFonts w:cs="함초롬바탕" w:asciiTheme="minorHAnsi" w:eastAsiaTheme="minorHAnsi" w:hAnsiTheme="minorHAnsi"/>
              </w:rPr>
            </w:pP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int="eastAsia"/>
                <w:lang w:eastAsia="ko-KR"/>
              </w:rPr>
              <w:t xml:space="preserve">(전)대전대학교 토목환경공학과</w:t>
            </w:r>
          </w:p>
        </w:tc>
      </w:tr>
      <w:tr>
        <w:trPr>
          <w:trHeight w:hRule="atleast" w:val="454"/>
        </w:trPr>
        <w:tc>
          <w:tcPr>
            <w:tcW w:type="dxa" w:w="7938"/>
            <w:tcMar>
              <w:left w:w="0" w:type="dxa"/>
              <w:right w:w="0" w:type="dxa"/>
            </w:tcMar>
            <w:vAlign w:val="top"/>
          </w:tcPr>
          <w:p>
            <w:pPr>
              <w:pStyle w:val="PO155"/>
              <w:jc w:val="center"/>
              <w:spacing w:lineRule="auto" w:line="240"/>
              <w:rPr>
                <w:color w:val="auto"/>
                <w:shd w:val="clear" w:color="auto" w:fill="auto"/>
                <w:rFonts w:cs="함초롬바탕" w:asciiTheme="minorHAnsi" w:eastAsiaTheme="minorHAnsi" w:hAnsiTheme="minorHAnsi"/>
              </w:rPr>
            </w:pPr>
            <w:r>
              <w:rPr>
                <w:color w:val="auto"/>
                <w:shd w:val="clear" w:color="auto" w:fill="auto"/>
                <w:rFonts w:cs="함초롬바탕" w:asciiTheme="minorHAnsi" w:eastAsiaTheme="minorHAnsi" w:hAnsiTheme="minorHAnsi"/>
              </w:rPr>
              <w:t xml:space="preserve">2023년도 졸업</w:t>
            </w:r>
          </w:p>
        </w:tc>
      </w:tr>
      <w:tr>
        <w:trPr>
          <w:trHeight w:hRule="atleast" w:val="1422"/>
        </w:trPr>
        <w:tc>
          <w:tcPr>
            <w:tcW w:type="dxa" w:w="7938"/>
            <w:tcMar>
              <w:left w:w="0" w:type="dxa"/>
              <w:right w:w="0" w:type="dxa"/>
            </w:tcMar>
            <w:vAlign w:val="top"/>
          </w:tcPr>
          <w:p>
            <w:pPr>
              <w:pStyle w:val="PO155"/>
              <w:jc w:val="center"/>
              <w:spacing w:lineRule="auto" w:line="240"/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int="eastAsia"/>
                <w:lang w:eastAsia="ko-KR"/>
              </w:rPr>
            </w:pPr>
          </w:p>
          <w:p>
            <w:pPr>
              <w:pStyle w:val="PO155"/>
              <w:jc w:val="center"/>
              <w:spacing w:lineRule="auto" w:line="240"/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int="eastAsia"/>
                <w:lang w:eastAsia="ko-KR"/>
              </w:rPr>
            </w:pP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int="eastAsia"/>
                <w:lang w:eastAsia="ko-KR"/>
              </w:rPr>
              <w:t>2</w:t>
            </w: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int="eastAsia"/>
                <w:lang w:eastAsia="ko-KR"/>
              </w:rPr>
              <w:t>026-</w:t>
            </w: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int="eastAsia"/>
                <w:lang w:eastAsia="ko-KR"/>
              </w:rPr>
              <w:t>0</w:t>
            </w: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int="eastAsia"/>
                <w:lang w:eastAsia="ko-KR"/>
              </w:rPr>
              <w:t xml:space="preserve">8-22 </w:t>
            </w:r>
            <w:r>
              <w:rPr>
                <w:b w:val="1"/>
                <w:color w:val="auto"/>
                <w:sz w:val="44"/>
                <w:szCs w:val="44"/>
                <w:shd w:val="clear" w:color="auto" w:fill="auto"/>
                <w:rFonts w:ascii="HY신명조" w:eastAsia="HY신명조" w:hint="eastAsia"/>
                <w:lang w:eastAsia="ko-KR"/>
              </w:rPr>
              <w:t>개정</w:t>
            </w:r>
          </w:p>
          <w:p>
            <w:pPr>
              <w:pStyle w:val="PO155"/>
              <w:jc w:val="center"/>
              <w:spacing w:lineRule="auto" w:line="240"/>
              <w:rPr>
                <w:color w:val="auto"/>
                <w:sz w:val="22"/>
                <w:szCs w:val="22"/>
                <w:shd w:val="clear" w:color="auto" w:fill="auto"/>
                <w:rFonts w:cs="함초롬바탕" w:asciiTheme="minorHAnsi" w:eastAsiaTheme="minorHAnsi" w:hAnsiTheme="minorHAnsi"/>
              </w:rPr>
            </w:pPr>
            <w:r>
              <w:rPr>
                <w:b w:val="1"/>
                <w:color w:val="auto"/>
                <w:sz w:val="22"/>
                <w:szCs w:val="22"/>
                <w:shd w:val="clear" w:color="auto" w:fill="auto"/>
                <w:rFonts w:ascii="HY신명조" w:eastAsia="HY신명조" w:hint="eastAsia"/>
                <w:lang w:eastAsia="ko-KR"/>
              </w:rPr>
              <w:t xml:space="preserve">2025-12-02 </w:t>
            </w:r>
            <w:r>
              <w:rPr>
                <w:b w:val="1"/>
                <w:color w:val="auto"/>
                <w:sz w:val="22"/>
                <w:szCs w:val="22"/>
                <w:shd w:val="clear" w:color="auto" w:fill="auto"/>
                <w:rFonts w:ascii="HY신명조" w:eastAsia="HY신명조" w:hint="eastAsia"/>
                <w:lang w:eastAsia="ko-KR"/>
              </w:rPr>
              <w:t xml:space="preserve">최초 작성</w:t>
            </w:r>
          </w:p>
        </w:tc>
      </w:tr>
      <w:tr>
        <w:trPr>
          <w:trHeight w:hRule="atleast" w:val="454"/>
        </w:trPr>
        <w:tc>
          <w:tcPr>
            <w:tcW w:type="dxa" w:w="7938"/>
            <w:tcMar>
              <w:left w:w="0" w:type="dxa"/>
              <w:right w:w="0" w:type="dxa"/>
            </w:tcMar>
            <w:vAlign w:val="center"/>
          </w:tcPr>
          <w:p>
            <w:pPr>
              <w:pStyle w:val="PO155"/>
              <w:jc w:val="center"/>
              <w:spacing w:lineRule="auto" w:line="240"/>
              <w:rPr>
                <w:b w:val="1"/>
                <w:color w:val="auto"/>
                <w:shd w:val="clear" w:color="auto" w:fill="auto"/>
                <w:rFonts w:ascii="HY신명조" w:eastAsia="HY신명조" w:cs="함초롬바탕" w:hAnsiTheme="minorHAnsi"/>
              </w:rPr>
            </w:pPr>
          </w:p>
        </w:tc>
      </w:tr>
    </w:tbl>
    <w:p>
      <w:pPr>
        <w:jc w:val="center"/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 w:hint="eastAsia"/>
        </w:rPr>
        <w:t>차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</w:rPr>
        <w:t xml:space="preserve">       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 w:hint="eastAsia"/>
        </w:rPr>
        <w:t>례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>목차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국문 요약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1. 서론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1.1 연구 배경 및 필요성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1.2 선행연구 동향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1.3 연구 공백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1.4 연구 목적 및 연구 질문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2. 연구 대상 지역 및 데이터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2.1 연구 대상 지역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2.2 대기질 데이터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2.3 기상 데이터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2.4 지역 PM 경보 및 황사 경보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2.5 파생 데이터 테이블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3. 연구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3.1 Overall workflow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3.2 Data processing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3.3 Feature engineering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3.4 Machine learning models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3.5 Spatial analysis with QGIS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3.6 Summary statistics &amp; Power BI dashboards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3.7 Analogue-year 구성 및 공간적 반복성 점검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4. 결과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4.1 RQ1 – 1hour-ahead prediction performance vs. persistence baseline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4.2 RQ2 – Spatial vulnerability in 2021–2023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4.3 RQ3 – 과거 3년 패턴의 공간적 반복성 점검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5. 논의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5.1 Predictive capability and limitations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5.2 Spatial vulnerability and policy implications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   5.3 Strengths, limitations and future work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6. 결론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>참고문헌</w:t>
      </w:r>
    </w:p>
    <w:p>
      <w:pPr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  <w:lang w:eastAsia="ko-KR"/>
        </w:rPr>
        <w:t xml:space="preserve">영문 요약</w:t>
      </w:r>
      <w:r>
        <w:br w:type="page"/>
      </w:r>
    </w:p>
    <w:p>
      <w:pPr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jc w:val="center"/>
        <w:rPr>
          <w:color w:val="auto"/>
          <w:sz w:val="26"/>
          <w:szCs w:val="26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</w:rPr>
        <w:t xml:space="preserve">국 문 요 약</w:t>
      </w:r>
    </w:p>
    <w:p>
      <w:pPr>
        <w:spacing w:lineRule="auto" w:line="275" w:after="0"/>
        <w:rPr>
          <w:color w:val="auto"/>
          <w:sz w:val="26"/>
          <w:szCs w:val="26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jc w:val="center"/>
        <w:spacing w:lineRule="auto" w:line="275" w:after="0"/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t xml:space="preserve">대전시 공공 대기질 자료를 활용한 1시간 뒤 미세먼지 예측 성능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t xml:space="preserve">평가와 공간 취약성 진단</w:t>
      </w:r>
    </w:p>
    <w:p>
      <w:pPr>
        <w:spacing w:lineRule="auto" w:line="275" w:after="0"/>
        <w:ind w:firstLineChars="200" w:firstLine="40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ind w:firstLineChars="200" w:firstLine="40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미세먼지(PM₁₀)와 초미세먼지(PM₂.₅)는 단기적인 호흡기·심혈관계 악화뿐 아니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라 장기적인 만성질환 및 조기 사망과도 밀접하게 연관된 대표적인 대기오염 물질이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다. 국제적으로는 WHO 대기질 가이드라인 강화, 국내에서는 미세먼지 특별법 제정과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계절관리제 시행 등으로 도시 단위 대기질 관리의 중요성이 커지고 있으며, 이에 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라 단기 예측, 공간 취약성 평가, 근미래 위험 수준 점검을 결합한 실용적인 분석 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계에 대한 수요가 증가하고 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본 연구는 대전광역시를 대상으로, 공공 관측자료만을 이용해 ① 1시간 뒤 PM₁₀·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PM₂.₅ 농도 예측과 지속(persistence) 기준 모형 대비 성능 평가, ② 2021–2023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년 행정동 및 동/서부 권역 단위 공간 취약성 분석, ③ 2021·2022·2023년 관측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패턴의 공간적 반복성 점검을 하나의 end-to-end 파이프라인 안에서 통합한 로컬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케이스 스터디를 제시한다. 이를 위해 에어코리아 도시대기 측정소 PM 자료와 기상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청 ASOS 기상자료, 로컬 PM 경보 이력, 국가 황사·미세먼지 특보 정보를 결합하여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1시간 간격 시계열 데이터테이블을 구축하고, 시차(lag)·이동평균 피처와 기상 lag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피처를 반영한 Random Forest 및 XGBoost 기반 1시간 뒤 예측 모형을 학습하였다.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모델은 2021–2022년 자료로 학습하고 2023년(검증)과 2024년(외부 검증)에서 성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능을 평가하였다. 이때 1시간 뒤 예측 문제의 특성상 직전 시각 농도와 타깃 농도 사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이의 자기상관이 매우 높다는 점을 고려하여, “1시간 뒤 농도 = 현재 농도”로 두는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지속(persistence) 예측을 기준 모형으로 설정하고 이를 대조군으로 삼았다.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그 결과 PM₁₀에서는 Random Forest와 XGBoost 모두 지속 예측을 넘어서지 못하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였다. 2023년 검증 구간에서 지속 예측의 RMSE는 8.76 µg/m³인 반면 Random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Forest는 10.38 µg/m³, XGBoost는 11.55 µg/m³로, 각각 −18.5 %, −31.9 %의 음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(−)의 skill score를 보였다. 2024년 외부 검증에서도 지속 예측 8.01 µg/m³ 대비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Random Forest 8.37 µg/m³, XGBoost 8.59 µg/m³로 열세가 유지되었다. 반면 PM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₂.₅에서는 두 모델이 지속 예측을 소폭 상회하여, 2023년 +4.5 ~ +4.6 %, 2024년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+5.9 ~ +7.1 %의 양(+)의 skill score를 기록하였다.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또한 학습 구간(2021–2022)에서 Random Forest의 결정계수가 0.99 수준이었던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것과 달리 검증·외부 검증 구간에서는 0.86 ~ 0.90으로 하락하여, 현재 피처 구성과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하이퍼파라미터 설정에서 상당한 과적합이 발생하고 있음을 확인하였다. 종합하면 본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연구의 단기 예측 결과는 “단순 시계열·기상 피처만으로 1시간 뒤 PM을 높은 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확도로 예측할 수 있다”는 결론보다는, PM₁₀에 대해서는 지속 예측 이상의 정보를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얻지 못하였고 PM₂.₅에 대해서만 제한적인 개선이 확인되었다는 결론에 가깝다.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QGIS와 Python 기반 공간 분석에서는 2021–2023년 시간×행정동 단위 평균 PM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및 노출 지표를 집계하고, WHO·한국 연평균 기준과 로컬 PM 경보·황사 특보 정보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를 결합하여 취약성을 평가하였다. 그 결과, 관평동·문평동·노은동·둔산동·문창동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·정림동 등 일부 행정동이 PM₁₀·PM₂.₅ 평균 농도와 고농도 시간 비율이 모두 높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은 구조적 고위험 지역으로 나타났으며, 동부권(동·중·대덕구)이 서부권(서·유성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구)에 비해 평균 농도와 고농도 시간 비율이 전반적으로 높은 경향을 보였다.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근미래 패턴 점검을 위해 2021·2022·2023년을 각각 하나의 아날로그 연도로 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주한 시나리오(Scenario A/B/C)를 구성하고, 학습된 RF/XGBoost 모델로 PM₁₀·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PM₂.₅ 분포를 산출하였다. 다만 본 모형은 입력 피처에 직전 시각 실측 농도를 포함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하는 구조이므로, 이 결과는 미래 농도의 투영이 아니라 과거 3년 관측 패턴의 공간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적 반복성을 점검한 것으로 해석하여야 한다. 세 시나리오와 두 모델, 두 오염물질을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ensemble하여 평가한 결과 PM₂.₅ 기준에서는 도시대기 측정소 전 지점이 high-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risk로 분류된 반면 PM₁₀ 기준 high-risk 측정소는 존재하지 않았으나, 이러한 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류 차이는 오염물질별 평균 농도 대비 임계값 비율의 차이에 기인한 것으로 위험도의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실질적 차이로 해석하기는 어렵다.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본 연구는 공공 관측자료만으로 1시간 뒤 PM₁₀·PM₂.₅ 예측 성능을 기준 모형 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비로 평가하고, 현재(2021–2023 기준) 공간 취약성과 과거 3년 패턴의 공간적 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복성을 하나의 재현 가능한 데이터·모델·공간 분석 파이프라인으로 연결하였다는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점에서 의의를 갖는다. 특히 결정계수만으로 판단할 경우 도출되었을 결론이 지속 예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측 대비 평가에서는 유지되지 않는다는 점을 확인함으로써, 도시 단위 단기 예측 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구에서 기준 모형 설정이 필수적임을 실증적으로 보였다. 또한 행정동 및 동/서부 권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역 단위에서 PM₁₀·PM₂.₅를 동시에 고려한 취약성 분석을 통해, 도시 대기질 관리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에서의 집중 관리 구역 선정, 로컬 경보 체계 보완, 물리 기반 대기질 모델과의 연계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연구에 활용 가능한 기초 틀을 제공한다.</w:t>
      </w: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</w:rPr>
      </w:pPr>
      <w:r>
        <w:rPr>
          <w:color w:val="auto"/>
          <w:shd w:val="clear" w:color="auto" w:fill="auto"/>
          <w:rFonts w:ascii="맑은 고딕" w:eastAsia="맑은 고딕" w:hAnsi="맑은 고딕" w:cs="함초롬바탕" w:hint="eastAsia"/>
        </w:rPr>
        <w:t>―――――――――――――――――――――――――――――――――――――――</w:t>
      </w:r>
    </w:p>
    <w:p>
      <w:pPr>
        <w:rPr>
          <w:color w:val="auto"/>
          <w:shd w:val="clear" w:color="auto" w:fill="auto"/>
          <w:lang w:eastAsia="ko-KR"/>
        </w:rPr>
        <w:wordWrap w:val="1"/>
        <w:widowControl w:val="1"/>
        <w:autoSpaceDE w:val="1"/>
        <w:autoSpaceDN w:val="1"/>
      </w:pPr>
      <w:r>
        <w:rPr>
          <w:b w:val="1"/>
          <w:color w:val="auto"/>
          <w:shd w:val="clear" w:color="auto" w:fill="auto"/>
          <w:rFonts w:ascii="HY신명조" w:eastAsia="HY신명조" w:cs="함초롬바탕" w:hint="eastAsia"/>
        </w:rPr>
        <w:t xml:space="preserve">핵심되는 말: PM₁₀, PM₂.₅, 단기 예측, 기준 모형(persistence baseline), 공간 </w:t>
      </w:r>
      <w:r>
        <w:rPr>
          <w:b w:val="1"/>
          <w:color w:val="auto"/>
          <w:shd w:val="clear" w:color="auto" w:fill="auto"/>
          <w:rFonts w:ascii="HY신명조" w:eastAsia="HY신명조" w:cs="함초롬바탕" w:hint="eastAsia"/>
        </w:rPr>
        <w:t xml:space="preserve">취약성, 대전, 머신러닝, QGIS, Power BI, 공공데이터</w:t>
      </w:r>
      <w:r>
        <w:br w:type="page"/>
      </w:r>
    </w:p>
    <w:p>
      <w:pP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 w:hint="eastAsia"/>
        </w:rPr>
        <w:t xml:space="preserve">1. 서론</w:t>
      </w:r>
    </w:p>
    <w:p>
      <w:pPr>
        <w:spacing w:lineRule="auto" w:line="288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</w:rPr>
        <w:t xml:space="preserve">  </w:t>
      </w:r>
    </w:p>
    <w:p>
      <w:pPr>
        <w:spacing w:lineRule="auto" w:line="288" w:after="0"/>
        <w:ind w:left="200" w:firstLine="0"/>
        <w:rPr>
          <w:color w:val="auto"/>
          <w:sz w:val="26"/>
          <w:szCs w:val="26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</w:rPr>
        <w:t xml:space="preserve">1.1. 연구 목적 및 필요성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jc w:val="left"/>
        <w:spacing w:lineRule="auto" w:line="288" w:after="0"/>
        <w:ind w:firstLineChars="200" w:firstLine="400"/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본 연구는 미세먼지(PM₁₀)와 초미세먼지(PM₂.₅)는 입경이 작고 호흡기에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깊숙이 침투할 수 있어, 단기적으로는 호흡기·심혈관계 질환 악화, 응급실 방문 증가,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사망률 상승과 관련되고, 장기적으로는 만성 폐질환, 심혈관 질환, 조기 사망과 같은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중대한 건강 피해를 유발하는 것으로 알려져 있다[14,15]. 이러한 건강 영향에 대한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인식이 강화됨에 따라 국제사회와 국내에서는 대기질 관리 기준을 상향 조정하고,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고농도 상황에 대한 경보 체계를 운영하는 등 다양한 정책적 노력을 기울이고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>있다[14,16–18].</w:t>
      </w:r>
    </w:p>
    <w:p>
      <w:pPr>
        <w:jc w:val="left"/>
        <w:spacing w:lineRule="auto" w:line="288" w:after="0"/>
        <w:ind w:firstLineChars="200" w:firstLine="400"/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wordWrap w:val="1"/>
        <w:widowControl w:val="1"/>
        <w:autoSpaceDE w:val="1"/>
        <w:autoSpaceDN w:val="1"/>
      </w:pPr>
    </w:p>
    <w:p>
      <w:pPr>
        <w:jc w:val="left"/>
        <w:spacing w:lineRule="auto" w:line="288" w:after="0"/>
        <w:ind w:firstLineChars="200" w:firstLine="400"/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세계보건기구(WHO)는 2021년 대기질 가이드라인을 개정하여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PM₁₀·PM₂.₅의 연평균 및 단기 기준을 기존보다 크게 강화하였다[16]. 국내에서도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미세먼지 특별법 제정, 계절관리제 시행, 배출 저감 정책 등 다양한 제도가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도입되면서, 고농도 미세먼지 저감을 위한 제도적 기반이 확대되고 있다[17,18].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그러나 대기질 관리의 최종적인 실행 단위는 개별 도시이며, 도시에 따라 배출 특성,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지형, 기상 조건, 인구 분포가 상이하므로, 도시 단위에서의 정밀한 분석과 맞춤형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관리 전략이 요구된다.</w:t>
      </w:r>
    </w:p>
    <w:p>
      <w:pPr>
        <w:jc w:val="left"/>
        <w:spacing w:lineRule="auto" w:line="288" w:after="0"/>
        <w:ind w:firstLineChars="200" w:firstLine="400"/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wordWrap w:val="1"/>
        <w:widowControl w:val="1"/>
        <w:autoSpaceDE w:val="1"/>
        <w:autoSpaceDN w:val="1"/>
      </w:pPr>
    </w:p>
    <w:p>
      <w:pPr>
        <w:jc w:val="left"/>
        <w:spacing w:lineRule="auto" w:line="288" w:after="0"/>
        <w:ind w:firstLineChars="200" w:firstLine="4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도시 단위 대기질 관리는 크게 세 가지 축에서 접근할 수 있다. 첫째, 단기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예측을 통해 향후 몇 시간~하루 이내의 농도 변화를 예측하고, 경보 발령 및 행동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요령 안내에 활용하는 것, 둘째, 공간적 취약성을 평가하여 어떤 지역이 구조적으로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높은 농도와 노출을 경험하는지를 파악하는 것, 셋째, 근미래 시나리오나 정책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시나리오를 통해 향후 위험 수준의 변화를 점검하는 것이다. 본 연구는 이러한 세 </w:t>
      </w:r>
      <w:r>
        <w:rPr>
          <w:color w:val="auto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축을 공공 관측자료만을 이용하여 하나의 파이프라인에서 연결하는 것을 목표로 한다.</w:t>
      </w:r>
    </w:p>
    <w:p>
      <w:pPr>
        <w:spacing w:lineRule="auto" w:line="288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</w:rPr>
        <w:t xml:space="preserve">  </w:t>
      </w:r>
      <w:r>
        <w:br w:type="page"/>
      </w:r>
    </w:p>
    <w:p>
      <w:pPr>
        <w:spacing w:lineRule="auto" w:line="288" w:after="0"/>
        <w:ind w:left="200" w:firstLine="0"/>
        <w:rPr>
          <w:color w:val="auto"/>
          <w:sz w:val="26"/>
          <w:szCs w:val="26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</w:rPr>
        <w:t>1.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  <w:lang w:eastAsia="ko-KR"/>
        </w:rPr>
        <w:t>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  <w:lang w:eastAsia="ko-KR"/>
        </w:rPr>
        <w:t xml:space="preserve">선행연구 동향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관련 연구는 크게 네 가지 방향으로 정리할 수 있다.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첫째, 단일 지점 또는 소수 지점을 대상으로 한 단기 예측 연구가 다수 수행되어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왔다. LSTM, GRU, CNN과 같은 딥러닝 모형이나 Random Forest, XGBoost 등의 트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리 기반 머신러닝 모형을 활용하여 특정 측정소의 1시간 뒤 혹은 1일 뒤 PM₁₀·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PM₂.₅ 농도를 예측하는 연구들이 보고되었다[1–4]. 이들 연구는 과거 PM 농도와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기상 변수(기온, 상대습도, 풍속, 풍향, 강수량 등)를 입력 피처로 사용하며, RMSE,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MAE, R² 등 예측 성능 지표를 중심으로 모델 간 비교를 수행하는 경향이 있다. 그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러나 예측 결과를 행정구역 단위 공간 취약성 분석으로 확장하거나, 경보·황사 특보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와 연계하여 노출 관점에서 해석한 사례는 상대적으로 많지 않다.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둘째, 광역·국가 규모의 물리 기반 3차원 수치모델(CMAQ, WRF-Chem 등)을 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용한 연구들이 있다[5–7]. 이러한 모델은 기상장, 배출 인벤토리, 화학 반응 모듈 등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을 결합하여 대규모 영역에서 장기 평균 농도와 정책 시나리오(예: 배출 감축)의 효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과를 평가하는 데 널리 활용된다. 물리·화학 과정을 명시적으로 다루고 다양한 시나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리오 모의를 수행할 수 있다는 장점이 있으나, 모델 구성과 계산 비용이 크고, 단일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도시·행정동 수준의 공공 관측자료와 직접 결합하여 실무자가 재현하기에는 진입장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벽이 높다는 한계가 있다.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셋째, 정적인(static) 공간 분포 지도 작성에 초점을 맞춘 GIS 기반 연구가 수행되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어 왔다[8–10]. 특정 연도 또는 계절의 평균 PM 농도를 행정구역별로 시각화하여,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평균 농도 수준이나 기준 초과 여부를 지도로 보여주는 연구들이 대표적이다. 그러나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많은 경우 장기 평균값에만 초점을 맞추고 있어, 시간대·계절별 변동성과 로컬 PM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경보 및 황사 특보 시기의 고농도 노출, 머신러닝 예측값의 오차 패턴 등을 통합한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공간 분석은 제한적으로 수행되었다.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넷째, 기후·배출 시나리오 기반 미래 농도 평가 연구가 있다[11–13]. RCP/SSP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등 기후 시나리오와 배출 시나리오를 결합하여 2030년, 2050년과 같은 미래 시점의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평균 농도 변화나 기준 초과 빈도 변화를 평가하는 연구들이다. 이러한 연구는 장기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적·광역적 관점에서는 유용하지만, 도시 단위에서 공공 관측자료와 머신러닝 모델을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결합하여 단기 예측·공간 취약성·근미래 시나리오 분석을 하나의 파이프라인으로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연계한 사례는 상대적으로 부족하다.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spacing w:lineRule="auto" w:line="288" w:after="0"/>
        <w:rPr>
          <w:color w:val="auto"/>
          <w:shd w:val="clear" w:color="auto" w:fill="auto"/>
          <w:rFonts w:ascii="HY신명조" w:eastAsia="HY신명조" w:cs="함초롬바탕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/>
        </w:rPr>
        <w:t xml:space="preserve">  </w:t>
      </w:r>
    </w:p>
    <w:p>
      <w:pPr>
        <w:spacing w:lineRule="auto" w:line="288" w:after="0"/>
        <w:ind w:left="200" w:firstLine="0"/>
        <w:rPr>
          <w:color w:val="auto"/>
          <w:sz w:val="26"/>
          <w:szCs w:val="26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</w:rPr>
        <w:t>1.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  <w:lang w:eastAsia="ko-KR"/>
        </w:rPr>
        <w:t>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</w:rPr>
        <w:t xml:space="preserve">. 연구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  <w:lang w:eastAsia="ko-KR"/>
        </w:rPr>
        <w:t>공백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상기 선행연구 동향을 고려할 때, 본 연구가 다루는 연구 공백은 다음과 같이 정리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할 수 있다.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(1) 머신러닝 기반 단기 예측 연구는 주로 단일 지점 또는 소수 지점의 예측 성능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비교에 초점을 두고 있으며, 예측값과 성능 지표를 행정동·권역 단위의 공간 취약성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분석과 체계적으로 연결한 사례는 드물다[1–4].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(2) 물리 기반 3D 수치모델은 광역·국가 수준 정책 평가에는 강력한 도구이지만,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단일 도시를 대상으로 공공 관측자료만을 활용해 재현 가능한 분석 체계를 구축하기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에는 데이터·전산 자원 측면에서 부담이 크다. 실무자 수준에서 접근 가능한 경량화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된 데이터 기반 파이프라인에 대한 수요가 여전히 존재한다.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(3) 정적 평균 지도 중심 연구는 특정 시점 또는 기간의 평균 농도와 기준 초과 여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부를 직관적으로 보여주지만, 시간대·계절별 변동성, 로컬 PM 경보 및 황사 특보 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기의 고농도 노출, 머신러닝 예측 모델의 성능 차이를 함께 고려한 공간 취약성 분석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은 충분히 이루어지지 않았다. 특히 PM₁₀과 PM₂.₅를 동시에 고려해 취약성을 정의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한 연구는 제한적이다[8–10].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(4) 기후·배출 시나리오 기반 미래 농도 평가 연구는 장기적·광역적 관점에서는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유용하지만, “최근 몇 년의 관측 패턴이 근미래에 반복될 경우 어떤 지역이 지속적으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로 취약한지”를 다루는 multi-analog 및 ensemble 접근은 상대적으로 새로운 시도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이다[11–13]. 과거 3년(2021–2023)을 근미래(2026)의 가능한 패턴으로 가정하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고, 이를 머신러닝 예측 모델과 결합해 취약성을 평가하는 연구는 많지 않다.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따라서 본 연구의 기여는 다음 세 가지로 요약할 수 있다.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(1) 공공 PM·기상 관측자료와 단순 시계열 피처를 이용하여 1시간 뒤 PM₁₀·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PM₂.₅를 예측하고, 예측값과 오차 패턴을 행정동·권역 단위 공간 취약성 분석과 직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접 연결하는 통합 프레임워크를 제시한다.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(2) 행정동 및 동/서부 권역 단위에서 PM₁₀과 PM₂.₅를 동시에 고려한 취약성 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표를 정의하고, 평균 농도·기준 초과 비율·경보·황사 시기 노출을 결합한 다차원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평가를 수행한다.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(3) 2021–2023년을 2026년으로 시프트한 multi-analog 시나리오와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RF/XGBoost 모델, 두 오염물질을 통합한 ensemble 분석을 통해, 근미래 다양한 패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턴에서도 반복적으로 고위험으로 나타나는 공간적 취약 구역을 탐지하는 로컬 케이스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스터디를 제시한다.</w:t>
      </w:r>
    </w:p>
    <w:p>
      <w:pPr>
        <w:jc w:val="both"/>
        <w:spacing w:lineRule="auto" w:line="259" w:after="160"/>
        <w:ind w:firstLine="200"/>
        <w:rPr>
          <w:color w:val="auto"/>
          <w:shd w:val="clear" w:color="auto" w:fill="auto"/>
          <w:rFonts w:ascii="HY신명조" w:eastAsia="HY신명조" w:cs="함초롬바탕"/>
        </w:rPr>
        <w:widowControl w:val="0"/>
        <w:autoSpaceDE w:val="0"/>
        <w:autoSpaceDN w:val="0"/>
      </w:pPr>
      <w:r>
        <w:rPr>
          <w:color w:val="auto"/>
          <w:shd w:val="clear" w:color="auto" w:fill="auto"/>
          <w:rFonts w:ascii="HY신명조" w:eastAsia="HY신명조" w:cs="함초롬바탕"/>
        </w:rPr>
        <w:t xml:space="preserve">  </w:t>
      </w:r>
    </w:p>
    <w:p>
      <w:pPr>
        <w:spacing w:lineRule="auto" w:line="288" w:after="0"/>
        <w:ind w:left="200" w:firstLine="0"/>
        <w:rPr>
          <w:color w:val="auto"/>
          <w:sz w:val="26"/>
          <w:szCs w:val="26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</w:rPr>
        <w:t>1.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  <w:lang w:eastAsia="ko-KR"/>
        </w:rPr>
        <w:t>4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</w:rPr>
        <w:t xml:space="preserve">. 연구 목적 및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  <w:lang w:eastAsia="ko-KR"/>
        </w:rPr>
        <w:t xml:space="preserve">연구 질문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본 연구의 전반적인 목적은 대전광역시를 대상으로 공공 관측자료만을 활용하여,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(i) 1시간 뒤 PM₁₀·PM₂.₅ 농도 예측,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(ii) 2021–2023년 행정동 및 동/서부 권역 단위 공간 취약성 분석,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(iii) 2021·2022·2023년 관측 패턴의 공간적 반복성 점검을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하나의 end-to-end 파이프라인으로 구현하는 데 있다. 이를 위해 다음 세 가지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연구 질문을 설정하였다.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RQ1. 공개 PM·기상 데이터와 단순 시계열 피처만으로, 대전 11개 도시대기 측정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소에서 1시간 뒤 PM₁₀·PM₂.₅ 농도를 연도·조건이 바뀌어도 안정적으로 예측할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수 있는가?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이를 검증하기 위해 2021–2022년 데이터를 학습에 사용하고, 2023년(검증)과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2024년(외부 검증)에서 PM₁₀·PM₂.₅ 각각에 대해 R², RMSE, MAE를 평가하였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다. 또한 평상시(normal), 로컬 PM 경보 시간대, 국가 황사 특보 시간대, 고농도 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벤트 시간대 등 조건별로 성능을 비교하여, 모델의 취약 조건과 일반화 가능성을 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량적으로 분석하였다.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RQ2. 2021–2023년 동안 대전 행정동 및 동/서부 권역에서 평균 농도, 기준 초과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비율, 로컬 PM 경보·황사 특보 시간대 노출은 어떻게 공간적으로 분포하는가?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이를 위해 행정동별 3년 평균 PM₁₀·PM₂.₅, WHO/한국 연평균 기준 초과 여부,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PM 경보·황사 특보 시간대 평균 PM과 누적 노출 시간, 동부권/서부권 단위 요약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통계를 산출하여, PM₁₀과 PM₂.₅를 동시에 고려한 구조적 취약 영역을 도출하였다.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RQ3. 2021·2022·2023년의 관측 패턴이 2026년에 다시 나타난다고 가정할 때,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세 연도를 각각 2026으로 시프트한 세 개의 아날로그 시나리오(Scenario A/B/C)에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서 PM₁₀과 PM₂.₅ 모두에 대해 항상 고농도이거나, 시나리오에 상관없이 취약한 행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정동·권역이 존재하는가?  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이를 위해 2021/2022/2023을 각각 2026으로 매핑한 Scenario A/B/C를 구성하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고, 학습된 RF/XGBoost 모델로 PM₁₀·PM₂.₅ 분포를 예측하였다. 각 행정동에 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해 시나리오별 평균 농도, 기준 초과 시간 비율(예: PM₁₀ ≥ 50 µg/m³, PM₂.₅ ≥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25 µg/m³), 세 시나리오·두 모델(RF/XGBoost)을 모두 고려한 ensemble 고농도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episode 비율을 계산하여, 여러 미래 패턴에서도 반복적으로 고위험으로 나타나는 행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정동·권역을 탐지하였다.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본 논문의 구성은 다음과 같다. 2장에서는 연구 대상 지역과 사용된 데이터셋을 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리하고, 3장에서는 데이터 처리 파이프라인, 피처 엔지니어링, Random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Forest/XGBoost 모델, QGIS 기반 공간 분석, Power BI 대시보드, 2026년 multi-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analog 시나리오 구성 등 방법론을 통합적으로 설명한다. 4장에서는 세 연구 질문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(RQ1–RQ3)에 대응하는 결과를 순차적으로 제시하며, 5장에서는 이들 결과를 종합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적으로 해석하고 한계와 정책적 시사점을 논의한다. 마지막으로 6장에서는 연구의 주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요 결론과 향후 연구 및 실무 적용 방향을 요약한다.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>.</w:t>
      </w:r>
      <w:r>
        <w:br w:type="page"/>
      </w:r>
    </w:p>
    <w:p>
      <w:pPr>
        <w:jc w:val="both"/>
        <w:spacing w:lineRule="auto" w:line="259" w:after="160"/>
        <w:ind w:firstLine="200"/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  <w:lang w:eastAsia="ko-KR"/>
        </w:rPr>
        <w:widowControl w:val="0"/>
        <w:autoSpaceDE w:val="0"/>
        <w:autoSpaceDN w:val="0"/>
      </w:pP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</w:rPr>
        <w:t>2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 w:hint="eastAsia"/>
        </w:rPr>
        <w:t xml:space="preserve">. 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 w:hint="eastAsia"/>
          <w:lang w:eastAsia="ko-KR"/>
        </w:rPr>
        <w:t xml:space="preserve">연구 대상 지역 및 데이터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1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연구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대상 지역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대전광역시는 대한민국 중부 내륙에 위치한 광역시로, 도시·주거·상업·산업 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역이 혼재된 중규모 도시이다. 본 연구에서는 대전광역시 내 도시대기 측정소 11개소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를 분석 대상으로 선정하였다. 각 측정소의 위치는 에어코리아에서 제공하는 좌표 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보를 기반으로 하였으며, 행정동 경계와 함께 GIS 상에서 확인하였다(그림 1).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br/>
      </w:r>
      <w:r>
        <w:rPr>
          <w:sz w:val="20"/>
        </w:rPr>
        <w:drawing>
          <wp:inline distT="0" distB="0" distL="0" distR="0">
            <wp:extent cx="5039360" cy="3562350"/>
            <wp:effectExtent l="0" t="0" r="0" b="0"/>
            <wp:docPr id="18" name="그림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C:/Users/wachu/AppData/Roaming/PolarisOffice9/ETemp/2576_20843464/fImage3589938102041.png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6298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1</w:t>
      </w:r>
      <w:r>
        <w:rPr/>
        <w:rPr>
          <w:b w:val="1"/>
          <w:color w:val="auto"/>
          <w:shd w:val="clear" w:color="auto" w:fill="auto"/>
        </w:rPr>
        <w:fldChar w:fldCharType="end"/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행정구역은 동부권과 서부권으로 구분하였다. 동부권은 동구·중구·대덕구, 서부권은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서구·유성구에 해당하며, 이 구분은 도시 구조, 배출 특성, 주요 교통축 및 산업·주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거 분포를 고려한 것이다. 동부권은 상대적으로 산업·물류·구도심 비중이 높고, 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부권은 주거·교육·연구·업무 기능이 강한 특성을 보인다. 이러한 공간적 차이를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반영하기 위해, 이후 분석에서는 행정동 단위뿐 아니라 동부권/서부권 권역 단위 지표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도 함께 산출하였다.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spacing w:lineRule="auto" w:line="288" w:after="0"/>
        <w:ind w:left="200" w:firstLine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대기질 데이터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1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PM 자료는 에어코리아에서 제공하는 대전 도시대기 측정소 월별 확정 자료를 이용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하였다. 원자료는 측정소별, 시각별 PM₁₀·PM₂.₅ 농도로 구성되어 있으며, 월별 엑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셀 파일을 수집한 뒤 시계열 형태로 정리하여 raw_pm_final 데이터테이블을 구축하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였다(표 1).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raw_pm_final의 주요 특성은 다음과 같다.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973"/>
        <w:gridCol w:w="5963"/>
      </w:tblGrid>
      <w:tr>
        <w:trPr/>
        <w:tc>
          <w:tcPr>
            <w:tcW w:type="dxa" w:w="1973"/>
            <w:vAlign w:val="top"/>
          </w:tcPr>
          <w:p>
            <w:pPr>
              <w:jc w:val="center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시간범위</w:t>
            </w:r>
          </w:p>
        </w:tc>
        <w:tc>
          <w:tcPr>
            <w:tcW w:type="dxa" w:w="5963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2021-01-01 01:00 ~ 2024-12-31 23:00</w:t>
            </w:r>
          </w:p>
        </w:tc>
      </w:tr>
      <w:tr>
        <w:trPr/>
        <w:tc>
          <w:tcPr>
            <w:tcW w:type="dxa" w:w="1973"/>
            <w:vAlign w:val="top"/>
          </w:tcPr>
          <w:p>
            <w:pPr>
              <w:jc w:val="center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시간 해상도</w:t>
            </w:r>
          </w:p>
        </w:tc>
        <w:tc>
          <w:tcPr>
            <w:tcW w:type="dxa" w:w="5963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1시간</w:t>
            </w:r>
          </w:p>
        </w:tc>
      </w:tr>
      <w:tr>
        <w:trPr/>
        <w:tc>
          <w:tcPr>
            <w:tcW w:type="dxa" w:w="1973"/>
            <w:vAlign w:val="top"/>
          </w:tcPr>
          <w:p>
            <w:pPr>
              <w:jc w:val="center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공간 단위</w:t>
            </w:r>
          </w:p>
        </w:tc>
        <w:tc>
          <w:tcPr>
            <w:tcW w:type="dxa" w:w="5963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대전 도시대기 측정소 11개소</w:t>
            </w:r>
          </w:p>
        </w:tc>
      </w:tr>
      <w:tr>
        <w:trPr/>
        <w:tc>
          <w:tcPr>
            <w:tcW w:type="dxa" w:w="1973"/>
            <w:vAlign w:val="top"/>
          </w:tcPr>
          <w:p>
            <w:pPr>
              <w:jc w:val="center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주요 변수</w:t>
            </w:r>
          </w:p>
        </w:tc>
        <w:tc>
          <w:tcPr>
            <w:tcW w:type="dxa" w:w="5963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ts_kst(한국 표준시 기준 시각), station_id, pm10, pm25</w:t>
            </w:r>
          </w:p>
        </w:tc>
      </w:tr>
    </w:tbl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표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표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1</w:t>
      </w:r>
      <w:r>
        <w:rPr/>
        <w:rPr>
          <w:b w:val="1"/>
          <w:color w:val="auto"/>
          <w:shd w:val="clear" w:color="auto" w:fill="auto"/>
        </w:rPr>
        <w:fldChar w:fldCharType="end"/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데이터 구축 과정에서, 중복 시간 레코드는 제거하였고, 명백한 오기 또는 센서 오류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로 판단되는 극단값은 품질 검토 후 제거하거나 결측 처리하였다. 짧은 구간의 결측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은 제한적인 보간을 통해 보완하였으며, 장기 결측 구간은 분석에서 제외하였다.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spacing w:lineRule="auto" w:line="288" w:after="0"/>
        <w:ind w:left="200" w:firstLine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기상 데이터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기상 자료는 기상청 ASOS(종관기상관측) 지점 자료를 활용하였다. 대전 인근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ASOS 지점에서 관측된 기온, 상대습도, 풍속, 풍향, 강수량 등의 자료를 수집하여,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raw_weather_final 데이터테이블을 구축하였다(표 2).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raw_weather_final의 주요 특성은 다음과 같다.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403"/>
        <w:gridCol w:w="6533"/>
      </w:tblGrid>
      <w:tr>
        <w:trPr/>
        <w:tc>
          <w:tcPr>
            <w:tcW w:type="dxa" w:w="1403"/>
            <w:vAlign w:val="top"/>
          </w:tcPr>
          <w:p>
            <w:pPr>
              <w:jc w:val="left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시간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  <w:lang w:eastAsia="ko-KR"/>
              </w:rPr>
              <w:t xml:space="preserve"> 범위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및 해상도</w:t>
            </w:r>
          </w:p>
        </w:tc>
        <w:tc>
          <w:tcPr>
            <w:tcW w:type="dxa" w:w="6533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2021-01-01 01:00 ~ 2024-12-31 23:00, 1시간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  <w:lang w:eastAsia="ko-KR"/>
              </w:rPr>
              <w:t xml:space="preserve">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간격</w:t>
            </w:r>
          </w:p>
        </w:tc>
      </w:tr>
      <w:tr>
        <w:trPr/>
        <w:tc>
          <w:tcPr>
            <w:tcW w:type="dxa" w:w="1403"/>
            <w:vAlign w:val="top"/>
          </w:tcPr>
          <w:p>
            <w:pPr>
              <w:jc w:val="left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주요 변수</w:t>
            </w:r>
          </w:p>
        </w:tc>
        <w:tc>
          <w:tcPr>
            <w:tcW w:type="dxa" w:w="6533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ts_kst, temperature, relative_humidity, wind_speed, wind_dir,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precipitation 등</w:t>
            </w:r>
          </w:p>
        </w:tc>
      </w:tr>
    </w:tbl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표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표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2</w:t>
      </w:r>
      <w:r>
        <w:rPr/>
        <w:rPr>
          <w:b w:val="1"/>
          <w:color w:val="auto"/>
          <w:shd w:val="clear" w:color="auto" w:fill="auto"/>
        </w:rPr>
        <w:fldChar w:fldCharType="end"/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모든 기상자료는 ts_kst를 기준으로 PM 자료와 동일한 시간축에 맞추어 정렬하였다.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이후 PM 예측 모델은 이러한 기상 변수와 PM 시계열을 함께 입력 피처로 사용하여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농도 변동을 설명하도록 설계하였다.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spacing w:lineRule="auto" w:line="288" w:after="0"/>
        <w:ind w:left="200" w:firstLine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4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지역 PM 경보 및 황사 경보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>지역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 PM 경보 및 황사·미세먼지 특보 자료는 환경부·기상청 공개 자료를 기반으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로 정리하였다.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로컬 PM 경보는 PM₁₀·PM₂.₅ 농도가 일정 기준을 초과할 때 발령된 경보·주의보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이력을 바탕으로, local_alert_events_pm10 및 local_alert_events_pm25 데이터테이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블을 구축하였다. 각 테이블은 ts_kst, area(동부/서부), y_loc_pm10 또는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y_loc_pm25(경보 단계 또는 이진 라벨) 등의 변수를 포함한다. 로컬 경보 데이터는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2021–2023년 구간에 대해 신뢰성 있게 수집되었다.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황사·미세먼지 특보는 dust_stage(황사 단계)를 포함하는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national_alert_events_daejeon 데이터테이블로 정리하였다. 이 테이블은 특정 시각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 황사 특보·주의보·경보 구간에 해당하는지를 나타내며, 이후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processed_with_dust에서 dust_stage 라벨로 활용되었다.</w:t>
      </w: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spacing w:lineRule="auto" w:line="288" w:after="0"/>
        <w:ind w:left="200" w:firstLine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5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파생 데이터 테이블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위의 원자료를 바탕으로, 분석 목적에 맞는 파생 데이터테이블을 구성하였다(표 3).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01"/>
        <w:gridCol w:w="5735"/>
      </w:tblGrid>
      <w:tr>
        <w:trPr>
          <w:trHeight w:hRule="atleast" w:val="928"/>
        </w:trPr>
        <w:tc>
          <w:tcPr>
            <w:tcW w:type="dxa" w:w="2201"/>
            <w:vAlign w:val="top"/>
          </w:tcPr>
          <w:p>
            <w:pPr>
              <w:jc w:val="left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pm_with_alerts</w:t>
            </w:r>
          </w:p>
        </w:tc>
        <w:tc>
          <w:tcPr>
            <w:tcW w:type="dxa" w:w="5735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raw_pm_final에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  <w:lang w:eastAsia="ko-KR"/>
              </w:rPr>
              <w:t xml:space="preserve"> l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ocal_alert_events_pm10/pm25와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national_alert_events_daejeon을 병합하여, 각 시각·측정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소에 대해 y_loc_pm10, y_loc_pm25, dust_stage 라벨을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포함하도록 구성한 테이블이다.</w:t>
            </w:r>
          </w:p>
        </w:tc>
      </w:tr>
      <w:tr>
        <w:trPr/>
        <w:tc>
          <w:tcPr>
            <w:tcW w:type="dxa" w:w="2201"/>
            <w:vAlign w:val="top"/>
          </w:tcPr>
          <w:p>
            <w:pPr>
              <w:jc w:val="left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processed_final</w:t>
            </w:r>
          </w:p>
        </w:tc>
        <w:tc>
          <w:tcPr>
            <w:tcW w:type="dxa" w:w="5735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pm_with_alerts와 raw_weather_final을 ts_kst 기준으로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결합하고, 결측·이상치 처리를 거친 뒤, 기본적인 시간 피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처(year, month, dayofweek, hour, is_weekend 등)를 추가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한 테이블이다. 이 테이블은 이후 피처 엔지니어링과 모델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학습의 기반이 되었다.</w:t>
            </w:r>
          </w:p>
        </w:tc>
      </w:tr>
      <w:tr>
        <w:trPr/>
        <w:tc>
          <w:tcPr>
            <w:tcW w:type="dxa" w:w="2201"/>
            <w:vAlign w:val="top"/>
          </w:tcPr>
          <w:p>
            <w:pPr>
              <w:jc w:val="left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processed_with_dus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t</w:t>
            </w:r>
          </w:p>
        </w:tc>
        <w:tc>
          <w:tcPr>
            <w:tcW w:type="dxa" w:w="5735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processed_final에 황사·경보 관련 라벨(dust_stage,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y_loc_pm10, y_loc_pm25)을 명시적으로 포함하여, 경보·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황사 상황 분석 및 시나리오 구성에 활용한 테이블이다.</w:t>
            </w:r>
          </w:p>
        </w:tc>
      </w:tr>
      <w:tr>
        <w:trPr/>
        <w:tc>
          <w:tcPr>
            <w:tcW w:type="dxa" w:w="2201"/>
            <w:vAlign w:val="top"/>
          </w:tcPr>
          <w:p>
            <w:pPr>
              <w:jc w:val="left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predictions_full_rf_x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gb</w:t>
            </w:r>
          </w:p>
        </w:tc>
        <w:tc>
          <w:tcPr>
            <w:tcW w:type="dxa" w:w="5735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Random Forest 및 XGBoost 모델을 이용해 2021–2024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년 전체 기간에 대해 PM₁₀·PM₂.₅ 1시간 뒤 농도를 예측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한 결과와 잔차(residual)를 저장한 테이블이다.</w:t>
            </w:r>
          </w:p>
        </w:tc>
      </w:tr>
      <w:tr>
        <w:trPr/>
        <w:tc>
          <w:tcPr>
            <w:tcW w:type="dxa" w:w="2201"/>
            <w:vAlign w:val="top"/>
          </w:tcPr>
          <w:p>
            <w:pPr>
              <w:jc w:val="left"/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processed_with_pre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ds_both</w:t>
            </w:r>
          </w:p>
        </w:tc>
        <w:tc>
          <w:tcPr>
            <w:tcW w:type="dxa" w:w="5735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processed_with_dust와 predictions_full_rf_xgb를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station_id 및 ts_kst 기준으로 병합하여, 실측값, 타깃값,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예측값, 오차, 경보·황사 라벨이 모두 포함된 최종 분석용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마스터 테이블이다. 이 테이블은 Power BI 대시보드와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2026 시나리오 집계에 활용되었다.</w:t>
            </w:r>
          </w:p>
        </w:tc>
      </w:tr>
    </w:tbl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표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표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3</w:t>
      </w:r>
      <w:r>
        <w:rPr/>
        <w:rPr>
          <w:b w:val="1"/>
          <w:color w:val="auto"/>
          <w:shd w:val="clear" w:color="auto" w:fill="auto"/>
        </w:rPr>
        <w:fldChar w:fldCharType="end"/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모든 파생 데이터테이블의 시간 범위는 2021-01-01 01:00 ~ 2024-12-31 23:00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로 통일하였다.</w:t>
      </w:r>
      <w:r>
        <w:br w:type="page"/>
      </w:r>
    </w:p>
    <w:p>
      <w:pPr>
        <w:jc w:val="both"/>
        <w:spacing w:lineRule="auto" w:line="259" w:after="16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 w:hint="eastAsia"/>
          <w:lang w:eastAsia="ko-KR"/>
        </w:rPr>
        <w:t>3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연구 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1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Overall workflow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20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전체 분석을 위한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데이터 파이프라인은 다음과 같은 순서로 진행되었다.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raw_pm_final, raw_weather_final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br/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→ pm_with_alerts (경보·황사 라벨 병합)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br/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→ processed_final (기본 전처리 및 시간 피처 생성)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br/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→ processed_with_dust (경보·황사 라벨 통합)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br/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→ 피처 엔지니어링 (lag·rolling·기상 lag 등)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br/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→ RF/XGBoost 모델 학습 및 예측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br/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→ predictions_full_rf_xgb (2021–2024 전체 예측)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br/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→ processed_with_preds_both (실측·예측·라벨 통합)</w:t>
      </w:r>
    </w:p>
    <w:p>
      <w:pPr>
        <w:jc w:val="both"/>
        <w:spacing w:lineRule="auto" w:line="259" w:after="160"/>
        <w:rPr>
          <w:rStyle w:val="PO160"/>
          <w:color w:val="auto"/>
          <w:sz w:val="18"/>
          <w:szCs w:val="18"/>
          <w:shd w:val="clear" w:color="auto" w:fill="auto"/>
          <w:rFonts w:ascii="HY신명조" w:eastAsia="HY신명조" w:hAnsi="HY신명조" w:cs="HY신명조" w:hint="eastAsia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이후 processed_with_preds_both와 공간 자료(stations, daejeon_umd, daejeon_ew)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를 결합하여 QGIS 분석용 레이어를 생성하고, Python으로 요약 테이블을 만들어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Power BI 대시보드를 구축하였다. 마지막으로, 2021–2023→2026 multi-analog 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나리오를 구성하고, RF/XGBoost 모델을 재사용하여 2026년 예측 및 ensemble 취약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성 분석을 수행하였다.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t xml:space="preserve">Data processing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ind w:firstLine="20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모든 시계열 데이터는 ts_kst(한국 표준시 기준 시각)를 기준으로 정렬하였다.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raw_pm_final과 raw_weather_final은 ts_kst 및 station_id(또는 ASOS 지점 ID)를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기준으로 내부 조인을 수행하였으며, 이 과정에서 PM 및 기상자료 간 시간 불일치가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발생한 경우 가장 가까운 시각(±1시간 이내)에 대해서만 병합을 허용하였다.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로컬 경보 및 황사 특보 데이터는 ts_kst를 기준으로 processed_final에 병합하여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y_loc_pm10, y_loc_pm25, dust_stage 라벨을 생성하였다. 라벨 데이터가 존재하지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않는 시각은 “경보 없음” 또는 “황사 없음”으로 처리하였다.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결측치 처리에서는, PM 농도의 짧은 결측 구간에 대해서는 인접한 시간값의 선형 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간을 제한적으로 적용하였고, 장기 결측 또는 경계 조건(예: 다수 변수 동시 결측)에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서는 해당 시점을 분석에서 제외하였다. 기상 변수의 결측은 인접 시점 보간 또는 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근 유효값 유지(Last Observation Carried Forward)를 사용하였다.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Feature engineering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processed_with_dust를 기반으로, PM₁₀·PM₂.₅ 각각에 대해 1시간 뒤 농도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(target_pm10, target_pm25)를 타깃 변수로 설정하였다. 이를 위해 pm10, pm25 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계열을 ts_kst 기준으로 1시간 미래로 시프트하여 타깃 컬럼을 생성하였다.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입력 피처는 다음과 같이 구성하였다.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(표 4)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745"/>
        <w:gridCol w:w="6191"/>
      </w:tblGrid>
      <w:tr>
        <w:trPr/>
        <w:tc>
          <w:tcPr>
            <w:tcW w:type="dxa" w:w="1745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시간 피처</w:t>
            </w:r>
          </w:p>
        </w:tc>
        <w:tc>
          <w:tcPr>
            <w:tcW w:type="dxa" w:w="6191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year, month, dayofweek, hour, is_weekend 등</w:t>
            </w:r>
          </w:p>
        </w:tc>
      </w:tr>
      <w:tr>
        <w:trPr/>
        <w:tc>
          <w:tcPr>
            <w:tcW w:type="dxa" w:w="1745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PM 시계열 피처</w:t>
            </w:r>
          </w:p>
        </w:tc>
        <w:tc>
          <w:tcPr>
            <w:tcW w:type="dxa" w:w="6191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pm10_lag1~3,pm10_roll_mean_3h/6h/12h/24h,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pm25_lag1~3, pm25_roll_mean_3h/6h/12h 등</w:t>
            </w:r>
          </w:p>
        </w:tc>
      </w:tr>
      <w:tr>
        <w:trPr/>
        <w:tc>
          <w:tcPr>
            <w:tcW w:type="dxa" w:w="1745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기상 lag 피처</w:t>
            </w:r>
          </w:p>
        </w:tc>
        <w:tc>
          <w:tcPr>
            <w:tcW w:type="dxa" w:w="6191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temperature_lag1, relative_humidity_lag1, wind_speed_lag1</w:t>
            </w:r>
          </w:p>
        </w:tc>
      </w:tr>
      <w:tr>
        <w:trPr/>
        <w:tc>
          <w:tcPr>
            <w:tcW w:type="dxa" w:w="1745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경보</w:t>
            </w:r>
          </w:p>
        </w:tc>
        <w:tc>
          <w:tcPr>
            <w:tcW w:type="dxa" w:w="6191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y_loc_pm10, y_loc_pm25, dust_stage(필요 시 더미 변수화)</w:t>
            </w:r>
          </w:p>
        </w:tc>
      </w:tr>
    </w:tbl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표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표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4</w:t>
      </w:r>
      <w:r>
        <w:rPr/>
        <w:rPr>
          <w:b w:val="1"/>
          <w:color w:val="auto"/>
          <w:shd w:val="clear" w:color="auto" w:fill="auto"/>
        </w:rPr>
        <w:fldChar w:fldCharType="end"/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lag 및 rolling 피처 생성 과정에서, 초기 몇 시간에 해당하는 불완전 시계열 구간은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분석에서 제외하였다. 타깃과 피처 간 시점 정렬을 유지하기 위해, 모든 피처는 타깃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생성 이후 동일한 인덱스를 기준으로 정리하였다.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4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Machine learning models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단기 예측을 위해 트리 기반 앙상블 모델인 Random Forest와 Gradient Boosting 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열 모델인 XGBoost를 사용하였다. 두 모델 모두 비선형 관계와 변수 간 상호작용을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유연하게 표현할 수 있으며, 비교적 해석이 용이하다는 장점이 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데이터 분할은 다음과 같이 수행하였다(표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>5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>).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631"/>
        <w:gridCol w:w="6305"/>
      </w:tblGrid>
      <w:tr>
        <w:trPr/>
        <w:tc>
          <w:tcPr>
            <w:tcW w:type="dxa" w:w="1631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  <w:lang w:eastAsia="ko-KR"/>
              </w:rPr>
              <w:t>Train</w:t>
            </w:r>
          </w:p>
        </w:tc>
        <w:tc>
          <w:tcPr>
            <w:tcW w:type="dxa" w:w="6305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2021–2022년 전체 자료</w:t>
            </w:r>
          </w:p>
        </w:tc>
      </w:tr>
      <w:tr>
        <w:trPr/>
        <w:tc>
          <w:tcPr>
            <w:tcW w:type="dxa" w:w="1631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Validation</w:t>
            </w:r>
          </w:p>
        </w:tc>
        <w:tc>
          <w:tcPr>
            <w:tcW w:type="dxa" w:w="6305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2023년 전체 자료</w:t>
            </w:r>
          </w:p>
        </w:tc>
      </w:tr>
      <w:tr>
        <w:trPr/>
        <w:tc>
          <w:tcPr>
            <w:tcW w:type="dxa" w:w="1631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External test</w:t>
            </w:r>
          </w:p>
        </w:tc>
        <w:tc>
          <w:tcPr>
            <w:tcW w:type="dxa" w:w="6305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2024년 전체 자료</w:t>
            </w:r>
          </w:p>
        </w:tc>
      </w:tr>
    </w:tbl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표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표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5</w:t>
      </w:r>
      <w:r>
        <w:rPr/>
        <w:rPr>
          <w:b w:val="1"/>
          <w:color w:val="auto"/>
          <w:shd w:val="clear" w:color="auto" w:fill="auto"/>
        </w:rPr>
        <w:fldChar w:fldCharType="end"/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PM₁₀·PM₂.₅ 각각에 대해 별도의 모델을 학습하였다. Random Forest에서는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n_estimators, max_depth, min_samples_leaf 등의 하이퍼파라미터를, XGBoost에서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는 learning_rate, max_depth, subsample, colsample_bytree 등을 탐색하여 적절한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값을 선정하였다. 하이퍼파라미터 최적화는 검증 연도(2023년)에서의 RMSE 및 R²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를 기준으로 수행하였으며, 세부 설정값은 부록에 제시하였다.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학습 완료 후, Train(2021–2022)에 대해 모델을 피팅하고 Validation(2023) 및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External test(2024) 전체 기간에 대해 예측을 수행하였다. 또한 모델 일반화 성능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평가를 위해, 학습·검증·외부 검증 연도 전체(2021–2024)에 대해 예측값을 생성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하여 predictions_full_rf_xgb에 저장하였다.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기준 모형(baseline). 1시간 뒤 농도 예측은 직전 시각 농도와의 자기상관이 매우 높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아, 학습 모형의 결정계수(R²)만으로는 모형이 실제로 정보를 추가하였는지 판단할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수 없다. 이에 본 연구에서는 지속(persistence) 예측, 즉 pred(t+1) = obs(t)를 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준 모형으로 정의하였다. 이는 학습 없이 현재 관측값을 그대로 1시간 뒤 예측값으로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사용하는 방식이다.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모형의 상대적 개선폭은 skill score = 1 − RMSE_model / RMSE_persistence로 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량화하였다. Skill score가 양(+)이면 해당 모형이 지속 예측보다 우수하고, 음(−)이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면 열등함을 의미한다. 모든 성능 비교는 동일한 시각·측정소 표본에 대해 수행하였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으며, 산출에 사용한 코드와 결과표는 부록에 제시하였다.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5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Spatial analysis with QGIS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공간 분석은 QGIS와 GeoPandas를 이용해 수행하였다. 먼저 stations.csv에 포함된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측정소 좌표(dmX, dmY, WGS84 기준)를 기반으로 측정소 포인트 레이어를 생성하고,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이를 EPSG:4326에서 EPSG:5186으로 변환하였다. 이어서 대전 행정동 경계</w:t>
      </w:r>
      <w:r>
        <w:rPr>
          <w:sz w:val="20"/>
        </w:rPr>
        <w:drawing>
          <wp:anchor distT="0" distB="0" distL="0" distR="0" simplePos="0" relativeHeight="251624982" behindDoc="0" locked="0" layoutInCell="1" allowOverlap="1">
            <wp:simplePos x="0" y="0"/>
            <wp:positionH relativeFrom="column">
              <wp:posOffset>-37470</wp:posOffset>
            </wp:positionH>
            <wp:positionV relativeFrom="page">
              <wp:posOffset>5418459</wp:posOffset>
            </wp:positionV>
            <wp:extent cx="5039360" cy="3562350"/>
            <wp:effectExtent l="0" t="0" r="0" b="0"/>
            <wp:wrapThrough wrapText="bothSides">
              <wp:wrapPolygon edited="0">
                <wp:start x="0" y="0"/>
                <wp:lineTo x="21600" y="0"/>
                <wp:lineTo x="21600" y="21600"/>
                <wp:lineTo x="0" y="21600"/>
              </wp:wrapPolygon>
            </wp:wrapThrough>
            <wp:docPr id="25" name="그림 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2" descr="C:/Users/wachu/AppData/Roaming/PolarisOffice9/ETemp/2576_20843464/fImage355180111098467.png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3562985"/>
                    </a:xfrm>
                    <a:prstGeom prst="rect"/>
                    <a:ln cap="flat"/>
                  </pic:spPr>
                </pic:pic>
              </a:graphicData>
            </a:graphic>
          </wp:anchor>
        </w:drawing>
      </w:r>
      <w:r>
        <w:rPr>
          <w:sz w:val="20"/>
        </w:rPr>
        <mc:AlternateContent>
          <mc:Choice Requires="wps">
            <w:drawing>
              <wp:anchor distT="0" distB="0" distL="0" distR="0" simplePos="0" relativeHeight="251624983" behindDoc="0" locked="0" layoutInCell="1" allowOverlap="1">
                <wp:simplePos x="0" y="0"/>
                <wp:positionH relativeFrom="column">
                  <wp:posOffset>-37470</wp:posOffset>
                </wp:positionH>
                <wp:positionV relativeFrom="page">
                  <wp:posOffset>9054470</wp:posOffset>
                </wp:positionV>
                <wp:extent cx="914400" cy="914400"/>
                <wp:effectExtent l="0" t="0" r="0" b="0"/>
                <wp:wrapThrough wrapText="bothSides">
                  <wp:wrapPolygon edited="0">
                    <wp:start x="0" y="21600"/>
                    <wp:lineTo x="0" y="21600"/>
                    <wp:lineTo x="21600" y="21600"/>
                    <wp:lineTo x="21600" y="0"/>
                    <wp:lineTo x="0" y="0"/>
                  </wp:wrapPolygon>
                </wp:wrapThrough>
                <wp:docPr id="26" name="텍스트 상자 4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045710" cy="339090"/>
                        </a:xfrm>
                        <a:prstGeom prst="rect"/>
                        <a:solidFill>
                          <a:prstClr val="white"/>
                        </a:solidFill>
                        <a:ln w="0" cap="flat"/>
                      </wps:spPr>
                      <wps:txbx style="mso-fit-shape-to-text:t;" inset="0pt,0pt,0pt,0pt">
                        <w:txbxContent>
                          <w:p>
                            <w:pPr>
                              <w:jc w:val="left"/>
                              <w:rPr>
                                <w:shd w:val="clear" w:color="auto" w:fill="auto"/>
                              </w:rPr>
                              <w:wordWrap w:val="0"/>
                              <w:widowControl w:val="0"/>
                              <w:autoSpaceDE w:val="0"/>
                              <w:autoSpaceDN w:val="0"/>
                            </w:pPr>
                            <w:r>
                              <w:rPr>
                                <w:b w:val="1"/>
                                <w:shd w:val="clear" w:color="auto" w:fill="auto"/>
                              </w:rPr>
                              <w:t xml:space="preserve">그림 </w:t>
                            </w:r>
                            <w:r>
                              <w:rPr/>
                              <w:rPr>
                                <w:shd w:val="clear"/>
                              </w:rPr>
                              <w:fldChar w:fldCharType="begin"/>
                            </w:r>
                            <w:r>
                              <w:rPr/>
                              <w:rPr>
                                <w:shd w:val="clear"/>
                              </w:rPr>
                              <w:instrText xml:space="preserve"> SEQ 그림 \* ARABIC</w:instrText>
                            </w:r>
                            <w:r>
                              <w:rPr/>
                              <w:rPr>
                                <w:shd w:val="clear"/>
                              </w:rPr>
                              <w:fldChar w:fldCharType="separate"/>
                            </w:r>
                            <w:r>
                              <w:rPr>
                                <w:b w:val="1"/>
                                <w:shd w:val="clear" w:color="auto" w:fill="auto"/>
                              </w:rPr>
                              <w:t>2</w:t>
                            </w:r>
                            <w:r>
                              <w:rPr/>
                              <w:rPr>
                                <w:b w:val="1"/>
                                <w:shd w:val="clear" w:color="auto" w:fill="auto"/>
                              </w:rPr>
                              <w:fldChar w:fldCharType="end"/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t" anchorCtr="0" forceAA="0" compatLnSpc="0">
                        <a:prstTxWarp prst="textNoShape"/>
                      </wps:bodyPr>
                    </wps:wsp>
                  </a:graphicData>
                </a:graphic>
              </wp:anchor>
            </w:drawing>
          </mc:Choice>
          <mc:Fallback>
            <w:pict>
              <v:shape id="_x0000_s26" style="position:absolute;left:0;margin-left:-3pt;mso-position-horizontal:absolute;mso-position-horizontal-relative:text;margin-top:713pt;mso-position-vertical:absolute;mso-position-vertical-relative:page;width:397.2pt;height:26.6pt;z-index:251624983" coordsize="5045075,338455" path="m,l5045075,,5045075,338455,,338455xe" stroked="f" fillcolor="#FFFFFF" filled="t">
                <w10:wrap type="through" side="both"/>
                <v:textbox style="mso-fit-shape-to-text:t;" inset="0pt,0pt,0pt,0pt">
                  <w:txbxContent>
                    <w:p>
                      <w:pPr>
                        <w:jc w:val="left"/>
                        <w:rPr>
                          <w:shd w:val="clear" w:color="auto" w:fill="auto"/>
                        </w:rPr>
                        <w:wordWrap w:val="0"/>
                        <w:widowControl w:val="0"/>
                        <w:autoSpaceDE w:val="0"/>
                        <w:autoSpaceDN w:val="0"/>
                      </w:pPr>
                      <w:r>
                        <w:rPr>
                          <w:b w:val="1"/>
                          <w:shd w:val="clear" w:color="auto" w:fill="auto"/>
                        </w:rPr>
                        <w:t xml:space="preserve">그림 </w:t>
                      </w:r>
                      <w:r>
                        <w:rPr/>
                        <w:rPr>
                          <w:shd w:val="clear"/>
                        </w:rPr>
                        <w:fldChar w:fldCharType="begin"/>
                      </w:r>
                      <w:r>
                        <w:rPr/>
                        <w:rPr>
                          <w:shd w:val="clear"/>
                        </w:rPr>
                        <w:instrText xml:space="preserve"> SEQ 그림 \* ARABIC</w:instrText>
                      </w:r>
                      <w:r>
                        <w:rPr/>
                        <w:rPr>
                          <w:shd w:val="clear"/>
                        </w:rPr>
                        <w:fldChar w:fldCharType="separate"/>
                      </w:r>
                      <w:r>
                        <w:rPr>
                          <w:b w:val="1"/>
                          <w:shd w:val="clear" w:color="auto" w:fill="auto"/>
                        </w:rPr>
                        <w:t>2</w:t>
                      </w:r>
                      <w:r>
                        <w:rPr/>
                        <w:rPr>
                          <w:b w:val="1"/>
                          <w:shd w:val="clear" w:color="auto" w:fill="auto"/>
                        </w:rPr>
                        <w:fldChar w:fldCharType="end"/>
                      </w:r>
                    </w:p>
                  </w:txbxContent>
                </v:textbox>
              </v:shape>
            </w:pict>
          </mc:Fallback>
        </mc:AlternateConten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(daejeon_umd)를 불러와 동일 좌표계(EPSG:5186)로 변환한 뒤, 공간 조인(spatial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join)을 통해 각 측정소를 해당 행정동에 매핑하였다(그림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>2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>).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processed_with_preds_both에서 2021–2023년 구간을 추출하고, station_id와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ts_kst별 PM₁₀·PM₂.₅ 값 및 예측값을 for_qgis_2021_2023 형태의 중간 테이블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로 정리한 뒤, 측정소 위치와 결합하여 stations_time_2021_2023.gpkg를 생성하였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다. 이 레이어는 측정소 단위 시계열 애니메이션 구성에 사용되었다.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또한 행정동 단위 평균을 계산하기 위해, for_qgis_2021_2023과 행정동 경계를 공간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조인하여 ts_kst×행정동 단위로 PM₁₀·PM₂.₅ 평균을 집계한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umd_time_pm_2021_2023.gpkg를 생성하였다. 이후 3년 평균 PM 지도 및 WHO·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한국 기준 초과 여부를 표현하기 위해, 행정동별 평균 및 기준 초과 비율을 요약한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umd_pm_stats_2021_2023_pm10.gpkg, umd_pm_stats_2021_2023_pm25.gpkg를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작성하였다. 동부권/서부권 권역 정보는 daejeon_ew.gpkg를 통해 추가하였다.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6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 xml:space="preserve">Summary statistics &amp; Power BI dashboards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Python으로 작성한 요약 스크립트를 통해, 행정동·권역·조건별 통계를 담은 여러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테이블을 생성하였다(표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>6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). 주요 테이블은 다음과 같다.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258"/>
        <w:gridCol w:w="5678"/>
      </w:tblGrid>
      <w:tr>
        <w:trPr/>
        <w:tc>
          <w:tcPr>
            <w:tcW w:type="dxa" w:w="2258"/>
            <w:vAlign w:val="top"/>
          </w:tcPr>
          <w:p>
            <w:pPr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bi_admin_pm_stats_2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021_2023</w:t>
            </w:r>
          </w:p>
        </w:tc>
        <w:tc>
          <w:tcPr>
            <w:tcW w:type="dxa" w:w="5678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행정동별 평균 PM₁₀·PM₂.₅, WHO·한국 기준 초과 비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율, 고농도 시간 비율</w:t>
            </w:r>
          </w:p>
          <w:p>
            <w:pPr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</w:p>
        </w:tc>
      </w:tr>
      <w:tr>
        <w:trPr/>
        <w:tc>
          <w:tcPr>
            <w:tcW w:type="dxa" w:w="2258"/>
            <w:vAlign w:val="top"/>
          </w:tcPr>
          <w:p>
            <w:pPr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bi_area_ew_stats_20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21_2023</w:t>
            </w:r>
          </w:p>
        </w:tc>
        <w:tc>
          <w:tcPr>
            <w:tcW w:type="dxa" w:w="5678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동부권/서부권 단위 평균 농도 및 기준 초과 비율</w:t>
            </w:r>
          </w:p>
          <w:p>
            <w:pPr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</w:p>
        </w:tc>
      </w:tr>
      <w:tr>
        <w:trPr/>
        <w:tc>
          <w:tcPr>
            <w:tcW w:type="dxa" w:w="2258"/>
            <w:vAlign w:val="top"/>
          </w:tcPr>
          <w:p>
            <w:pPr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bi_model_perf_2021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_2024</w:t>
            </w:r>
          </w:p>
        </w:tc>
        <w:tc>
          <w:tcPr>
            <w:tcW w:type="dxa" w:w="5678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연도·시즌·시간대·조건별(RF/XGBoost, PM₁₀/PM₂.₅)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예측 성능(RMSE, MAE, R²)</w:t>
            </w:r>
          </w:p>
        </w:tc>
      </w:tr>
      <w:tr>
        <w:trPr/>
        <w:tc>
          <w:tcPr>
            <w:tcW w:type="dxa" w:w="2258"/>
            <w:vAlign w:val="top"/>
          </w:tcPr>
          <w:p>
            <w:pPr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bi_alert_pm10_alert,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bi_alert_pm25_alert,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bi_alert_dust</w:t>
            </w:r>
          </w:p>
        </w:tc>
        <w:tc>
          <w:tcPr>
            <w:tcW w:type="dxa" w:w="5678"/>
            <w:vAlign w:val="top"/>
          </w:tcPr>
          <w:p>
            <w:pPr>
              <w:jc w:val="both"/>
              <w:spacing w:lineRule="auto" w:line="259" w:after="160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로컬 PM 경보 및 황사 특보 시기의 노출 시간·평균 농도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·최대 농도 요약</w:t>
            </w:r>
          </w:p>
          <w:p>
            <w:pPr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</w:p>
        </w:tc>
      </w:tr>
    </w:tbl>
    <w:p>
      <w:pPr>
        <w:jc w:val="both"/>
        <w:spacing w:lineRule="auto" w:line="259" w:after="160"/>
        <w:rPr>
          <w:shd w:val="clear" w:color="auto" w:fill="auto"/>
        </w:rPr>
        <w:widowControl w:val="0"/>
        <w:autoSpaceDE w:val="0"/>
        <w:autoSpaceDN w:val="0"/>
      </w:pPr>
      <w:r>
        <w:rPr>
          <w:b w:val="1"/>
          <w:shd w:val="clear" w:color="auto" w:fill="auto"/>
        </w:rPr>
        <w:t xml:space="preserve">표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표 \* ARABIC</w:instrText>
      </w:r>
      <w:r>
        <w:rPr/>
        <w:rPr>
          <w:shd w:val="clear"/>
        </w:rPr>
        <w:fldChar w:fldCharType="separate"/>
      </w:r>
      <w:r>
        <w:rPr>
          <w:b w:val="1"/>
          <w:shd w:val="clear" w:color="auto" w:fill="auto"/>
        </w:rPr>
        <w:t>6</w:t>
      </w:r>
      <w:r>
        <w:rPr/>
        <w:rPr>
          <w:b w:val="1"/>
          <w:shd w:val="clear" w:color="auto" w:fill="auto"/>
        </w:rPr>
        <w:fldChar w:fldCharType="end"/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이들 테이블을 Power BI에 가져와 다음과 같은 페이지 구조를 갖는 대시보드를 구축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>하였다(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표 7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>)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859"/>
        <w:gridCol w:w="6077"/>
      </w:tblGrid>
      <w:tr>
        <w:trPr/>
        <w:tc>
          <w:tcPr>
            <w:tcW w:type="dxa" w:w="1859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Overview</w:t>
            </w:r>
          </w:p>
        </w:tc>
        <w:tc>
          <w:tcPr>
            <w:tcW w:type="dxa" w:w="6077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연도별·계절별 PM 수준 및 모델 성능 요약</w:t>
            </w:r>
          </w:p>
        </w:tc>
      </w:tr>
      <w:tr>
        <w:trPr/>
        <w:tc>
          <w:tcPr>
            <w:tcW w:type="dxa" w:w="1859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Spatial</w:t>
            </w:r>
          </w:p>
        </w:tc>
        <w:tc>
          <w:tcPr>
            <w:tcW w:type="dxa" w:w="6077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행정동 및 동부권/서부권 단위 취약성 지표 시각화</w:t>
            </w:r>
          </w:p>
        </w:tc>
      </w:tr>
      <w:tr>
        <w:trPr/>
        <w:tc>
          <w:tcPr>
            <w:tcW w:type="dxa" w:w="1859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Alerts &amp; Dust</w:t>
            </w:r>
          </w:p>
        </w:tc>
        <w:tc>
          <w:tcPr>
            <w:tcW w:type="dxa" w:w="6077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로컬 PM 경보 및 황사 특보 시기 노출 패턴</w:t>
            </w:r>
          </w:p>
        </w:tc>
      </w:tr>
      <w:tr>
        <w:trPr/>
        <w:tc>
          <w:tcPr>
            <w:tcW w:type="dxa" w:w="1859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Model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performance</w:t>
            </w:r>
          </w:p>
        </w:tc>
        <w:tc>
          <w:tcPr>
            <w:tcW w:type="dxa" w:w="6077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모델별·오염물질별 성능 비교</w:t>
            </w:r>
          </w:p>
        </w:tc>
      </w:tr>
      <w:tr>
        <w:trPr/>
        <w:tc>
          <w:tcPr>
            <w:tcW w:type="dxa" w:w="1859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  <w:lang w:eastAsia="ko-KR"/>
              </w:rPr>
              <w:t>Scenario</w:t>
            </w:r>
          </w:p>
        </w:tc>
        <w:tc>
          <w:tcPr>
            <w:tcW w:type="dxa" w:w="6077"/>
            <w:vAlign w:val="top"/>
          </w:tcPr>
          <w:p>
            <w:pPr>
              <w:spacing w:lineRule="auto" w:line="259"/>
              <w:rPr>
                <w:color w:val="auto"/>
                <w:shd w:val="clear" w:color="auto" w:fill="auto"/>
                <w:rFonts w:ascii="HY신명조" w:eastAsia="HY신명조" w:hAnsi="HY신명조" w:cs="HY신명조"/>
                <w:lang w:eastAsia="ko-KR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  <w:lang w:eastAsia="ko-KR"/>
              </w:rPr>
              <w:t xml:space="preserve">2021년도, 2022년도, 2023년도를 환경데이터를 베이스로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  <w:lang w:eastAsia="ko-KR"/>
              </w:rPr>
              <w:t xml:space="preserve">2026년도 A, B, C 예측 시나리오 생성</w:t>
            </w:r>
          </w:p>
        </w:tc>
      </w:tr>
    </w:tbl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표 </w:t>
      </w:r>
      <w:r>
        <w:rPr>
          <w:b w:val="1"/>
          <w:color w:val="auto"/>
          <w:shd w:val="clear" w:color="auto" w:fill="auto"/>
          <w:lang w:eastAsia="ko-KR"/>
        </w:rPr>
        <w:t>7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대시보드는 표와 그래프 형태로 구성되어, 4장 결과 서술에서 주요 수치 및 공간 패턴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을 인용하는 근거로 활용되었다.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 3.7. Analogue-year 구성 및 공간적 반복성 점검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근미래(2026년) 취약성 분석을 위해, 2021·2022·2023년을 각각 하나의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analogue year로 간주하였다. 먼저 2021, 2022, 2023년 processed_final 기반 피처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셋을 2026년으로 시프트한 scenario_2026_features_pm10_A/B/C,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scenario_2026_features_pm25_A/B/C를 생성하였다. 각 시나리오 파일에는 PM·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기상·시간 피처가 2026년의 동일한 달·요일·시간 구조를 갖도록 매핑되어 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이후 학습 완료된 RF/XGBoost 모델을 재사용하여, 각 시나리오에서 PM₁₀·PM₂.₅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1시간 뒤 농도를 예측하였다. 예측 결과는 scenario_2026_preds_pm10_rf_xgb,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scenario_2026_preds_pm25_rf_xgb 테이블에 저장하였다.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행정동 및 동/서부 단위 시나리오 집계를 위해, 각 시나리오의 예측값을 stations 및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daejeon_umd와 결합하여 행정동별 평균 농도와 기준 초과 시간 비율(예: PM₁₀ ≥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50 µg/m³, PM₂.₅ ≥ 25 µg/m³)을 계산하였다. 이 과정에서 시나리오·모델·오염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물질별 지표를 모은 bi_admin_pm_stats_2026_pm10,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bi_admin_pm_stats_2026_pm25, bi_area_ew_stats_2026_pm10,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bi_area_ew_stats_2026_pm25를 생성하였다.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마지막으로, 세 시나리오와 두 모델, 두 오염물질을 ensemble하여, 각 행정동·측정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소가 여러 조합에서 high-risk class를 얼마나 자주 보이는지를 계산하였다. 이 정보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를 바탕으로 umd_pm_stats_2026_scenarios_with_classes.gpkg 및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umd_ensemble_2026_with_classes.gpkg를 생성하고, QGIS에서 2026 시나리오별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및 ensemble 위험도 지도를 제작하였다(그림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3, 그림 4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>).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t xml:space="preserve"> </w:t>
      </w:r>
      <w:r>
        <w:rPr>
          <w:shd w:val="clear" w:color="auto" w:fill="auto"/>
          <w:rFonts w:ascii="HY신명조" w:eastAsia="HY신명조" w:hAnsi="HY신명조" w:cs="HY신명조"/>
        </w:rPr>
        <w:t xml:space="preserve">PM10의 경우 모든 측정소</w:t>
      </w:r>
      <w:r>
        <w:rPr>
          <w:shd w:val="clear" w:color="auto" w:fill="auto"/>
          <w:rFonts w:ascii="HY신명조" w:eastAsia="HY신명조" w:hAnsi="HY신명조" w:cs="HY신명조"/>
        </w:rPr>
        <w:t xml:space="preserve">가 ‘위험도 낮음’ 클래스로 분류된 반면, PM2.5의 경우 한 곳을 제외한 모든 측정</w:t>
      </w:r>
      <w:r>
        <w:rPr>
          <w:shd w:val="clear" w:color="auto" w:fill="auto"/>
          <w:rFonts w:ascii="HY신명조" w:eastAsia="HY신명조" w:hAnsi="HY신명조" w:cs="HY신명조"/>
        </w:rPr>
        <w:t xml:space="preserve">소가 ‘위험도 매우 높음’으로 분류되었다.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3603625" cy="2541905"/>
            <wp:effectExtent l="0" t="0" r="0" b="0"/>
            <wp:docPr id="29" name="그림 6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Picture 3" descr="C:/Users/wachu/AppData/Roaming/PolarisOffice9/ETemp/2576_20843464/fImage355004013176334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54254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spacing w:lineRule="auto" w:line="259" w:after="160"/>
        <w:rPr>
          <w:b w:val="1"/>
          <w:color w:val="auto"/>
          <w:shd w:val="clear" w:color="auto" w:fill="auto"/>
          <w:lang w:eastAsia="ko-KR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3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(PM10_2026_ensemble_risk)</w:t>
      </w:r>
    </w:p>
    <w:p>
      <w:pPr>
        <w:jc w:val="both"/>
        <w:spacing w:lineRule="auto" w:line="259" w:after="160"/>
        <w:rPr>
          <w:b w:val="1"/>
          <w:color w:val="auto"/>
          <w:shd w:val="clear" w:color="auto" w:fill="auto"/>
          <w:lang w:eastAsia="ko-KR"/>
        </w:rPr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3603625" cy="2534920"/>
            <wp:effectExtent l="0" t="0" r="0" b="0"/>
            <wp:docPr id="30" name="그림 5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C:/Users/wachu/AppData/Roaming/PolarisOffice9/ETemp/2576_20843464/fImage355152712286500.png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604260" cy="2535555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spacing w:lineRule="auto" w:line="259" w:after="160"/>
        <w:rPr>
          <w:b w:val="1"/>
          <w:color w:val="auto"/>
          <w:shd w:val="clear" w:color="auto" w:fill="auto"/>
          <w:lang w:eastAsia="ko-KR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4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(PM2.5_2026_ensemble_risk)</w:t>
      </w:r>
      <w:r>
        <w:br w:type="page"/>
      </w:r>
    </w:p>
    <w:p>
      <w:pPr>
        <w:spacing w:lineRule="auto" w:line="288" w:after="0"/>
        <w:ind w:firstLine="20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 w:hint="eastAsia"/>
          <w:lang w:eastAsia="ko-KR"/>
        </w:rPr>
        <w:t>4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t xml:space="preserve">. 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 w:hint="eastAsia"/>
        </w:rPr>
        <w:t>결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 w:hint="eastAsia"/>
          <w:lang w:eastAsia="ko-KR"/>
        </w:rPr>
        <w:t>과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 4.1. RQ1 – 1hour-ahead prediction performance vs. persistence baseline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RQ1의 평가는 지속 예측을 기준 모형으로 두고, Random Forest(RF)와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XGBoost(XGB)의 상대적 개선폭을 중심으로 수행하였다. 구간별 성능은 표 8과 같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으며, 기준 모형 대비 개선폭은 표 9에 정리하였다. 각 모형의 연도별 성능 지표는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2021–2024년 전체 데이터 기반으로 산출하였다(그림 5, 그림 6).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1300"/>
        <w:gridCol w:w="1750"/>
        <w:gridCol w:w="1500"/>
        <w:gridCol w:w="1000"/>
        <w:gridCol w:w="1300"/>
        <w:gridCol w:w="1100"/>
      </w:tblGrid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오염물질</w:t>
            </w: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구간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모형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R²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RMSE (µ</w:t>
            </w: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g/m³)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MAE (µ</w:t>
            </w: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g/m³)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PM₁₀</w:t>
            </w: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Train (2021–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22)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Persistence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0.928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9.62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5.41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RF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0.993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3.05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1.82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XGB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0.965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6.73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4.59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Validation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(2023)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Persistence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0.925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8.76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5.41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RF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0.896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10.38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5.55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XGB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0.871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11.55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5.70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External test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(2024)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Persistence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0.874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8.01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4.79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RF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0.862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8.37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4.70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XGB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0.855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8.59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4.68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PM₂.₅</w:t>
            </w: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Train (2021–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22)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Persistence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0.859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4.99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3.46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RF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0.984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1.67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1.18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XGB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0.908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4.03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2.94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Validation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(2023)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Persistence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0.859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5.62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3.52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RF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0.872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5.37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3.39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XGB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0.873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5.36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3.32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External test </w:t>
            </w: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(2024)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Persistence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0.801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4.95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3.37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RF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0.825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4.66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3.24</w:t>
            </w:r>
          </w:p>
        </w:tc>
      </w:tr>
      <w:tr>
        <w:trPr/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75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XGB</w:t>
            </w:r>
          </w:p>
        </w:tc>
        <w:tc>
          <w:tcPr>
            <w:tcW w:type="dxa" w:w="1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0.830</w:t>
            </w:r>
          </w:p>
        </w:tc>
        <w:tc>
          <w:tcPr>
            <w:tcW w:type="dxa" w:w="13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4.60</w:t>
            </w:r>
          </w:p>
        </w:tc>
        <w:tc>
          <w:tcPr>
            <w:tcW w:type="dxa" w:w="11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3.19</w:t>
            </w:r>
          </w:p>
        </w:tc>
      </w:tr>
    </w:tbl>
    <w:p>
      <w:pPr>
        <w:jc w:val="both"/>
        <w:spacing w:lineRule="auto" w:line="259" w:after="160"/>
        <w:rPr>
          <w:b w:val="1"/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b w:val="1"/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b w:val="1"/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표 8. 기준 모형 대비 예측 성능 (전 측정소 통합)</w:t>
      </w:r>
    </w:p>
    <w:tbl>
      <w:tblID w:val="0"/>
      <w:tblPr>
        <w:tblStyle w:val="PO37"/>
        <w:tblCellMar>
          <w:left w:w="108" w:type="dxa"/>
          <w:top w:w="0" w:type="dxa"/>
          <w:right w:w="108" w:type="dxa"/>
          <w:bottom w:w="0" w:type="dxa"/>
        </w:tblCellMar>
        <w:tblW w:w="0" w:type="auto"/>
        <w:tblLook w:val="0004A0" w:firstRow="1" w:lastRow="0" w:firstColumn="1" w:lastColumn="0" w:noHBand="0" w:noVBand="1"/>
        <w:tblLayout w:type="auto"/>
      </w:tblPr>
      <w:tblGrid>
        <w:gridCol w:w="2000"/>
        <w:gridCol w:w="3000"/>
        <w:gridCol w:w="1500"/>
        <w:gridCol w:w="1500"/>
      </w:tblGrid>
      <w:tr>
        <w:trPr/>
        <w:tc>
          <w:tcPr>
            <w:tcW w:type="dxa" w:w="2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오염물질</w:t>
            </w:r>
          </w:p>
        </w:tc>
        <w:tc>
          <w:tcPr>
            <w:tcW w:type="dxa" w:w="3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구간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RF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b w:val="1"/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XGB</w:t>
            </w:r>
          </w:p>
        </w:tc>
      </w:tr>
      <w:tr>
        <w:trPr/>
        <w:tc>
          <w:tcPr>
            <w:tcW w:type="dxa" w:w="2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PM₁₀</w:t>
            </w:r>
          </w:p>
        </w:tc>
        <w:tc>
          <w:tcPr>
            <w:tcW w:type="dxa" w:w="3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Validation (2023)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−18.5 %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−31.9 %</w:t>
            </w:r>
          </w:p>
        </w:tc>
      </w:tr>
      <w:tr>
        <w:trPr/>
        <w:tc>
          <w:tcPr>
            <w:tcW w:type="dxa" w:w="2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PM₁₀</w:t>
            </w:r>
          </w:p>
        </w:tc>
        <w:tc>
          <w:tcPr>
            <w:tcW w:type="dxa" w:w="3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External test (2024)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−4.5 %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−7.2 %</w:t>
            </w:r>
          </w:p>
        </w:tc>
      </w:tr>
      <w:tr>
        <w:trPr/>
        <w:tc>
          <w:tcPr>
            <w:tcW w:type="dxa" w:w="2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PM₂.₅</w:t>
            </w:r>
          </w:p>
        </w:tc>
        <w:tc>
          <w:tcPr>
            <w:tcW w:type="dxa" w:w="3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Validation (2023)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+4.5 %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+4.6 %</w:t>
            </w:r>
          </w:p>
        </w:tc>
      </w:tr>
      <w:tr>
        <w:trPr/>
        <w:tc>
          <w:tcPr>
            <w:tcW w:type="dxa" w:w="2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>PM₂.₅</w:t>
            </w:r>
          </w:p>
        </w:tc>
        <w:tc>
          <w:tcPr>
            <w:tcW w:type="dxa" w:w="30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External test (2024)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+5.9 %</w:t>
            </w:r>
          </w:p>
        </w:tc>
        <w:tc>
          <w:tcPr>
            <w:tcW w:type="dxa" w:w="1500"/>
            <w:vAlign w:val="top"/>
          </w:tcPr>
          <w:p>
            <w:pPr>
              <w:spacing w:lineRule="auto" w:line="259"/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widowControl w:val="0"/>
              <w:autoSpaceDE w:val="0"/>
              <w:autoSpaceDN w:val="0"/>
            </w:pPr>
            <w:r>
              <w:rPr>
                <w:color w:val="auto"/>
                <w:sz w:val="20"/>
                <w:szCs w:val="20"/>
                <w:shd w:val="clear" w:color="auto" w:fill="auto"/>
                <w:rFonts w:ascii="HY신명조" w:eastAsia="HY신명조" w:hAnsi="HY신명조" w:cs="HY신명조"/>
              </w:rPr>
              <w:t xml:space="preserve">+7.1 %</w:t>
            </w:r>
          </w:p>
        </w:tc>
      </w:tr>
    </w:tbl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b w:val="1"/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표 9. Skill score (1 − RMSE_model / RMSE_persistence)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PM₁₀. 두 모형 모두 검증·외부 검증 구간에서 지속 예측을 넘어서지 못하였다. 특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히 2023년 검증 구간에서 RF의 RMSE는 지속 예측 대비 18.5 % 증가하였다. 주목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할 점은 2024년 외부 검증에서 RF의 MAE(4.70 µg/m³)가 지속 예측(4.79 µg/m³)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보다 근소하게 낮음에도 RMSE는 오히려 높다는 것이다. RMSE는 큰 오차에 더 큰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가중을 부여하므로, 이는 모형이 평상시 오차는 소폭 줄이는 대신 고농도 구간에서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큰 오차를 발생시키고 있음을 의미한다.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PM₂.₅. 두 모형 모두 검증·외부 검증 구간에서 지속 예측을 상회하였으며, 개선폭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은 4.5 ~ 7.1 % 수준이었다. 절대적인 개선폭은 크지 않으나, 검증 연도와 외부 검증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연도 모두에서 부호가 일관되게 양(+)으로 유지되었다는 점에서 우연에 의한 결과로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보기는 어렵다.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과적합. 학습 구간에서 RF는 PM₁₀ R² 0.993, PM₂.₅ R² 0.984를 기록하였으나,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검증·외부 검증 구간에서는 각각 0.86 ~ 0.90, 0.82 ~ 0.87로 하락하였다. 지속 예측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의 R²가 구간에 따라 0.80 ~ 0.93 범위에서 비교적 안정적으로 유지되는 것과 대조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적이다. 이는 현재 모형이 학습 구간의 개별 변동을 상당 부분 기억한 결과로 해석되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며, PM₁₀에서 지속 예측에 열세를 보인 주요 원인으로 판단된다.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해석. 이상의 결과는 두 오염물질의 물리적 특성 차이와 정합적이다. PM₁₀은 국지적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재비산, 황사 유입 등 단시간 내 급변 요인의 기여가 커서 직전 시각 농도 외에 추가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적인 예측 정보를 얻기 어려운 반면, PM₂.₅는 2차 생성 비중이 높아 기온·습도·풍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속 등 기상 조건이 상대적으로 더 많은 정보를 제공한다. 또한 로컬 PM 경보 및 황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사 특보 시기의 오차 분산이 확대되는 패턴은 고농도 이벤트가 현재 피처 구성의 주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요 취약 조건임을 재확인시켜 준다. 따라서 본 연구의 피처 구성은 PM₂.₅에 대해서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만 제한적으로 유효하였다고 볼 수 있다.</w:t>
      </w:r>
    </w:p>
    <w:p>
      <w:pPr>
        <w:jc w:val="both"/>
        <w:spacing w:lineRule="auto" w:line="259" w:after="160"/>
        <w:rPr>
          <w:color w:val="auto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5039360" cy="2914015"/>
            <wp:effectExtent l="0" t="0" r="0" b="0"/>
            <wp:docPr id="34" name="그림 6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5" descr="C:/Users/wachu/AppData/Roaming/PolarisOffice9/ETemp/2576_20843464/fImage37886113559169.png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46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5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(pm10)</w:t>
      </w:r>
    </w:p>
    <w:p>
      <w:pPr>
        <w:jc w:val="both"/>
        <w:spacing w:lineRule="auto" w:line="259" w:after="160"/>
        <w:rPr>
          <w:color w:val="auto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5039360" cy="2914015"/>
            <wp:effectExtent l="0" t="0" r="0" b="0"/>
            <wp:docPr id="35" name="그림 6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6" descr="C:/Users/wachu/AppData/Roaming/PolarisOffice9/ETemp/2576_20843464/fImage36471013665724.png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46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6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(pm2.5)</w:t>
      </w: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4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>.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t xml:space="preserve">RQ2 – Spatial vulnerability in 2021–2023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Power BI의 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</w:rPr>
        <w:t xml:space="preserve">‘Overview’(그림 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  <w:lang w:eastAsia="ko-KR"/>
        </w:rPr>
        <w:t>7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</w:rPr>
        <w:t>)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와 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</w:rPr>
        <w:t xml:space="preserve">‘Spatial patterns – by 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</w:rPr>
        <w:t xml:space="preserve">neighbourhood/season’(그림 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  <w:lang w:eastAsia="ko-KR"/>
        </w:rPr>
        <w:t>8)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페이지를 이용해 3년간의 공간적 취약성을 분석하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>였다.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br/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</w:rPr>
        <w:t>동부권(동·중·대덕구)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평균 PM₁₀은 약 34–37 µg/m³, 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</w:rPr>
        <w:t>서부권(서·유성구)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은 31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–35 µg/m³로 동부권이 전반적으로 높았다. PM₂.₅ 평균은 동부 17.3 µg/m³, 서부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17.0 µg/m³ 수준이지만, 기준 초과 시간 비율은 각각 44 %, 42 %로 동부권의 노출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빈도가 조금 더 컸다.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br/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행정동 단위 평균값을 살펴보면 (그림 7), 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</w:rPr>
        <w:t>관평동·문평동·노은동·둔산동·문창동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</w:rPr>
        <w:t>·정림동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등이 상대적으로 높은 PM 수준을 유지하였다. 이 동들은 교통량이 많고 상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업지 비율이 높은 구간과 대체로 겹친다. 계절별 패턴 역시 그림 7에서 확인되며, 여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름철 PM₁₀은 21 µg/m³, 겨울철 은 약 35–40 µg/m³까지 상승해 난방 및 대기정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체 요인의 영향을 보였다.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br/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한편 </w:t>
      </w:r>
      <w:r>
        <w:rPr>
          <w:b w:val="1"/>
          <w:color w:val="auto"/>
          <w:shd w:val="clear" w:color="auto" w:fill="auto"/>
          <w:rFonts w:ascii="HY신명조" w:eastAsia="HY신명조" w:hAnsi="HY신명조" w:cs="HY신명조"/>
        </w:rPr>
        <w:t xml:space="preserve">‘Alerts &amp; Dust’ 페이지(그림 8)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에서 로컬 경보와 황사 특보 시간대를 비교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한 결과, 경보 시기에도 동일한 행정동들이 지속적으로 높은 PM 농도와 노출 시간을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보였다. 평상시 고농도 지역이 사건 시에도 더 취약하게 나타나는 일관된 패턴이 형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성된 것이다. 이 결과는 단순 평균값 분석보다 ‘노출 지속시간’ 을 고려한 공간 위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험도 평가가 도시 관리 차원에서 유의미함을 보여준다.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sz w:val="20"/>
        </w:rPr>
        <w:drawing>
          <wp:inline distT="0" distB="0" distL="0" distR="0">
            <wp:extent cx="5039360" cy="2914015"/>
            <wp:effectExtent l="0" t="0" r="0" b="0"/>
            <wp:docPr id="36" name="그림 6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7" descr="C:/Users/wachu/AppData/Roaming/PolarisOffice9/ETemp/2576_20843464/fImage19491013801478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46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88" w:after="0"/>
        <w:rPr>
          <w:color w:val="auto"/>
          <w:shd w:val="clear" w:color="auto" w:fill="auto"/>
        </w:rPr>
        <w:wordWrap w:val="1"/>
        <w:widowControl w:val="1"/>
        <w:autoSpaceDE w:val="1"/>
        <w:autoSpaceDN w:val="1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7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</w:t>
      </w:r>
      <w:r>
        <w:rPr>
          <w:b w:val="1"/>
          <w:color w:val="auto"/>
          <w:shd w:val="clear" w:color="auto" w:fill="auto"/>
        </w:rPr>
        <w:t>overview</w:t>
      </w:r>
      <w:r>
        <w:rPr>
          <w:color w:val="auto"/>
          <w:shd w:val="clear" w:color="auto" w:fill="auto"/>
          <w:lang w:eastAsia="ko-KR"/>
        </w:rPr>
        <w:t>)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sz w:val="20"/>
        </w:rPr>
        <w:drawing>
          <wp:inline distT="0" distB="0" distL="0" distR="0">
            <wp:extent cx="5039360" cy="2914015"/>
            <wp:effectExtent l="0" t="0" r="0" b="0"/>
            <wp:docPr id="37" name="그림 6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8" descr="C:/Users/wachu/AppData/Roaming/PolarisOffice9/ETemp/2576_20843464/fImage35984213829358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46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88" w:after="0"/>
        <w:rPr>
          <w:color w:val="auto"/>
          <w:shd w:val="clear" w:color="auto" w:fill="auto"/>
        </w:rPr>
        <w:wordWrap w:val="1"/>
        <w:widowControl w:val="1"/>
        <w:autoSpaceDE w:val="1"/>
        <w:autoSpaceDN w:val="1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8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</w:t>
      </w:r>
      <w:r>
        <w:rPr>
          <w:b w:val="1"/>
          <w:color w:val="auto"/>
          <w:shd w:val="clear" w:color="auto" w:fill="auto"/>
        </w:rPr>
        <w:t>Spatial_all</w:t>
      </w:r>
      <w:r>
        <w:rPr>
          <w:b w:val="1"/>
          <w:color w:val="auto"/>
          <w:shd w:val="clear" w:color="auto" w:fill="auto"/>
          <w:lang w:eastAsia="ko-KR"/>
        </w:rPr>
        <w:t>)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sz w:val="20"/>
        </w:rPr>
        <w:drawing>
          <wp:inline distT="0" distB="0" distL="0" distR="0">
            <wp:extent cx="5039360" cy="2914015"/>
            <wp:effectExtent l="0" t="0" r="0" b="0"/>
            <wp:docPr id="38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9" descr="C:/Users/wachu/AppData/Roaming/PolarisOffice9/ETemp/2576_20843464/fImage56505413856962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46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spacing w:lineRule="auto" w:line="288" w:after="0"/>
        <w:rPr>
          <w:b w:val="1"/>
          <w:color w:val="auto"/>
          <w:shd w:val="clear" w:color="auto" w:fill="auto"/>
          <w:lang w:eastAsia="ko-KR"/>
        </w:rPr>
        <w:wordWrap w:val="1"/>
        <w:widowControl w:val="1"/>
        <w:autoSpaceDE w:val="1"/>
        <w:autoSpaceDN w:val="1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9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</w:t>
      </w:r>
      <w:r>
        <w:rPr>
          <w:b w:val="1"/>
          <w:color w:val="auto"/>
          <w:shd w:val="clear" w:color="auto" w:fill="auto"/>
        </w:rPr>
        <w:t xml:space="preserve">Alerts &amp; Dust</w:t>
      </w:r>
      <w:r>
        <w:rPr>
          <w:b w:val="1"/>
          <w:color w:val="auto"/>
          <w:shd w:val="clear" w:color="auto" w:fill="auto"/>
          <w:lang w:eastAsia="ko-KR"/>
        </w:rPr>
        <w:t>)</w:t>
      </w:r>
    </w:p>
    <w:p>
      <w:pPr>
        <w:spacing w:lineRule="auto" w:line="288" w:after="0"/>
        <w:rPr>
          <w:color w:val="auto"/>
          <w:shd w:val="clear" w:color="auto" w:fill="auto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 4.3. RQ3 – 과거 3년 패턴의 공간적 반복성 점검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본 절의 분석은 당초 2026년 근미래 예측을 목적으로 설계되었으나, 방법론적 제약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으로 인해 해석 범위를 축소하였다. 본 연구의 모형은 입력 피처에 직전 시각의 실측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PM 농도(lag 피처)를 포함하는 1시간 앞 예측 구조이다. 2026년에 대해서는 이 실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측값이 존재하지 않으므로, 시나리오 A/B/C는 실질적으로 2021·2022·2023년의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실측 시계열을 입력으로 사용하고 연도 라벨만 치환한 결과에 해당한다. 따라서 이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결과는 미래 농도의 투영이 아니라, 과거 3년의 관측 패턴이 공간적으로 얼마나 반복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적으로 나타나는지를 점검한 것으로 해석하여야 한다. 세 시나리오의 공간 패턴이 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로 근접하게 나타난 것(그림 10–12) 역시 이러한 구조에서 기인한다.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 범위 안에서 도출된 결과는 다음과 같다. 세 연도 모두에서 문평동·관평동·구성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동·둔산동·정림동 등이 반복적으로 상위 노출 구간에 분류되었으며, 이는 4.2절의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2021–2023년 공간 취약성 결과와 일치한다. 즉 특정 행정동의 상대적 취약성이 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도별 기상 조건 변화에도 불구하고 안정적으로 유지된다는 점을 확인할 수 있다. RF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와 XGBoost 두 모델의 결과 역시 서로 근접하여 공간 패턴의 일관성이 유지되었다.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다만 PM₂.₅ 기준에서 전 측정소가 high-risk로 분류되고 PM₁₀ 기준에서는 해당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측정소가 없었다는 결과는 실질적인 위험도 차이라기보다 임계값 설정에 기인한 산물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로 보아야 한다. 대전의 PM₂.₅ 연평균은 17 ~ 18 µg/m³ 수준인 반면 본 연구에서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사용한 고농도 판정 기준은 25 µg/m³이고, PM₁₀은 연평균 31 ~ 37 µg/m³에 판정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기준이 50 µg/m³이다. 두 오염물질의 평균 대비 임계값 비율이 상이하므로 분류 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과가 극단적으로 갈린 것이며, 이를 근거로 PM₂.₅ 위험이 구조적으로 더 크다고 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론짓기는 어렵다. 향후 분석에서는 오염물질별 분포를 고려한 상대적 임계값(예: 백분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위 기준) 적용이 필요하다.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5039360" cy="2914015"/>
            <wp:effectExtent l="0" t="0" r="0" b="0"/>
            <wp:docPr id="39" name="그림 7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Picture 10" descr="C:/Users/wachu/AppData/Roaming/PolarisOffice9/ETemp/2576_20843464/fImage34762614024464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46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10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(s</w:t>
      </w:r>
      <w:r>
        <w:rPr>
          <w:b w:val="1"/>
          <w:color w:val="auto"/>
          <w:shd w:val="clear" w:color="auto" w:fill="auto"/>
        </w:rPr>
        <w:t xml:space="preserve">cenario 2026 – PM10</w:t>
      </w:r>
      <w:r>
        <w:rPr>
          <w:b w:val="1"/>
          <w:color w:val="auto"/>
          <w:shd w:val="clear" w:color="auto" w:fill="auto"/>
          <w:lang w:eastAsia="ko-KR"/>
        </w:rPr>
        <w:t>)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5039360" cy="2914015"/>
            <wp:effectExtent l="0" t="0" r="0" b="0"/>
            <wp:docPr id="40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11" descr="C:/Users/wachu/AppData/Roaming/PolarisOffice9/ETemp/2576_20843464/fImage35119314055705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46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11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(s</w:t>
      </w:r>
      <w:r>
        <w:rPr>
          <w:b w:val="1"/>
          <w:color w:val="auto"/>
          <w:shd w:val="clear" w:color="auto" w:fill="auto"/>
        </w:rPr>
        <w:t xml:space="preserve">cenario 2026 – PM</w:t>
      </w:r>
      <w:r>
        <w:rPr>
          <w:b w:val="1"/>
          <w:color w:val="auto"/>
          <w:shd w:val="clear" w:color="auto" w:fill="auto"/>
          <w:lang w:eastAsia="ko-KR"/>
        </w:rPr>
        <w:t>2.5)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sz w:val="20"/>
        </w:rPr>
        <w:drawing>
          <wp:inline distT="0" distB="0" distL="0" distR="0">
            <wp:extent cx="5039360" cy="2914015"/>
            <wp:effectExtent l="0" t="0" r="0" b="0"/>
            <wp:docPr id="41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Picture 12" descr="C:/Users/wachu/AppData/Roaming/PolarisOffice9/ETemp/2576_20843464/fImage37531614088145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39995" cy="2914650"/>
                    </a:xfrm>
                    <a:prstGeom prst="rect"/>
                    <a:ln cap="flat"/>
                  </pic:spPr>
                </pic:pic>
              </a:graphicData>
            </a:graphic>
          </wp:inline>
        </w:drawing>
      </w:r>
    </w:p>
    <w:p>
      <w:pPr>
        <w:jc w:val="both"/>
        <w:spacing w:lineRule="auto" w:line="259" w:after="160"/>
        <w:rPr>
          <w:color w:val="auto"/>
          <w:shd w:val="clear" w:color="auto" w:fill="auto"/>
        </w:rPr>
        <w:widowControl w:val="0"/>
        <w:autoSpaceDE w:val="0"/>
        <w:autoSpaceDN w:val="0"/>
      </w:pPr>
      <w:r>
        <w:rPr>
          <w:b w:val="1"/>
          <w:color w:val="auto"/>
          <w:shd w:val="clear" w:color="auto" w:fill="auto"/>
        </w:rPr>
        <w:t xml:space="preserve">그림 </w:t>
      </w:r>
      <w:r>
        <w:rPr/>
        <w:rPr>
          <w:shd w:val="clear"/>
        </w:rPr>
        <w:fldChar w:fldCharType="begin"/>
      </w:r>
      <w:r>
        <w:rPr/>
        <w:rPr>
          <w:shd w:val="clear"/>
        </w:rPr>
        <w:instrText xml:space="preserve"> SEQ 그림 \* ARABIC</w:instrText>
      </w:r>
      <w:r>
        <w:rPr/>
        <w:rPr>
          <w:shd w:val="clear"/>
        </w:rPr>
        <w:fldChar w:fldCharType="separate"/>
      </w:r>
      <w:r>
        <w:rPr>
          <w:b w:val="1"/>
          <w:color w:val="auto"/>
          <w:shd w:val="clear" w:color="auto" w:fill="auto"/>
        </w:rPr>
        <w:t>12</w:t>
      </w:r>
      <w:r>
        <w:rPr/>
        <w:rPr>
          <w:b w:val="1"/>
          <w:color w:val="auto"/>
          <w:shd w:val="clear" w:color="auto" w:fill="auto"/>
        </w:rPr>
        <w:fldChar w:fldCharType="end"/>
      </w:r>
      <w:r>
        <w:rPr>
          <w:b w:val="1"/>
          <w:color w:val="auto"/>
          <w:shd w:val="clear" w:color="auto" w:fill="auto"/>
          <w:lang w:eastAsia="ko-KR"/>
        </w:rPr>
        <w:t xml:space="preserve"> (s</w:t>
      </w:r>
      <w:r>
        <w:rPr>
          <w:b w:val="1"/>
          <w:color w:val="auto"/>
          <w:shd w:val="clear" w:color="auto" w:fill="auto"/>
        </w:rPr>
        <w:t xml:space="preserve">cenario 2026 – </w:t>
      </w:r>
      <w:r>
        <w:rPr>
          <w:b w:val="1"/>
          <w:color w:val="auto"/>
          <w:shd w:val="clear" w:color="auto" w:fill="auto"/>
          <w:lang w:eastAsia="ko-KR"/>
        </w:rPr>
        <w:t>Ensemble)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br w:type="page"/>
      </w:r>
    </w:p>
    <w:p>
      <w:pPr>
        <w:jc w:val="both"/>
        <w:spacing w:lineRule="auto" w:line="259" w:after="160"/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</w:rPr>
        <w:widowControl w:val="0"/>
        <w:autoSpaceDE w:val="0"/>
        <w:autoSpaceDN w:val="0"/>
      </w:pP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 w:hint="eastAsia"/>
          <w:lang w:eastAsia="ko-KR"/>
        </w:rPr>
        <w:t>5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</w:rPr>
        <w:t xml:space="preserve">. 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  <w:lang w:eastAsia="ko-KR"/>
        </w:rPr>
        <w:t>논의</w:t>
      </w:r>
    </w:p>
    <w:p>
      <w:pPr>
        <w:spacing w:lineRule="auto" w:line="288" w:after="0"/>
        <w:rPr>
          <w:b w:val="1"/>
          <w:color w:val="auto"/>
          <w:sz w:val="32"/>
          <w:szCs w:val="32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5.1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t xml:space="preserve">Predictive capability and limitations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본 연구의 가장 중요한 방법론적 발견은, 지속 예측이라는 기준 모형을 도입하기 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과 후에 결론이 정반대로 바뀐다는 점이다. 기준 모형 없이 결정계수만을 보면 두 모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형 모두 R² 0.86 ~ 0.90으로 양호해 보이지만, 지속 예측 역시 동일 구간에서 R²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0.80 ~ 0.93을 기록한다. 즉 결정계수만으로는 모형이 정보를 추가하였는지 판별할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수 없으며, 1시간 앞 예측과 같이 자기상관이 높은 문제에서는 기준 모형과의 비교가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>필수적이다.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 기준에서 볼 때, 본 연구의 단기 예측은 PM₁₀에 대해서는 실패하였고 PM₂.₅에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대해서만 제한적으로 성공하였다. PM₂.₅의 개선폭 4.5 ~ 7.1 %는 통계적으로 일관되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지만 실무적 의미는 크지 않으며, 경보 발령 등 의사결정 지원에 직접 활용하기에는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부족한 수준이다.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한계의 원인은 세 가지로 정리된다. 첫째, 과적합이다. 학습 구간과 검증 구간의 R²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격차가 0.1 이상으로 크며, 정규화 강화, 교차검증 기반 하이퍼파라미터 탐색, 피처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수 축소 등의 조치가 필요하다. 둘째, 피처 구성의 한계이다. 현재 사용한 lag·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rolling·기상 lag 피처는 평상시 완만한 변동은 설명하지만 고농도 이벤트의 급격한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상승을 설명하지 못한다. 고농도 상황에서는 상층 기류, 국지적 배출 급증, 2차 생성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등 다양한 요인이 복합적으로 작용하며, RMSE와 MAE의 상반된 방향이 이를 뒷받침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한다. 셋째, 예측 시계(horizon)의 문제이다. 1시간 앞 예측은 지속 예측의 성능 자체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가 매우 높아 개선 여지가 구조적으로 작다. 실무적으로 의미 있는 6시간·24시간 앞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예측에서는 지속 예측의 성능이 급격히 저하되므로, 데이터 기반 모형의 상대적 이점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 더 크게 나타날 가능성이 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이러한 결과는 데이터 기반 접근만으로 단기 대기질 예측을 개선하는 데 명확한 한계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가 있음을 시사하며, 배출량·기상장·화학 과정을 명시적으로 다루는 물리 기반 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기질 모델(CMAQ, WRF-Chem 등)과의 결합 필요성을 뒷받침한다. 특히 고농도 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벤트 구간에서 물리 모델의 예측장을 추가 피처로 활용하는 하이브리드 접근은 본 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구가 확인한 취약 지점에 직접 대응하는 방향이다.</w:t>
      </w:r>
    </w:p>
    <w:p>
      <w:pPr>
        <w:spacing w:lineRule="auto" w:line="288" w:after="0"/>
        <w:ind w:left="200" w:firstLine="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hd w:val="clear" w:color="auto" w:fill="auto"/>
          <w:rFonts w:ascii="HY신명조" w:eastAsia="HY신명조" w:hAnsi="HY신명조" w:cs="HY신명조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</w:p>
    <w:p>
      <w:pPr>
        <w:spacing w:lineRule="auto" w:line="288" w:after="0"/>
        <w:rPr>
          <w:color w:val="auto"/>
          <w:shd w:val="clear" w:color="auto" w:fill="auto"/>
          <w:rFonts w:ascii="HY신명조" w:eastAsia="HY신명조" w:hAnsi="HY신명조" w:cs="HY신명조"/>
          <w:lang w:eastAsia="ko-KR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hd w:val="clear" w:color="auto" w:fill="auto"/>
          <w:rFonts w:ascii="HY신명조" w:eastAsia="HY신명조" w:hAnsi="HY신명조" w:cs="HY신명조"/>
          <w:lang w:eastAsia="ko-KR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5.2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t xml:space="preserve">Spatial vulnerability and policy implications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공간 취약성 분석 결과는, 2021–2023년 관측 기간 전체에 걸쳐 반복적으로 높은 노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출을 보이는 행정동·권역이 존재한다는 점을 보여준다. 특히 관평동·문평동·노은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동·둔산동·문창동·정림동 등은 PM₁₀·PM₂.₅ 평균 농도와 고농도 시간 비율이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모두 높고, 연도별 아날로그 점검(4.3절)에서도 반복적으로 상위 노출 구간에 분류되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었다. 이러한 지역은 장기적인 관리 대상 구역으로 우선순위를 부여할 필요가 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동부권/서부권 비교 결과를 보면, 동부권이 서부권에 비해 평균 농도와 기준 초과 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율이 전반적으로 높은 경향을 보인다. 이는 구도심, 산업·물류, 교통축이 집중된 동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부권 특성과 연관이 있을 가능성이 크며, 향후 정책 설계 시 동부권 내 특정 행정동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을 대상으로 한 맞춤형 저감 대책(교통 수요 관리, 저배출 차량 확대, 국지적 배출 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감 등)을 검토할 필요가 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또한 PM₁₀과 PM₂.₅의 분류 결과 차이는 해석에 주의가 필요하다. ensemble 분석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에서 PM₂.₅ 기준 high-risk 측정소가 전 측정소에 해당한 반면 PM₁₀ 기준 high-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risk 측정소는 없었다는 결과는, 4.3절에서 논의한 바와 같이 오염물질별 평균 농도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대비 임계값 비율의 차이에 기인한 부분이 크다. 다만 PM₂.₅가 입경이 작아 건강 영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향 측면에서 더 중요하다는 점은 별도의 근거로 성립하므로, 규제 및 경보 체계 설계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에서 PM₂.₅에 대한 관심이 필요하다는 함의 자체는 유효하다. 향후 분석에서는 백분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위 기준 등 상대적 임계값을 병행 적용하여 이 두 요인을 분리할 필요가 있다.</w:t>
      </w:r>
    </w:p>
    <w:p>
      <w:pPr>
        <w:spacing w:lineRule="auto" w:line="288" w:after="0"/>
        <w:ind w:left="200" w:firstLine="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spacing w:lineRule="auto" w:line="288" w:after="0"/>
        <w:rPr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hAnsi="HY신명조" w:cs="HY신명조" w:hint="eastAsia"/>
        </w:rPr>
        <w:t xml:space="preserve"> </w:t>
      </w:r>
      <w:r>
        <w:rPr>
          <w:color w:val="auto"/>
          <w:shd w:val="clear" w:color="auto" w:fill="auto"/>
          <w:rFonts w:ascii="HY신명조" w:eastAsia="HY신명조" w:hAnsi="HY신명조" w:cs="HY신명조"/>
        </w:rPr>
        <w:t xml:space="preserve">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  <w:lang w:eastAsia="ko-KR"/>
        </w:rPr>
        <w:t>5.3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 w:hint="eastAsia"/>
        </w:rPr>
        <w:t xml:space="preserve">. </w:t>
      </w: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hAnsi="HY신명조" w:cs="HY신명조"/>
        </w:rPr>
        <w:t xml:space="preserve">Strengths, limitations and future work</w:t>
      </w:r>
    </w:p>
    <w:p>
      <w:pPr>
        <w:spacing w:lineRule="auto" w:line="288" w:after="0"/>
        <w:ind w:firstLine="200"/>
        <w:rPr>
          <w:color w:val="auto"/>
          <w:shd w:val="clear" w:color="auto" w:fill="auto"/>
          <w:rFonts w:ascii="HY신명조" w:eastAsia="HY신명조" w:hAnsi="HY신명조" w:cs="HY신명조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본 연구의 장점은, 에어코리아·기상청·로컬 경보·황사 특보 등 공공 데이터만을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활용하여 누구나 재현 가능한 데이터·모델·공간 분석 파이프라인을 구성하고, 기준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모형과의 비교를 통해 모형의 실제 기여를 정량적으로 평가하였다는 점이다. 특히 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정계수만으로 판단할 경우 도출되었을 결론이 지속 예측 대비 평가에서는 유지되지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않는다는 점을 확인함으로써, 유사한 도시 단위 단기 예측 연구에서 기준 모형 설정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 필수적임을 실증적으로 보였다. 모든 처리 단계와 파생 데이터테이블 구조를 명시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함으로써, 다른 도시나 기간에도 유사한 틀을 적용할 수 있는 확장성 또한 확보하였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>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한편, 본 연구는 몇 가지 한계를 가진다. 첫째, 분석 기간이 2021–2024년으로 제한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되어 있어, 기후 요인 또는 장기 배출 추세를 충분히 포착하기에는 기간이 짧다. 둘째,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기상자료는 단일 ASOS 지점 또는 소수 지점 자료에 의존하고 있어, 국지적인 기상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변동성을 충분히 반영하지 못할 가능성이 있다. 셋째, 로컬 경보 및 황사 특보 정의는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행정기관의 기준에 따라 이산적인 단계로 제공되므로, 경계부근 상황에서의 연속적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노출 강도를 완전히 표현하기 어렵다. 넷째, 추가적인 배출·교통·인구 노출 관련 피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처를 포함하지 않았기 때문에, 고농도 이벤트의 원인분석 및 건강 영향 평가까지 확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장하기에는 정보가 부족하다.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다섯째, 현재 모형은 학습 구간에서 뚜렷한 과적합을 보이며, 이는 PM₁₀에서 지속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예측 대비 열세를 초래한 직접적 원인으로 판단된다. 정규화 및 하이퍼파라미터 탐색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절차의 개선이 선행되어야 한다.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여섯째, 예측 시계가 1시간으로 한정되어 있어 데이터 기반 모형의 상대적 이점을 평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가하기에 불리한 조건이다. 향후 6시간·24시간 앞 예측으로 확장하여 시계별 skill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score 변화를 분석할 필요가 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  <w:lang w:eastAsia="ko-KR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향후 연구에서는 분석 기간을 확대하고, 다수 기상 지점 또는 재분석 자료를 활용하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여 기상장의 공간 변동성을 보다 정밀하게 반영할 필요가 있다. 또한 교통량, 산업 활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동, 인구 분포 등 추가 피처를 도입하여 고농도 이벤트의 원인 분석과 취약 인구 노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출 평가를 병행하는 것이 바람직하다. 물리 기반 대기질 모델(CMAQ, WRF-Chem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등)과의 연계 또는 하이브리드 모델링을 통해, 현재의 데이터 기반 파이프라인을 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완하는 방향도 유망하다. 마지막으로, 다른 도시 또는 권역에 본 연구 프레임워크를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적용해 비교 분석을 수행함으로써, 한국 도시 대기질 취약성의 공간적 패턴을 보다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넓은 스케일에서 이해하는 것도 중요한 과제가 될 것이다. </w:t>
      </w:r>
      <w:r>
        <w:br w:type="page"/>
      </w:r>
    </w:p>
    <w:p>
      <w:pPr>
        <w:jc w:val="both"/>
        <w:spacing w:lineRule="auto" w:line="259" w:after="160"/>
        <w:rPr>
          <w:b w:val="1"/>
          <w:color w:val="auto"/>
          <w:shd w:val="clear" w:color="auto" w:fill="auto"/>
          <w:rFonts w:ascii="HY신명조" w:eastAsia="HY신명조" w:cs="함초롬바탕"/>
          <w:lang w:eastAsia="ko-KR"/>
        </w:rPr>
        <w:widowControl w:val="0"/>
        <w:autoSpaceDE w:val="0"/>
        <w:autoSpaceDN w:val="0"/>
      </w:pP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  <w:lang w:eastAsia="ko-KR"/>
        </w:rPr>
        <w:t>6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/>
        </w:rPr>
        <w:t xml:space="preserve">. 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 w:hint="eastAsia"/>
        </w:rPr>
        <w:t>결</w:t>
      </w:r>
      <w:r>
        <w:rPr>
          <w:b w:val="1"/>
          <w:color w:val="auto"/>
          <w:sz w:val="32"/>
          <w:szCs w:val="32"/>
          <w:shd w:val="clear" w:color="auto" w:fill="auto"/>
          <w:rFonts w:ascii="HY신명조" w:eastAsia="HY신명조" w:cs="함초롬바탕" w:hint="eastAsia"/>
          <w:lang w:eastAsia="ko-KR"/>
        </w:rPr>
        <w:t>론</w:t>
      </w:r>
    </w:p>
    <w:p>
      <w:pPr>
        <w:spacing w:lineRule="auto" w:line="288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본 연구는 대전광역시를 대상으로 공공 관측자료만을 활용하여, 1시간 뒤 PM₁₀·PM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₂.₅ 예측 성능의 기준 모형 대비 평가, 2021–2023년 공간 취약성 분석, 과거 3년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관측 패턴의 공간적 반복성 점검을 하나의 end-to-end 파이프라인으로 통합한 로컬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케이스 스터디를 수행하였다.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첫째, 1시간 앞 PM 예측에서 지속 예측을 기준 모형으로 설정하여 평가한 결과, PM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₁₀에서는 Random Forest와 XGBoost 모두 기준 모형을 넘어서지 못하였고(2023년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skill score −18.5 %, −31.9 %; 2024년 −4.5 %, −7.2 %), PM₂.₅에서만 4.5 ~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7.1 %의 제한적 개선이 확인되었다(RQ1). 이는 공공 관측자료와 단순 시계열·기상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피처만으로는 단기 PM 예측에서 실무적으로 유의미한 개선을 얻기 어렵다는 점을 보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여주며, 특히 결정계수만을 근거로 예측 성능을 판단할 경우 모형의 기여를 과대평가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할 위험이 있음을 시사한다.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둘째, 2021–2023년 행정동 및 동/서부 권역 단위 공간 취약성 분석을 통해, 동부권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이 서부권보다 평균 농도와 기준 초과 비율이 전반적으로 높고, 관평동·문평동·노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은동·둔산동·문창동·정림동 등 일부 행정동이 PM₁₀·PM₂.₅ 모두에서 구조적인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고위험 패턴을 보인다는 점을 확인하였다(RQ2). 이는 도시 내에서도 배출·지형·기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상·도시 구조의 차이에 따라 취약성이 공간적으로 뚜렷이 구분된다는 점을 시사한다.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셋째, 2021·2022·2023년 관측 패턴을 대상으로 한 공간적 반복성 점검 결과, 문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평동·관평동·구성동·둔산동·정림동 등이 연도와 무관하게 반복적으로 상위 노출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구간에 분류되었다(RQ3). 다만 본 분석은 모형 구조상 미래 농도의 투영이 아니라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과거 패턴의 반복성 확인에 해당하며, 오염물질별 high-risk 분류 결과의 차이는 임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계값 설정에 기인한 부분이 크므로 해석에 유의할 필요가 있다.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종합하면, 본 연구는 공공 관측자료만으로 단기 예측 성능 평가·공간 취약성·패턴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반복성 점검을 통합한 재현 가능한 분석 프레임워크를 제시하고, 기준 모형 대비 평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가를 통해 모형의 실제 기여를 정량화함으로써 향후 도시 대기질 관리와 심화 모형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연구에 활용 가능한 기초 자료를 제공하였다.</w:t>
      </w: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아울러 본 연구는 데이터 기반 접근의 한계를 정량적으로 확인함으로써, 향후 물리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기반 대기질 모델과의 결합이 단순한 확장 방향이 아니라 현재 파이프라인의 구조적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취약점을 해소하기 위한 필요조건임을 보였다. 향후에는 예측 시계 확대, 정규화 및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피처 구성 개선, 타 도시 적용, 물리 기반 모델과의 하이브리드 모델링을 통해 본 연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구의 틀을 일반화·고도화하는 것이 필요하다.</w:t>
      </w:r>
    </w:p>
    <w:p>
      <w:pPr>
        <w:spacing w:lineRule="auto" w:line="288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br w:type="page"/>
      </w:r>
    </w:p>
    <w:p>
      <w:pPr>
        <w:rPr>
          <w:color w:val="auto"/>
          <w:sz w:val="26"/>
          <w:szCs w:val="26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HY신명조" w:eastAsia="HY신명조" w:cs="함초롬바탕" w:hint="eastAsia"/>
        </w:rPr>
        <w:t xml:space="preserve">참고 문헌</w:t>
      </w:r>
    </w:p>
    <w:p>
      <w:pPr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[1] Ho, C.-H., Park, I., Kim, J., &amp; Lee, J.-B. (2023). PM2.5 Forecast in Korea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using the Long Short-Term Memory (LSTM) Model. Asia-Pacific Journal of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Atmospheric Sciences, 59(5), 563–576. https://doi.org/10.1007/s13143-022-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>00293-2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[2] Joharestani, M. Z., Cao, C., Ni, X., Bashir, B., &amp; Talebiesfandarani, S. (2019).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PM2.5 Prediction Based on Random Forest, XGBoost, and Deep Learning Using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Multisource Remote Sensing Data. Atmosphere, 10(7), 373.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>https://doi.org/10.3390/atmos10070373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[3] Ma, J., Cheng, J., Li, W., &amp; Zhang, H. (2020). Application of the XGBoost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Machine Learning Method in PM2.5 Prediction: A Case Study of Shanghai. Aerosol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and Air Quality Research, 20(1), 128–138.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>https://doi.org/10.4209/aaqr.2019.11.0594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[4] Yang, G., Yu, Y., Zhang, W., &amp; Chen, Y. (2020). A Hybrid Deep Learning Model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to Forecast Particulate Matter Concentration Levels in Beijing. Atmosphere, 11(4),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348. https://doi.org/10.3390/atmos11040348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[5] Byun, D., &amp; Schere, K. L. (2006). Review of the Governing Equations,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Computational Algorithms, and Other Components of the Models-3 Community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Multiscale Air Quality (CMAQ) Modeling System. Applied Mechanics Reviews,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59(2), 51–77. https://doi.org/10.1115/1.2128636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[6] Appel, K. W., Bash, J. O., Fahey, K. M., Foley, K. M., Gilliam, R. C., Hogrefe,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C., ... &amp; Pouliot, G. (2021). The Community Multiscale Air Quality (CMAQ) Model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Version 5.3.1: Features and Updates. Geoscientific Model Development, 14(5),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2867–2897. https://doi.org/10.5194/gmd-14-2867-2021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[7] Choi, M.-Y., Park, R. J., Jeong, J. I., &amp; Kim, S.-W. (2019). Comparison of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PM2.5 Chemical Components over East Asia Simulated by WRF-Chem and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WRF/CMAQ. Atmosphere, 10(10), 618. https://doi.org/10.3390/atmos10100618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[8] Jeong, J.-C. (2018). The Variation Analysis on Spatial Distribution of PM10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and PM2.5 in Seoul. Journal of Environmental Impact Assessment, 27(6),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717–726. https://doi.org/10.14249/eia.2018.27.6.717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[9] Nam, H., Lee, S., &amp; Kim, H. (2025). Typhoon-Induced High PM10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Concentration Events in South Korea. Atmosphere, 16(4), 473.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>https://doi.org/10.3390/atmos16040473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[10] Bozdağ, A., Yavuz, E., &amp; Baloch, M. A. (2020). Spatial Prediction of PM10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Concentration Using Machine Learning and GIS: A Case Study of Istanbul, Turkey.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Environmental Research, 184, 109318.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>https://doi.org/10.1016/j.envres.2020.109318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[11] Silva, R. A., West, J. J., Lamarque, J.-F., Shindell, D. T., Collins, W. J.,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Faluvegi, G., ... &amp; Zikova, N. (2017). Future Global Mortality from Changes in Air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Pollution Attributable to Climate Change. Nature Climate Change, 7(9), 647–651.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>https://doi.org/10.1038/nclimate3354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[12] Zhang, Y., Wang, K., Wang, L., Li, J., Jiang, J., &amp; Zhu, L. (2016). Implications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of RCP Emissions on Future PM2.5 Air Quality and Direct Radiative Forcing over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China. Journal of Geophysical Research: Atmospheres, 121(21), 12985–13008.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>https://doi.org/10.1002/2016JD024845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[13] Jeong, J., Park, R. J., Yeh, S.-W., Lee, S., Park, M., &amp; Kim, S.-W. (2025).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Future Projections of Winter Haze Events in Northern East Asia under Different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Shared Socioeconomic Pathways. Science of the Total Environment, 1004,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180805. https://doi.org/10.1016/j.scitotenv.2024.180805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[14] Bae, S., &amp; Hong, Y.-C. (2018). Health Effects of Particulate Matter. Journal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of the Korean Medical Association, 61(12), 749–755.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>https://doi.org/10.5124/jkma.2018.61.12.749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[15] Oh, J.-A., Kim, S.-Y., Lee, J.-T., Choi, H., &amp; Yi, S.-M. (2024). Mortality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Burden Due to Short-Term Exposure to Fine Particulate Matter in Korea. Journal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of Preventive Medicine and Public Health, 57(2), 185–196.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>https://doi.org/10.3961/jpmph.23.351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[16] World Health Organization. (2021). WHO Global Air Quality Guidelines: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Particulate Matter (PM2.5 and PM10), Ozone, Nitrogen Dioxide, Sulfur Dioxide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and Carbon Monoxide. Geneva: World Health Organization.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[17] National Assembly of the Republic of Korea. (2018). Special Act on the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Reduction and Management of Fine Dust (Act No. 16272).</w:t>
      </w: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</w:p>
    <w:p>
      <w:pPr>
        <w:spacing w:after="0"/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[18] Korea Ministry of Environment. (2020). Comprehensive Plan on Fine Dust </w:t>
      </w:r>
      <w:r>
        <w:rPr>
          <w:color w:val="auto"/>
          <w:shd w:val="clear" w:color="auto" w:fill="auto"/>
          <w:rFonts w:ascii="HY신명조" w:eastAsia="HY신명조" w:cs="함초롬바탕" w:hint="eastAsia"/>
          <w:lang w:eastAsia="ko-KR"/>
        </w:rPr>
        <w:t xml:space="preserve">Management (2020–2024). Sejong: Ministry of Environment.</w:t>
      </w:r>
    </w:p>
    <w:p>
      <w:pPr>
        <w:spacing w:lineRule="auto" w:line="275" w:after="0"/>
        <w:ind w:left="799" w:hanging="799"/>
        <w:rPr>
          <w:color w:val="auto"/>
          <w:shd w:val="clear" w:color="auto" w:fill="auto"/>
          <w:rFonts w:ascii="Times New Roman" w:eastAsia="HY신명조" w:hAnsi="Times New Roman" w:cs="Times New Roman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br w:type="page"/>
      </w:r>
    </w:p>
    <w:p>
      <w:pPr>
        <w:spacing w:lineRule="auto" w:line="275" w:after="0"/>
        <w:ind w:left="799" w:hanging="799"/>
        <w:rPr>
          <w:b w:val="1"/>
          <w:color w:val="auto"/>
          <w:sz w:val="26"/>
          <w:szCs w:val="26"/>
          <w:shd w:val="clear" w:color="auto" w:fill="auto"/>
          <w:rFonts w:ascii="Times New Roman" w:eastAsia="HY신명조" w:hAnsi="Times New Roman" w:cs="Times New Roman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Times New Roman" w:eastAsia="HY신명조" w:hAnsi="Times New Roman" w:cs="Times New Roman"/>
        </w:rPr>
        <w:t>ABSTRACT</w:t>
      </w:r>
    </w:p>
    <w:p>
      <w:pPr>
        <w:spacing w:lineRule="auto" w:line="275" w:after="0"/>
        <w:ind w:left="799" w:hanging="799"/>
        <w:rPr>
          <w:color w:val="auto"/>
          <w:sz w:val="26"/>
          <w:szCs w:val="26"/>
          <w:shd w:val="clear" w:color="auto" w:fill="auto"/>
          <w:rFonts w:ascii="Times New Roman" w:eastAsia="HY신명조" w:hAnsi="Times New Roman" w:cs="Times New Roman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ind w:firstLine="200"/>
        <w:rPr>
          <w:b w:val="1"/>
          <w:color w:val="auto"/>
          <w:sz w:val="26"/>
          <w:szCs w:val="26"/>
          <w:shd w:val="clear" w:color="auto" w:fill="auto"/>
          <w:rFonts w:ascii="Times New Roman" w:eastAsia="HY신명조" w:hAnsi="Times New Roman" w:cs="Times New Roman"/>
        </w:rPr>
        <w:wordWrap w:val="1"/>
        <w:widowControl w:val="1"/>
        <w:autoSpaceDE w:val="1"/>
        <w:autoSpaceDN w:val="1"/>
      </w:pPr>
      <w:r>
        <w:rPr>
          <w:b w:val="1"/>
          <w:color w:val="auto"/>
          <w:sz w:val="26"/>
          <w:szCs w:val="26"/>
          <w:shd w:val="clear" w:color="auto" w:fill="auto"/>
          <w:rFonts w:ascii="Times New Roman" w:eastAsia="HY신명조" w:hAnsi="Times New Roman" w:cs="Times New Roman"/>
          <w:lang w:eastAsia="ko-KR"/>
        </w:rPr>
        <w:t xml:space="preserve">Evaluating one-hour-ahead PM10/PM2.5 forecasting performance </w:t>
      </w:r>
      <w:r>
        <w:rPr>
          <w:b w:val="1"/>
          <w:color w:val="auto"/>
          <w:sz w:val="26"/>
          <w:szCs w:val="26"/>
          <w:shd w:val="clear" w:color="auto" w:fill="auto"/>
          <w:rFonts w:ascii="Times New Roman" w:eastAsia="HY신명조" w:hAnsi="Times New Roman" w:cs="Times New Roman"/>
          <w:lang w:eastAsia="ko-KR"/>
        </w:rPr>
        <w:t xml:space="preserve">against a persistence baseline and assessing spatial vulnerability in </w:t>
      </w:r>
      <w:r>
        <w:rPr>
          <w:b w:val="1"/>
          <w:color w:val="auto"/>
          <w:sz w:val="26"/>
          <w:szCs w:val="26"/>
          <w:shd w:val="clear" w:color="auto" w:fill="auto"/>
          <w:rFonts w:ascii="Times New Roman" w:eastAsia="HY신명조" w:hAnsi="Times New Roman" w:cs="Times New Roman"/>
          <w:lang w:eastAsia="ko-KR"/>
        </w:rPr>
        <w:t xml:space="preserve">Daejeon, Korea</w:t>
      </w: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ind w:firstLine="200"/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Fine particulate matter (PM10 and PM2.5) is a representative air pollutant that is closely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associated not only with short-term aggravation of respiratory and cardiovascular diseases but also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with long-term chronic morbidity and premature mortality. With the strengthening of the WHO Air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Quality Guidelines and the implementation of the Special Act on the Reduction and Management of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Fine Dust and seasonal management policies in Korea, the importance of city-scale air-quality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management has increased. Accordingly, there is growing demand for practical analytical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frameworks that integrate short-term forecasting, spatial vulnerability assessment, and screening of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near-future risk levels.</w:t>
      </w:r>
    </w:p>
    <w:p>
      <w:pPr>
        <w:spacing w:lineRule="auto" w:line="275" w:after="0"/>
        <w:ind w:firstLine="200"/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ind w:firstLine="200"/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This study presents a local case study for Daejeon, Korea, which integrates, within a single end-to-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end pipeline relying solely on public monitoring data, (i) one-hour-ahead prediction of PM10 and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PM2.5 concentrations, (ii) spatial vulnerability assessment at the administrative-dong and East/West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sector levels for 2021–2023, and (iii) a multi-analog scenario and ensemble vulnerability analysis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that maps the observed patterns in 2021, 2022, and 2023 onto 2026. To this end, we construct an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hourly time-series data table by combining PM measurements from the AirKorea urban air-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monitoring network with ASOS meteorological data from the Korea Meteorological Administration,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local PM alert records, and national dust/fine-dust advisories. Random Forest and XGBoost models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for one-hour-ahead prediction are trained using lagged and moving-average features of PM and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meteorological variables.</w:t>
      </w:r>
    </w:p>
    <w:p>
      <w:pPr>
        <w:spacing w:lineRule="auto" w:line="275" w:after="0"/>
        <w:ind w:firstLine="200"/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Using 2021–2022 data for training and 2023 (validation) and 2024 (external test)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for evaluation, model performance was assessed against a persistence baseline,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defined as pred(t+1) = obs(t), because of the strong autocorrelation inherent in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one-hour-ahead prediction. For PM10, neither Random Forest nor XGBoost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outperformed the baseline: skill scores, defined as 1 - RMSE_model /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RMSE_persistence, were -18.5 % and -31.9 % in 2023 and -4.5 % and -7.2 % in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2024. For PM2.5, both models modestly exceeded the baseline, with skill scores of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+4.5 % to +4.6 % in 2023 and +5.9 % to +7.1 % in 2024. The contrast between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training R² (0.98-0.99) and validation R² (0.82-0.90) indicates substantial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overfitting. These results suggest that lagged time-series and meteorological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features alone provide limited predictive value beyond persistence at the one-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hour horizon, and that coefficient-of-determination values reported without a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baseline may considerably overstate model contribution.</w:t>
      </w:r>
    </w:p>
    <w:p>
      <w:pPr>
        <w:spacing w:lineRule="auto" w:line="275" w:after="0"/>
        <w:ind w:firstLine="200"/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ind w:firstLine="200"/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wordWrap w:val="1"/>
        <w:widowControl w:val="1"/>
        <w:autoSpaceDE w:val="1"/>
        <w:autoSpaceDN w:val="1"/>
      </w:pP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For spatial analysis, QGIS and Python are used to aggregate hourly PM concentrations and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exposure indicators at the administrative-dong level for 2021–2023, and to evaluate vulnerability by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combining WHO and Korean annual standards with local PM alert and dust-advisory information.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The results show that several administrative dongs, including Gwanpyeong-dong, Munpyeong-dong,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Noeun-dong, Dunsan-dong, Munchang-dong, and Jeongnim-dong, emerge as structurally high-risk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areas with both elevated mean PM10/PM2.5 levels and high shares of high-concentration hours. At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the broader scale, the eastern sector of Daejeon (Dong-gu, Jung-gu, and Daedeok-gu) exhibits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 xml:space="preserve">generally higher mean concentrations and high-episode shares than the western sector (Seo-gu and </w:t>
      </w:r>
      <w:r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t>Yuseong-gu).</w:t>
      </w:r>
    </w:p>
    <w:p>
      <w:pPr>
        <w:spacing w:lineRule="auto" w:line="275" w:after="0"/>
        <w:ind w:firstLine="200"/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To examine the spatial persistence of observed patterns, we treat each of 2021,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2022, and 2023 as an analogue year and generate PM10 and PM2.5 distributions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using the trained RF/XGBoost models. Because the models take observed lagged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concentrations as inputs, these results should be interpreted not as projections of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future concentrations but as a check on how repeatedly the same administrative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dongs appear in the upper exposure range across years. Several dongs, including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Munpyeong-dong, Gwanpyeong-dong, Guseong-dong, Dunsan-dong, and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Jeongnim-dong, are consistently classified in the upper exposure range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regardless of the analogue year. Under the PM2.5 criterion all stations are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classified as high-risk whereas none are under the PM10 criterion; however, this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contrast largely reflects the differing ratio of threshold to mean concentration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between the two pollutants rather than a substantive difference in risk.</w:t>
      </w:r>
    </w:p>
    <w:p>
      <w:pPr>
        <w:spacing w:lineRule="auto" w:line="275" w:after="0"/>
        <w:ind w:firstLine="200"/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wordWrap w:val="1"/>
        <w:widowControl w:val="1"/>
        <w:autoSpaceDE w:val="1"/>
        <w:autoSpaceDN w:val="1"/>
      </w:pPr>
    </w:p>
    <w:p>
      <w:pPr>
        <w:jc w:val="both"/>
        <w:spacing w:lineRule="auto" w:line="259" w:after="160"/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widowControl w:val="0"/>
        <w:autoSpaceDE w:val="0"/>
        <w:autoSpaceDN w:val="0"/>
      </w:pP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This study is significant in that it evaluates one-hour-ahead PM10/PM2.5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prediction against an explicit baseline, and links this evaluation with spatial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vulnerability assessment for 2021-2023 and a check on the spatial persistence of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observed patterns, within a reproducible data, modeling, and spatial-analysis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pipeline based solely on public monitoring data. By demonstrating that conclusions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drawn from coefficients of determination alone do not survive a baseline-relative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evaluation, the study provides empirical support for treating baseline specification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as a requirement in city-scale short-term forecasting research, and motivates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coupling with physically based air-quality models as a necessary rather than </w:t>
      </w:r>
      <w:r>
        <w:rPr>
          <w:color w:val="auto"/>
          <w:sz w:val="20"/>
          <w:szCs w:val="20"/>
          <w:shd w:val="clear" w:color="auto" w:fill="auto"/>
          <w:rFonts w:ascii="HY신명조" w:eastAsia="HY신명조" w:hAnsi="HY신명조" w:cs="HY신명조"/>
        </w:rPr>
        <w:t xml:space="preserve">optional extension.</w:t>
      </w:r>
    </w:p>
    <w:p>
      <w:pPr>
        <w:spacing w:lineRule="auto" w:line="275" w:after="0"/>
        <w:ind w:firstLine="200"/>
        <w:rPr>
          <w:color w:val="auto"/>
          <w:shd w:val="clear" w:color="auto" w:fill="auto"/>
          <w:rFonts w:ascii="Times New Roman" w:eastAsia="HY신명조" w:hAnsi="Times New Roman" w:cs="Times New Roman"/>
          <w:lang w:eastAsia="ko-KR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spacing w:lineRule="auto" w:line="275" w:after="0"/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</w:p>
    <w:p>
      <w:pPr>
        <w:rPr>
          <w:color w:val="auto"/>
          <w:shd w:val="clear" w:color="auto" w:fill="auto"/>
        </w:rPr>
      </w:pPr>
      <w:r>
        <w:rPr>
          <w:color w:val="auto"/>
          <w:shd w:val="clear" w:color="auto" w:fill="auto"/>
          <w:rFonts w:ascii="맑은 고딕" w:eastAsia="맑은 고딕" w:hAnsi="맑은 고딕" w:cs="함초롬바탕" w:hint="eastAsia"/>
        </w:rPr>
        <w:t>―――――――――――――――――――――――――――――――――――――――</w:t>
      </w:r>
    </w:p>
    <w:p>
      <w:pPr>
        <w:rPr>
          <w:color w:val="auto"/>
          <w:shd w:val="clear" w:color="auto" w:fill="auto"/>
          <w:rFonts w:ascii="HY신명조" w:eastAsia="HY신명조" w:cs="함초롬바탕"/>
        </w:rPr>
        <w:wordWrap w:val="1"/>
        <w:widowControl w:val="1"/>
        <w:autoSpaceDE w:val="1"/>
        <w:autoSpaceDN w:val="1"/>
      </w:pPr>
      <w:r>
        <w:rPr>
          <w:b w:val="1"/>
          <w:color w:val="auto"/>
          <w:shd w:val="clear" w:color="auto" w:fill="auto"/>
          <w:rFonts w:ascii="Times New Roman" w:eastAsia="HY신명조" w:hAnsi="Times New Roman" w:cs="Times New Roman"/>
        </w:rPr>
        <w:t xml:space="preserve">Key words: PM10; PM2.5; short-term forecasting; persistence baseline; skill score; spatial </w:t>
      </w:r>
      <w:r>
        <w:rPr>
          <w:b w:val="1"/>
          <w:color w:val="auto"/>
          <w:shd w:val="clear" w:color="auto" w:fill="auto"/>
          <w:rFonts w:ascii="Times New Roman" w:eastAsia="HY신명조" w:hAnsi="Times New Roman" w:cs="Times New Roman"/>
        </w:rPr>
        <w:t xml:space="preserve">vulnerability; Daejeon; machine learning; QGIS; Power BI; public data</w:t>
      </w:r>
    </w:p>
    <w:sectPr>
      <w15:footnoteColumns w:val="1"/>
      <w:footnotePr>
        <w:numFmt w:val="decimal"/>
        <w:numRestart w:val="continuous"/>
        <w:numStart w:val="1"/>
        <w:pos w:val="pageBottom"/>
      </w:footnotePr>
      <w:endnotePr>
        <w:numFmt w:val="lowerRoman"/>
        <w:numRestart w:val="continuous"/>
        <w:numStart w:val="1"/>
        <w:pos w:val="docEnd"/>
      </w:endnotePr>
      <w:headerReference w:type="default" r:id="rId17"/>
      <w:footerReference w:type="default" r:id="rId18"/>
      <w:pgSz w:w="11906" w:h="16838" w:code="9"/>
      <w:pgMar w:top="3005" w:left="1985" w:bottom="3005" w:right="1985" w:header="851" w:footer="851" w:gutter="0"/>
      <w:pgNumType w:fmt="decimal"/>
      <w:docGrid w:type="default" w:linePitch="360" w:charSpace="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HY신명조">
    <w:panose1 w:val="02030600000101010101"/>
    <w:charset w:val="81"/>
    <w:family w:val="roman"/>
    <w:pitch w:val="variable"/>
    <w:sig w:usb0="900002a7" w:usb1="29d77cf9" w:usb2="00000010" w:usb3="00000000" w:csb0="00080000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panose1 w:val="020B0804000101010101"/>
    <w:charset w:val="81"/>
    <w:family w:val="roman"/>
    <w:pitch w:val="variable"/>
    <w:sig w:usb0="f7ffaeff" w:usb1="fbdfffff" w:usb2="041fffff" w:usb3="00000000" w:csb0="001f01ff" w:csb1="00000000"/>
  </w:font>
  <w:font w:name="Wingdings">
    <w:panose1 w:val="05000000000000000000"/>
    <w:charset w:val="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"/>
    <w:family w:val="roman"/>
    <w:pitch w:val="variable"/>
    <w:sig w:usb0="e0002eff" w:usb1="c000785b" w:usb2="00000009" w:usb3="00000000" w:csb0="000001ff" w:csb1="00000000"/>
  </w:font>
  <w:font w:name="한양신명조">
    <w:panose1 w:val="00000000000000000000"/>
    <w:charset w:val="81"/>
    <w:family w:val="roman"/>
    <w:pitch w:val="default"/>
    <w:sig w:usb0="00000001" w:usb1="09060000" w:usb2="00000010" w:usb3="00000000" w:csb0="00080000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HY헤드라인M">
    <w:panose1 w:val="02030600000101010101"/>
    <w:charset w:val="81"/>
    <w:family w:val="roman"/>
    <w:pitch w:val="variable"/>
    <w:sig w:usb0="900002a7" w:usb1="09d77cfb" w:usb2="00000010" w:usb3="00000000" w:csb0="00080001" w:csb1="00000000"/>
  </w:font>
  <w:font w:name="MS Gothic"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돋움">
    <w:altName w:val="Dotu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</w:fonts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left"/>
      <w:spacing w:after="0"/>
      <w:rPr>
        <w:shd w:val="clear" w:color="auto" w:fill="auto"/>
      </w:rPr>
      <w:wordWrap w:val="0"/>
      <w:widowControl w:val="0"/>
      <w:autoSpaceDE w:val="0"/>
      <w:autoSpaceDN w:val="0"/>
    </w:pPr>
  </w:p>
</w:ft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5="http://schemas.microsoft.com/office/word/2012/wordml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 xmlns:wpi="http://schemas.microsoft.com/office/word/2010/wordprocessingInk" mc:Ignorable="w14 wp14 w15">
  <w:p>
    <w:pPr>
      <w:jc w:val="left"/>
      <w:rPr>
        <w:shd w:val="clear" w:color="auto" w:fill="auto"/>
      </w:rPr>
      <w:wordWrap w:val="0"/>
      <w:widowControl w:val="0"/>
      <w:autoSpaceDE w:val="0"/>
      <w:autoSpaceDN w:val="0"/>
    </w:pPr>
  </w:p>
  <w:p>
    <w:pPr>
      <w:pStyle w:val="PO155"/>
      <w:spacing w:lineRule="auto" w:line="528"/>
      <w:rPr>
        <w:b w:val="1"/>
        <w:sz w:val="32"/>
        <w:szCs w:val="32"/>
        <w:shd w:val="clear" w:color="auto" w:fill="auto"/>
      </w:rPr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p14="http://schemas.microsoft.com/office/word/2010/wordprocessingDrawing" xmlns:w10="urn:schemas-microsoft-com:office:word" xmlns:w="http://schemas.openxmlformats.org/wordprocessingml/2006/main" xmlns:wpg="http://schemas.microsoft.com/office/word/2010/wordprocessingGroup" xmlns:wne="http://schemas.microsoft.com/office/word/2006/wordml" xmlns:wps="http://schemas.microsoft.com/office/word/2010/wordprocessingShape" xmlns:wpc="http://schemas.microsoft.com/office/word/2010/wordprocessingCanvas" xmlns:mc="http://schemas.openxmlformats.org/markup-compatibility/2006" xmlns:w14="http://schemas.microsoft.com/office/word/2010/wordml">
  <w:abstractNum w:abstractNumId="0">
    <w:multiLevelType w:val="hybridMultilevel"/>
    <w:nsid w:val="2F000000"/>
    <w:tmpl w:val="1F000014"/>
    <w:lvl w:ilvl="0">
      <w:lvlJc w:val="left"/>
      <w:numFmt w:val="bullet"/>
      <w:start w:val="5"/>
      <w:suff w:val="tab"/>
      <w:pPr>
        <w:ind w:left="800" w:hanging="360"/>
        <w:rPr/>
      </w:pPr>
      <w:rPr>
        <w:shd w:val="clear" w:color="auto" w:fill="auto"/>
        <w:rFonts w:ascii="HY신명조" w:eastAsia="HY신명조" w:cs="함초롬바탕" w:hAnsiTheme="minorHAnsi" w:hint="eastAsia"/>
      </w:rPr>
      <w:lvlText w:val="●"/>
    </w:lvl>
    <w:lvl w:ilvl="1">
      <w:lvlJc w:val="left"/>
      <w:numFmt w:val="bullet"/>
      <w:start w:val="1"/>
      <w:suff w:val="tab"/>
      <w:pPr>
        <w:ind w:left="13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76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20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64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08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52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96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40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1">
    <w:multiLevelType w:val="hybridMultilevel"/>
    <w:nsid w:val="2F000001"/>
    <w:tmpl w:val="1F002411"/>
    <w:lvl w:ilvl="0">
      <w:lvlJc w:val="left"/>
      <w:numFmt w:val="bullet"/>
      <w:suff w:val="tab"/>
      <w:pPr>
        <w:ind w:left="760" w:hanging="360"/>
        <w:rPr/>
      </w:pPr>
      <w:rPr>
        <w:b w:val="1"/>
        <w:color w:val="0070C0"/>
        <w:sz w:val="32"/>
        <w:szCs w:val="32"/>
        <w:shd w:val="clear" w:color="auto" w:fill="auto"/>
        <w:rFonts w:ascii="HY신명조" w:eastAsia="HY신명조" w:hAnsiTheme="minorHAnsi" w:cstheme="minorBidi" w:hint="eastAsia"/>
      </w:rPr>
      <w:lvlText w:val="○"/>
    </w:lvl>
    <w:lvl w:ilvl="1">
      <w:lvlJc w:val="left"/>
      <w:numFmt w:val="bullet"/>
      <w:start w:val="1"/>
      <w:suff w:val="tab"/>
      <w:pPr>
        <w:ind w:left="12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6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0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4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2800" w:hanging="40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200" w:hanging="40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600" w:hanging="40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000" w:hanging="40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2">
    <w:multiLevelType w:val="hybridMultilevel"/>
    <w:nsid w:val="2F000002"/>
    <w:tmpl w:val="1F000C5F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default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3">
    <w:multiLevelType w:val="hybridMultilevel"/>
    <w:nsid w:val="2F000003"/>
    <w:tmpl w:val="1F0033C2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eastAsia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4">
    <w:multiLevelType w:val="hybridMultilevel"/>
    <w:nsid w:val="2F000004"/>
    <w:tmpl w:val="1F002570"/>
    <w:lvl w:ilvl="0">
      <w:lvlJc w:val="left"/>
      <w:numFmt w:val="decimal"/>
      <w:start w:val="1"/>
      <w:suff w:val="tab"/>
      <w:pPr>
        <w:ind w:left="800" w:hanging="360"/>
        <w:rPr/>
      </w:pPr>
      <w:rPr>
        <w:shd w:val="clear" w:color="auto" w:fill="auto"/>
        <w:rFonts w:hint="eastAsia"/>
      </w:rPr>
      <w:lvlText w:val="%1."/>
    </w:lvl>
    <w:lvl w:ilvl="1">
      <w:lvlJc w:val="left"/>
      <w:numFmt w:val="upperLetter"/>
      <w:start w:val="1"/>
      <w:suff w:val="tab"/>
      <w:pPr>
        <w:ind w:left="1320" w:hanging="44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760" w:hanging="44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200" w:hanging="44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640" w:hanging="44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3080" w:hanging="44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520" w:hanging="44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960" w:hanging="44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400" w:hanging="440"/>
        <w:rPr/>
      </w:pPr>
      <w:rPr>
        <w:shd w:val="clear" w:color="auto" w:fill="auto"/>
      </w:rPr>
      <w:lvlText w:val="%9."/>
    </w:lvl>
  </w:abstractNum>
  <w:abstractNum w:abstractNumId="5">
    <w:multiLevelType w:val="multilevel"/>
    <w:nsid w:val="2F000005"/>
    <w:tmpl w:val="1F001EB6"/>
    <w:lvl w:ilvl="0">
      <w:lvlJc w:val="left"/>
      <w:numFmt w:val="decimal"/>
      <w:start w:val="1"/>
      <w:suff w:val="tab"/>
      <w:pPr>
        <w:ind w:left="360" w:hanging="360"/>
        <w:rPr/>
      </w:pPr>
      <w:rPr>
        <w:shd w:val="clear" w:color="auto" w:fill="auto"/>
        <w:rFonts w:hint="eastAsia"/>
      </w:rPr>
      <w:lvlText w:val="%1."/>
    </w:lvl>
    <w:lvl w:ilvl="1">
      <w:lvlJc w:val="left"/>
      <w:numFmt w:val="decimal"/>
      <w:start w:val="1"/>
      <w:suff w:val="tab"/>
      <w:pPr>
        <w:ind w:left="720" w:hanging="720"/>
        <w:rPr/>
      </w:pPr>
      <w:rPr>
        <w:shd w:val="clear" w:color="auto" w:fill="auto"/>
        <w:rFonts w:hint="eastAsia"/>
      </w:rPr>
      <w:lvlText w:val="%1.%2."/>
    </w:lvl>
    <w:lvl w:ilvl="2">
      <w:lvlJc w:val="left"/>
      <w:numFmt w:val="decimal"/>
      <w:start w:val="1"/>
      <w:suff w:val="tab"/>
      <w:pPr>
        <w:ind w:left="720" w:hanging="720"/>
        <w:rPr/>
      </w:pPr>
      <w:rPr>
        <w:shd w:val="clear" w:color="auto" w:fill="auto"/>
        <w:rFonts w:hint="eastAsia"/>
      </w:rPr>
      <w:lvlText w:val="%1.%2.%3."/>
    </w:lvl>
    <w:lvl w:ilvl="3">
      <w:lvlJc w:val="left"/>
      <w:numFmt w:val="decimal"/>
      <w:start w:val="1"/>
      <w:suff w:val="tab"/>
      <w:pPr>
        <w:ind w:left="1080" w:hanging="1080"/>
        <w:rPr/>
      </w:pPr>
      <w:rPr>
        <w:shd w:val="clear" w:color="auto" w:fill="auto"/>
        <w:rFonts w:hint="eastAsia"/>
      </w:rPr>
      <w:lvlText w:val="%1.%2.%3.%4."/>
    </w:lvl>
    <w:lvl w:ilvl="4">
      <w:lvlJc w:val="left"/>
      <w:numFmt w:val="decimal"/>
      <w:start w:val="1"/>
      <w:suff w:val="tab"/>
      <w:pPr>
        <w:ind w:left="1440" w:hanging="1440"/>
        <w:rPr/>
      </w:pPr>
      <w:rPr>
        <w:shd w:val="clear" w:color="auto" w:fill="auto"/>
        <w:rFonts w:hint="eastAsia"/>
      </w:rPr>
      <w:lvlText w:val="%1.%2.%3.%4.%5."/>
    </w:lvl>
    <w:lvl w:ilvl="5">
      <w:lvlJc w:val="left"/>
      <w:numFmt w:val="decimal"/>
      <w:start w:val="1"/>
      <w:suff w:val="tab"/>
      <w:pPr>
        <w:ind w:left="1440" w:hanging="1440"/>
        <w:rPr/>
      </w:pPr>
      <w:rPr>
        <w:shd w:val="clear" w:color="auto" w:fill="auto"/>
        <w:rFonts w:hint="eastAsia"/>
      </w:rPr>
      <w:lvlText w:val="%1.%2.%3.%4.%5.%6."/>
    </w:lvl>
    <w:lvl w:ilvl="6">
      <w:lvlJc w:val="left"/>
      <w:numFmt w:val="decimal"/>
      <w:start w:val="1"/>
      <w:suff w:val="tab"/>
      <w:pPr>
        <w:ind w:left="1800" w:hanging="1800"/>
        <w:rPr/>
      </w:pPr>
      <w:rPr>
        <w:shd w:val="clear" w:color="auto" w:fill="auto"/>
        <w:rFonts w:hint="eastAsia"/>
      </w:rPr>
      <w:lvlText w:val="%1.%2.%3.%4.%5.%6.%7."/>
    </w:lvl>
    <w:lvl w:ilvl="7">
      <w:lvlJc w:val="left"/>
      <w:numFmt w:val="decimal"/>
      <w:start w:val="1"/>
      <w:suff w:val="tab"/>
      <w:pPr>
        <w:ind w:left="1800" w:hanging="1800"/>
        <w:rPr/>
      </w:pPr>
      <w:rPr>
        <w:shd w:val="clear" w:color="auto" w:fill="auto"/>
        <w:rFonts w:hint="eastAsia"/>
      </w:rPr>
      <w:lvlText w:val="%1.%2.%3.%4.%5.%6.%7.%8."/>
    </w:lvl>
    <w:lvl w:ilvl="8">
      <w:lvlJc w:val="left"/>
      <w:numFmt w:val="decimal"/>
      <w:start w:val="1"/>
      <w:suff w:val="tab"/>
      <w:pPr>
        <w:ind w:left="2160" w:hanging="2160"/>
        <w:rPr/>
      </w:pPr>
      <w:rPr>
        <w:shd w:val="clear" w:color="auto" w:fill="auto"/>
        <w:rFonts w:hint="eastAsia"/>
      </w:rPr>
      <w:lvlText w:val="%1.%2.%3.%4.%5.%6.%7.%8.%9."/>
    </w:lvl>
  </w:abstractNum>
  <w:abstractNum w:abstractNumId="6">
    <w:multiLevelType w:val="multilevel"/>
    <w:nsid w:val="2F000006"/>
    <w:tmpl w:val="1F00166B"/>
    <w:lvl w:ilvl="0">
      <w:lvlJc w:val="left"/>
      <w:numFmt w:val="decimal"/>
      <w:start w:val="1"/>
      <w:suff w:val="tab"/>
      <w:pPr>
        <w:ind w:left="360" w:hanging="360"/>
        <w:rPr/>
      </w:pPr>
      <w:rPr>
        <w:shd w:val="clear" w:color="auto" w:fill="auto"/>
        <w:rFonts w:hint="eastAsia"/>
      </w:rPr>
      <w:lvlText w:val="%1."/>
    </w:lvl>
    <w:lvl w:ilvl="1">
      <w:lvlJc w:val="left"/>
      <w:numFmt w:val="decimal"/>
      <w:start w:val="1"/>
      <w:suff w:val="tab"/>
      <w:pPr>
        <w:ind w:left="720" w:hanging="720"/>
        <w:rPr/>
      </w:pPr>
      <w:rPr>
        <w:shd w:val="clear" w:color="auto" w:fill="auto"/>
        <w:rFonts w:hint="eastAsia"/>
      </w:rPr>
      <w:lvlText w:val="%1.%2."/>
    </w:lvl>
    <w:lvl w:ilvl="2">
      <w:lvlJc w:val="left"/>
      <w:numFmt w:val="decimal"/>
      <w:start w:val="1"/>
      <w:suff w:val="tab"/>
      <w:pPr>
        <w:ind w:left="720" w:hanging="720"/>
        <w:rPr/>
      </w:pPr>
      <w:rPr>
        <w:shd w:val="clear" w:color="auto" w:fill="auto"/>
        <w:rFonts w:hint="eastAsia"/>
      </w:rPr>
      <w:lvlText w:val="%1.%2.%3."/>
    </w:lvl>
    <w:lvl w:ilvl="3">
      <w:lvlJc w:val="left"/>
      <w:numFmt w:val="decimal"/>
      <w:start w:val="1"/>
      <w:suff w:val="tab"/>
      <w:pPr>
        <w:ind w:left="1080" w:hanging="1080"/>
        <w:rPr/>
      </w:pPr>
      <w:rPr>
        <w:shd w:val="clear" w:color="auto" w:fill="auto"/>
        <w:rFonts w:hint="eastAsia"/>
      </w:rPr>
      <w:lvlText w:val="%1.%2.%3.%4."/>
    </w:lvl>
    <w:lvl w:ilvl="4">
      <w:lvlJc w:val="left"/>
      <w:numFmt w:val="decimal"/>
      <w:start w:val="1"/>
      <w:suff w:val="tab"/>
      <w:pPr>
        <w:ind w:left="1440" w:hanging="1440"/>
        <w:rPr/>
      </w:pPr>
      <w:rPr>
        <w:shd w:val="clear" w:color="auto" w:fill="auto"/>
        <w:rFonts w:hint="eastAsia"/>
      </w:rPr>
      <w:lvlText w:val="%1.%2.%3.%4.%5."/>
    </w:lvl>
    <w:lvl w:ilvl="5">
      <w:lvlJc w:val="left"/>
      <w:numFmt w:val="decimal"/>
      <w:start w:val="1"/>
      <w:suff w:val="tab"/>
      <w:pPr>
        <w:ind w:left="1440" w:hanging="1440"/>
        <w:rPr/>
      </w:pPr>
      <w:rPr>
        <w:shd w:val="clear" w:color="auto" w:fill="auto"/>
        <w:rFonts w:hint="eastAsia"/>
      </w:rPr>
      <w:lvlText w:val="%1.%2.%3.%4.%5.%6."/>
    </w:lvl>
    <w:lvl w:ilvl="6">
      <w:lvlJc w:val="left"/>
      <w:numFmt w:val="decimal"/>
      <w:start w:val="1"/>
      <w:suff w:val="tab"/>
      <w:pPr>
        <w:ind w:left="1800" w:hanging="1800"/>
        <w:rPr/>
      </w:pPr>
      <w:rPr>
        <w:shd w:val="clear" w:color="auto" w:fill="auto"/>
        <w:rFonts w:hint="eastAsia"/>
      </w:rPr>
      <w:lvlText w:val="%1.%2.%3.%4.%5.%6.%7."/>
    </w:lvl>
    <w:lvl w:ilvl="7">
      <w:lvlJc w:val="left"/>
      <w:numFmt w:val="decimal"/>
      <w:start w:val="1"/>
      <w:suff w:val="tab"/>
      <w:pPr>
        <w:ind w:left="1800" w:hanging="1800"/>
        <w:rPr/>
      </w:pPr>
      <w:rPr>
        <w:shd w:val="clear" w:color="auto" w:fill="auto"/>
        <w:rFonts w:hint="eastAsia"/>
      </w:rPr>
      <w:lvlText w:val="%1.%2.%3.%4.%5.%6.%7.%8."/>
    </w:lvl>
    <w:lvl w:ilvl="8">
      <w:lvlJc w:val="left"/>
      <w:numFmt w:val="decimal"/>
      <w:start w:val="1"/>
      <w:suff w:val="tab"/>
      <w:pPr>
        <w:ind w:left="2160" w:hanging="2160"/>
        <w:rPr/>
      </w:pPr>
      <w:rPr>
        <w:shd w:val="clear" w:color="auto" w:fill="auto"/>
        <w:rFonts w:hint="eastAsia"/>
      </w:rPr>
      <w:lvlText w:val="%1.%2.%3.%4.%5.%6.%7.%8.%9."/>
    </w:lvl>
  </w:abstractNum>
  <w:abstractNum w:abstractNumId="7">
    <w:multiLevelType w:val="multilevel"/>
    <w:nsid w:val="2F000007"/>
    <w:tmpl w:val="1F003957"/>
    <w:lvl w:ilvl="0">
      <w:lvlJc w:val="left"/>
      <w:numFmt w:val="decimal"/>
      <w:start w:val="1"/>
      <w:suff w:val="tab"/>
      <w:pPr>
        <w:ind w:left="360" w:hanging="360"/>
        <w:rPr/>
      </w:pPr>
      <w:rPr>
        <w:shd w:val="clear" w:color="auto" w:fill="auto"/>
        <w:rFonts w:hint="eastAsia"/>
      </w:rPr>
      <w:lvlText w:val="%1."/>
    </w:lvl>
    <w:lvl w:ilvl="1">
      <w:lvlJc w:val="left"/>
      <w:numFmt w:val="decimal"/>
      <w:start w:val="1"/>
      <w:suff w:val="tab"/>
      <w:pPr>
        <w:ind w:left="920" w:hanging="720"/>
        <w:rPr/>
      </w:pPr>
      <w:rPr>
        <w:shd w:val="clear" w:color="auto" w:fill="auto"/>
        <w:rFonts w:hint="eastAsia"/>
      </w:rPr>
      <w:lvlText w:val="%1.%2."/>
    </w:lvl>
    <w:lvl w:ilvl="2">
      <w:lvlJc w:val="left"/>
      <w:numFmt w:val="decimal"/>
      <w:start w:val="1"/>
      <w:suff w:val="tab"/>
      <w:pPr>
        <w:ind w:left="1120" w:hanging="720"/>
        <w:rPr/>
      </w:pPr>
      <w:rPr>
        <w:shd w:val="clear" w:color="auto" w:fill="auto"/>
        <w:rFonts w:hint="eastAsia"/>
      </w:rPr>
      <w:lvlText w:val="%1.%2.%3."/>
    </w:lvl>
    <w:lvl w:ilvl="3">
      <w:lvlJc w:val="left"/>
      <w:numFmt w:val="decimal"/>
      <w:start w:val="1"/>
      <w:suff w:val="tab"/>
      <w:pPr>
        <w:ind w:left="1680" w:hanging="1080"/>
        <w:rPr/>
      </w:pPr>
      <w:rPr>
        <w:shd w:val="clear" w:color="auto" w:fill="auto"/>
        <w:rFonts w:hint="eastAsia"/>
      </w:rPr>
      <w:lvlText w:val="%1.%2.%3.%4."/>
    </w:lvl>
    <w:lvl w:ilvl="4">
      <w:lvlJc w:val="left"/>
      <w:numFmt w:val="decimal"/>
      <w:start w:val="1"/>
      <w:suff w:val="tab"/>
      <w:pPr>
        <w:ind w:left="2240" w:hanging="1440"/>
        <w:rPr/>
      </w:pPr>
      <w:rPr>
        <w:shd w:val="clear" w:color="auto" w:fill="auto"/>
        <w:rFonts w:hint="eastAsia"/>
      </w:rPr>
      <w:lvlText w:val="%1.%2.%3.%4.%5."/>
    </w:lvl>
    <w:lvl w:ilvl="5">
      <w:lvlJc w:val="left"/>
      <w:numFmt w:val="decimal"/>
      <w:start w:val="1"/>
      <w:suff w:val="tab"/>
      <w:pPr>
        <w:ind w:left="2440" w:hanging="1440"/>
        <w:rPr/>
      </w:pPr>
      <w:rPr>
        <w:shd w:val="clear" w:color="auto" w:fill="auto"/>
        <w:rFonts w:hint="eastAsia"/>
      </w:rPr>
      <w:lvlText w:val="%1.%2.%3.%4.%5.%6."/>
    </w:lvl>
    <w:lvl w:ilvl="6">
      <w:lvlJc w:val="left"/>
      <w:numFmt w:val="decimal"/>
      <w:start w:val="1"/>
      <w:suff w:val="tab"/>
      <w:pPr>
        <w:ind w:left="3000" w:hanging="1800"/>
        <w:rPr/>
      </w:pPr>
      <w:rPr>
        <w:shd w:val="clear" w:color="auto" w:fill="auto"/>
        <w:rFonts w:hint="eastAsia"/>
      </w:rPr>
      <w:lvlText w:val="%1.%2.%3.%4.%5.%6.%7."/>
    </w:lvl>
    <w:lvl w:ilvl="7">
      <w:lvlJc w:val="left"/>
      <w:numFmt w:val="decimal"/>
      <w:start w:val="1"/>
      <w:suff w:val="tab"/>
      <w:pPr>
        <w:ind w:left="3200" w:hanging="1800"/>
        <w:rPr/>
      </w:pPr>
      <w:rPr>
        <w:shd w:val="clear" w:color="auto" w:fill="auto"/>
        <w:rFonts w:hint="eastAsia"/>
      </w:rPr>
      <w:lvlText w:val="%1.%2.%3.%4.%5.%6.%7.%8."/>
    </w:lvl>
    <w:lvl w:ilvl="8">
      <w:lvlJc w:val="left"/>
      <w:numFmt w:val="decimal"/>
      <w:start w:val="1"/>
      <w:suff w:val="tab"/>
      <w:pPr>
        <w:ind w:left="3760" w:hanging="2160"/>
        <w:rPr/>
      </w:pPr>
      <w:rPr>
        <w:shd w:val="clear" w:color="auto" w:fill="auto"/>
        <w:rFonts w:hint="eastAsia"/>
      </w:rPr>
      <w:lvlText w:val="%1.%2.%3.%4.%5.%6.%7.%8.%9."/>
    </w:lvl>
  </w:abstractNum>
  <w:abstractNum w:abstractNumId="8">
    <w:multiLevelType w:val="multilevel"/>
    <w:nsid w:val="2F000008"/>
    <w:tmpl w:val="1F0034A9"/>
    <w:lvl w:ilvl="0">
      <w:lvlJc w:val="left"/>
      <w:numFmt w:val="decimal"/>
      <w:start w:val="1"/>
      <w:suff w:val="tab"/>
      <w:pPr>
        <w:ind w:left="360" w:hanging="360"/>
        <w:rPr/>
      </w:pPr>
      <w:rPr>
        <w:shd w:val="clear" w:color="auto" w:fill="auto"/>
        <w:rFonts w:hint="eastAsia"/>
      </w:rPr>
      <w:lvlText w:val="%1."/>
    </w:lvl>
    <w:lvl w:ilvl="1">
      <w:lvlJc w:val="left"/>
      <w:numFmt w:val="decimal"/>
      <w:start w:val="1"/>
      <w:suff w:val="tab"/>
      <w:pPr>
        <w:ind w:left="720" w:hanging="720"/>
        <w:rPr/>
      </w:pPr>
      <w:rPr>
        <w:shd w:val="clear" w:color="auto" w:fill="auto"/>
        <w:rFonts w:hint="eastAsia"/>
      </w:rPr>
      <w:lvlText w:val="%1.%2."/>
    </w:lvl>
    <w:lvl w:ilvl="2">
      <w:lvlJc w:val="left"/>
      <w:numFmt w:val="decimal"/>
      <w:start w:val="1"/>
      <w:suff w:val="tab"/>
      <w:pPr>
        <w:ind w:left="720" w:hanging="720"/>
        <w:rPr/>
      </w:pPr>
      <w:rPr>
        <w:shd w:val="clear" w:color="auto" w:fill="auto"/>
        <w:rFonts w:hint="eastAsia"/>
      </w:rPr>
      <w:lvlText w:val="%1.%2.%3."/>
    </w:lvl>
    <w:lvl w:ilvl="3">
      <w:lvlJc w:val="left"/>
      <w:numFmt w:val="decimal"/>
      <w:start w:val="1"/>
      <w:suff w:val="tab"/>
      <w:pPr>
        <w:ind w:left="1080" w:hanging="1080"/>
        <w:rPr/>
      </w:pPr>
      <w:rPr>
        <w:shd w:val="clear" w:color="auto" w:fill="auto"/>
        <w:rFonts w:hint="eastAsia"/>
      </w:rPr>
      <w:lvlText w:val="%1.%2.%3.%4."/>
    </w:lvl>
    <w:lvl w:ilvl="4">
      <w:lvlJc w:val="left"/>
      <w:numFmt w:val="decimal"/>
      <w:start w:val="1"/>
      <w:suff w:val="tab"/>
      <w:pPr>
        <w:ind w:left="1440" w:hanging="1440"/>
        <w:rPr/>
      </w:pPr>
      <w:rPr>
        <w:shd w:val="clear" w:color="auto" w:fill="auto"/>
        <w:rFonts w:hint="eastAsia"/>
      </w:rPr>
      <w:lvlText w:val="%1.%2.%3.%4.%5."/>
    </w:lvl>
    <w:lvl w:ilvl="5">
      <w:lvlJc w:val="left"/>
      <w:numFmt w:val="decimal"/>
      <w:start w:val="1"/>
      <w:suff w:val="tab"/>
      <w:pPr>
        <w:ind w:left="1440" w:hanging="1440"/>
        <w:rPr/>
      </w:pPr>
      <w:rPr>
        <w:shd w:val="clear" w:color="auto" w:fill="auto"/>
        <w:rFonts w:hint="eastAsia"/>
      </w:rPr>
      <w:lvlText w:val="%1.%2.%3.%4.%5.%6."/>
    </w:lvl>
    <w:lvl w:ilvl="6">
      <w:lvlJc w:val="left"/>
      <w:numFmt w:val="decimal"/>
      <w:start w:val="1"/>
      <w:suff w:val="tab"/>
      <w:pPr>
        <w:ind w:left="1800" w:hanging="1800"/>
        <w:rPr/>
      </w:pPr>
      <w:rPr>
        <w:shd w:val="clear" w:color="auto" w:fill="auto"/>
        <w:rFonts w:hint="eastAsia"/>
      </w:rPr>
      <w:lvlText w:val="%1.%2.%3.%4.%5.%6.%7."/>
    </w:lvl>
    <w:lvl w:ilvl="7">
      <w:lvlJc w:val="left"/>
      <w:numFmt w:val="decimal"/>
      <w:start w:val="1"/>
      <w:suff w:val="tab"/>
      <w:pPr>
        <w:ind w:left="1800" w:hanging="1800"/>
        <w:rPr/>
      </w:pPr>
      <w:rPr>
        <w:shd w:val="clear" w:color="auto" w:fill="auto"/>
        <w:rFonts w:hint="eastAsia"/>
      </w:rPr>
      <w:lvlText w:val="%1.%2.%3.%4.%5.%6.%7.%8."/>
    </w:lvl>
    <w:lvl w:ilvl="8">
      <w:lvlJc w:val="left"/>
      <w:numFmt w:val="decimal"/>
      <w:start w:val="1"/>
      <w:suff w:val="tab"/>
      <w:pPr>
        <w:ind w:left="2160" w:hanging="2160"/>
        <w:rPr/>
      </w:pPr>
      <w:rPr>
        <w:shd w:val="clear" w:color="auto" w:fill="auto"/>
        <w:rFonts w:hint="eastAsia"/>
      </w:rPr>
      <w:lvlText w:val="%1.%2.%3.%4.%5.%6.%7.%8.%9."/>
    </w:lvl>
  </w:abstractNum>
  <w:abstractNum w:abstractNumId="9">
    <w:multiLevelType w:val="hybridMultilevel"/>
    <w:nsid w:val="2F000009"/>
    <w:tmpl w:val="1F002FC8"/>
    <w:lvl w:ilvl="0">
      <w:lvlJc w:val="left"/>
      <w:numFmt w:val="decimal"/>
      <w:start w:val="3"/>
      <w:suff w:val="tab"/>
      <w:pPr>
        <w:ind w:left="360" w:hanging="360"/>
        <w:tabs>
          <w:tab w:val="left" w:pos="360"/>
        </w:tabs>
        <w:rPr/>
      </w:pPr>
      <w:rPr>
        <w:shd w:val="clear" w:color="auto" w:fill="auto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1200" w:hanging="400"/>
        <w:tabs>
          <w:tab w:val="left" w:pos="1200"/>
        </w:tabs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600" w:hanging="400"/>
        <w:tabs>
          <w:tab w:val="left" w:pos="1600"/>
        </w:tabs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000" w:hanging="400"/>
        <w:tabs>
          <w:tab w:val="left" w:pos="2000"/>
        </w:tabs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400" w:hanging="400"/>
        <w:tabs>
          <w:tab w:val="left" w:pos="2400"/>
        </w:tabs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2800" w:hanging="400"/>
        <w:tabs>
          <w:tab w:val="left" w:pos="2800"/>
        </w:tabs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200" w:hanging="400"/>
        <w:tabs>
          <w:tab w:val="left" w:pos="3200"/>
        </w:tabs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600" w:hanging="400"/>
        <w:tabs>
          <w:tab w:val="left" w:pos="3600"/>
        </w:tabs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000" w:hanging="400"/>
        <w:tabs>
          <w:tab w:val="left" w:pos="4000"/>
        </w:tabs>
        <w:rPr/>
      </w:pPr>
      <w:rPr>
        <w:shd w:val="clear" w:color="auto" w:fill="auto"/>
      </w:rPr>
      <w:lvlText w:val="%9."/>
    </w:lvl>
  </w:abstractNum>
  <w:abstractNum w:abstractNumId="10">
    <w:multiLevelType w:val="hybridMultilevel"/>
    <w:nsid w:val="2F00000A"/>
    <w:tmpl w:val="1F000B24"/>
    <w:lvl w:ilvl="0">
      <w:lvlJc w:val="left"/>
      <w:numFmt w:val="decimal"/>
      <w:start w:val="1"/>
      <w:suff w:val="tab"/>
      <w:pPr>
        <w:ind w:left="760" w:hanging="360"/>
        <w:rPr/>
      </w:pPr>
      <w:rPr>
        <w:shd w:val="clear" w:color="auto" w:fill="auto"/>
        <w:rFonts w:hint="default"/>
      </w:rPr>
      <w:lvlText w:val="%1)"/>
    </w:lvl>
    <w:lvl w:ilvl="1">
      <w:lvlJc w:val="left"/>
      <w:numFmt w:val="upperLetter"/>
      <w:start w:val="1"/>
      <w:suff w:val="tab"/>
      <w:pPr>
        <w:ind w:left="1200" w:hanging="400"/>
        <w:rPr/>
      </w:pPr>
      <w:rPr>
        <w:shd w:val="clear" w:color="auto" w:fill="auto"/>
      </w:rPr>
      <w:lvlText w:val="%2."/>
    </w:lvl>
    <w:lvl w:ilvl="2">
      <w:lvlJc w:val="right"/>
      <w:numFmt w:val="lowerRoman"/>
      <w:start w:val="1"/>
      <w:suff w:val="tab"/>
      <w:pPr>
        <w:ind w:left="1600" w:hanging="400"/>
        <w:rPr/>
      </w:pPr>
      <w:rPr>
        <w:shd w:val="clear" w:color="auto" w:fill="auto"/>
      </w:rPr>
      <w:lvlText w:val="%3."/>
    </w:lvl>
    <w:lvl w:ilvl="3">
      <w:lvlJc w:val="left"/>
      <w:numFmt w:val="decimal"/>
      <w:start w:val="1"/>
      <w:suff w:val="tab"/>
      <w:pPr>
        <w:ind w:left="2000" w:hanging="400"/>
        <w:rPr/>
      </w:pPr>
      <w:rPr>
        <w:shd w:val="clear" w:color="auto" w:fill="auto"/>
      </w:rPr>
      <w:lvlText w:val="%4."/>
    </w:lvl>
    <w:lvl w:ilvl="4">
      <w:lvlJc w:val="left"/>
      <w:numFmt w:val="upperLetter"/>
      <w:start w:val="1"/>
      <w:suff w:val="tab"/>
      <w:pPr>
        <w:ind w:left="2400" w:hanging="400"/>
        <w:rPr/>
      </w:pPr>
      <w:rPr>
        <w:shd w:val="clear" w:color="auto" w:fill="auto"/>
      </w:rPr>
      <w:lvlText w:val="%5."/>
    </w:lvl>
    <w:lvl w:ilvl="5">
      <w:lvlJc w:val="right"/>
      <w:numFmt w:val="lowerRoman"/>
      <w:start w:val="1"/>
      <w:suff w:val="tab"/>
      <w:pPr>
        <w:ind w:left="2800" w:hanging="400"/>
        <w:rPr/>
      </w:pPr>
      <w:rPr>
        <w:shd w:val="clear" w:color="auto" w:fill="auto"/>
      </w:rPr>
      <w:lvlText w:val="%6."/>
    </w:lvl>
    <w:lvl w:ilvl="6">
      <w:lvlJc w:val="left"/>
      <w:numFmt w:val="decimal"/>
      <w:start w:val="1"/>
      <w:suff w:val="tab"/>
      <w:pPr>
        <w:ind w:left="3200" w:hanging="400"/>
        <w:rPr/>
      </w:pPr>
      <w:rPr>
        <w:shd w:val="clear" w:color="auto" w:fill="auto"/>
      </w:rPr>
      <w:lvlText w:val="%7."/>
    </w:lvl>
    <w:lvl w:ilvl="7">
      <w:lvlJc w:val="left"/>
      <w:numFmt w:val="upperLetter"/>
      <w:start w:val="1"/>
      <w:suff w:val="tab"/>
      <w:pPr>
        <w:ind w:left="3600" w:hanging="400"/>
        <w:rPr/>
      </w:pPr>
      <w:rPr>
        <w:shd w:val="clear" w:color="auto" w:fill="auto"/>
      </w:rPr>
      <w:lvlText w:val="%8."/>
    </w:lvl>
    <w:lvl w:ilvl="8">
      <w:lvlJc w:val="right"/>
      <w:numFmt w:val="lowerRoman"/>
      <w:start w:val="1"/>
      <w:suff w:val="tab"/>
      <w:pPr>
        <w:ind w:left="4000" w:hanging="400"/>
        <w:rPr/>
      </w:pPr>
      <w:rPr>
        <w:shd w:val="clear" w:color="auto" w:fill="auto"/>
      </w:rPr>
      <w:lvlText w:val="%9."/>
    </w:lvl>
  </w:abstractNum>
  <w:abstractNum w:abstractNumId="11">
    <w:multiLevelType w:val="hybridMultilevel"/>
    <w:nsid w:val="2F00000B"/>
    <w:tmpl w:val="1F0036F8"/>
    <w:lvl w:ilvl="0">
      <w:lvlJc w:val="left"/>
      <w:numFmt w:val="bullet"/>
      <w:start w:val="4"/>
      <w:suff w:val="tab"/>
      <w:pPr>
        <w:ind w:left="800" w:hanging="360"/>
        <w:rPr/>
      </w:pPr>
      <w:rPr>
        <w:b w:val="1"/>
        <w:color w:val="0070C0"/>
        <w:sz w:val="32"/>
        <w:szCs w:val="32"/>
        <w:shd w:val="clear" w:color="auto" w:fill="auto"/>
        <w:rFonts w:ascii="HY신명조" w:eastAsia="HY신명조" w:hAnsiTheme="minorHAnsi" w:cstheme="minorBidi" w:hint="eastAsia"/>
      </w:rPr>
      <w:lvlText w:val="○"/>
    </w:lvl>
    <w:lvl w:ilvl="1">
      <w:lvlJc w:val="left"/>
      <w:numFmt w:val="bullet"/>
      <w:start w:val="1"/>
      <w:suff w:val="tab"/>
      <w:pPr>
        <w:ind w:left="132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2">
      <w:lvlJc w:val="left"/>
      <w:numFmt w:val="bullet"/>
      <w:start w:val="1"/>
      <w:suff w:val="tab"/>
      <w:pPr>
        <w:ind w:left="176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3">
      <w:lvlJc w:val="left"/>
      <w:numFmt w:val="bullet"/>
      <w:start w:val="1"/>
      <w:suff w:val="tab"/>
      <w:pPr>
        <w:ind w:left="220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4">
      <w:lvlJc w:val="left"/>
      <w:numFmt w:val="bullet"/>
      <w:start w:val="1"/>
      <w:suff w:val="tab"/>
      <w:pPr>
        <w:ind w:left="264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5">
      <w:lvlJc w:val="left"/>
      <w:numFmt w:val="bullet"/>
      <w:start w:val="1"/>
      <w:suff w:val="tab"/>
      <w:pPr>
        <w:ind w:left="3080" w:hanging="440"/>
        <w:rPr/>
      </w:pPr>
      <w:rPr>
        <w:shd w:val="clear" w:color="auto" w:fill="auto"/>
        <w:rFonts w:ascii="Wingdings" w:hAnsi="Wingdings" w:hint="default"/>
      </w:rPr>
      <w:lvlText w:val="u"/>
    </w:lvl>
    <w:lvl w:ilvl="6">
      <w:lvlJc w:val="left"/>
      <w:numFmt w:val="bullet"/>
      <w:start w:val="1"/>
      <w:suff w:val="tab"/>
      <w:pPr>
        <w:ind w:left="3520" w:hanging="440"/>
        <w:rPr/>
      </w:pPr>
      <w:rPr>
        <w:shd w:val="clear" w:color="auto" w:fill="auto"/>
        <w:rFonts w:ascii="Wingdings" w:hAnsi="Wingdings" w:hint="default"/>
      </w:rPr>
      <w:lvlText w:val="l"/>
    </w:lvl>
    <w:lvl w:ilvl="7">
      <w:lvlJc w:val="left"/>
      <w:numFmt w:val="bullet"/>
      <w:start w:val="1"/>
      <w:suff w:val="tab"/>
      <w:pPr>
        <w:ind w:left="3960" w:hanging="440"/>
        <w:rPr/>
      </w:pPr>
      <w:rPr>
        <w:shd w:val="clear" w:color="auto" w:fill="auto"/>
        <w:rFonts w:ascii="Wingdings" w:hAnsi="Wingdings" w:hint="default"/>
      </w:rPr>
      <w:lvlText w:val="n"/>
    </w:lvl>
    <w:lvl w:ilvl="8">
      <w:lvlJc w:val="left"/>
      <w:numFmt w:val="bullet"/>
      <w:start w:val="1"/>
      <w:suff w:val="tab"/>
      <w:pPr>
        <w:ind w:left="4400" w:hanging="440"/>
        <w:rPr/>
      </w:pPr>
      <w:rPr>
        <w:shd w:val="clear" w:color="auto" w:fill="auto"/>
        <w:rFonts w:ascii="Wingdings" w:hAnsi="Wingdings" w:hint="default"/>
      </w:rPr>
      <w:lvlText w:val="u"/>
    </w:lvl>
  </w:abstractNum>
  <w:abstractNum w:abstractNumId="12">
    <w:multiLevelType w:val="hybridMultilevel"/>
    <w:nsid w:val="2F00000C"/>
    <w:tmpl w:val="1F002D7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3">
    <w:multiLevelType w:val="hybridMultilevel"/>
    <w:nsid w:val="2F00000D"/>
    <w:tmpl w:val="1F0020D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4">
    <w:multiLevelType w:val="hybridMultilevel"/>
    <w:nsid w:val="2F00000E"/>
    <w:tmpl w:val="1F00137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5">
    <w:multiLevelType w:val="hybridMultilevel"/>
    <w:nsid w:val="2F00000F"/>
    <w:tmpl w:val="1F0000F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6">
    <w:multiLevelType w:val="hybridMultilevel"/>
    <w:nsid w:val="2F000010"/>
    <w:tmpl w:val="1F0005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7">
    <w:multiLevelType w:val="hybridMultilevel"/>
    <w:nsid w:val="2F000011"/>
    <w:tmpl w:val="1F0017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8">
    <w:multiLevelType w:val="hybridMultilevel"/>
    <w:nsid w:val="2F000012"/>
    <w:tmpl w:val="1F00096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9">
    <w:multiLevelType w:val="hybridMultilevel"/>
    <w:nsid w:val="2F000013"/>
    <w:tmpl w:val="1F000A9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0">
    <w:multiLevelType w:val="hybridMultilevel"/>
    <w:nsid w:val="2F000014"/>
    <w:tmpl w:val="1F003F4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1">
    <w:multiLevelType w:val="hybridMultilevel"/>
    <w:nsid w:val="2F000015"/>
    <w:tmpl w:val="1F001C8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2">
    <w:multiLevelType w:val="hybridMultilevel"/>
    <w:nsid w:val="2F000016"/>
    <w:tmpl w:val="1F00079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3">
    <w:multiLevelType w:val="hybridMultilevel"/>
    <w:nsid w:val="2F000017"/>
    <w:tmpl w:val="1F0000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4">
    <w:multiLevelType w:val="hybridMultilevel"/>
    <w:nsid w:val="2F000018"/>
    <w:tmpl w:val="1F0000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5">
    <w:multiLevelType w:val="hybridMultilevel"/>
    <w:nsid w:val="2F000019"/>
    <w:tmpl w:val="1F00182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6">
    <w:multiLevelType w:val="hybridMultilevel"/>
    <w:nsid w:val="2F00001A"/>
    <w:tmpl w:val="1F0022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7">
    <w:multiLevelType w:val="hybridMultilevel"/>
    <w:nsid w:val="2F00001B"/>
    <w:tmpl w:val="1F00248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8">
    <w:multiLevelType w:val="hybridMultilevel"/>
    <w:nsid w:val="2F00001C"/>
    <w:tmpl w:val="1F00268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29">
    <w:multiLevelType w:val="hybridMultilevel"/>
    <w:nsid w:val="2F00001D"/>
    <w:tmpl w:val="1F0026D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0">
    <w:multiLevelType w:val="hybridMultilevel"/>
    <w:nsid w:val="2F00001E"/>
    <w:tmpl w:val="1F000AA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1">
    <w:multiLevelType w:val="hybridMultilevel"/>
    <w:nsid w:val="2F00001F"/>
    <w:tmpl w:val="1F002A6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2">
    <w:multiLevelType w:val="hybridMultilevel"/>
    <w:nsid w:val="2F000020"/>
    <w:tmpl w:val="1F001CD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3">
    <w:multiLevelType w:val="hybridMultilevel"/>
    <w:nsid w:val="2F000021"/>
    <w:tmpl w:val="1F00168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4">
    <w:multiLevelType w:val="hybridMultilevel"/>
    <w:nsid w:val="2F000022"/>
    <w:tmpl w:val="1F0003A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5">
    <w:multiLevelType w:val="hybridMultilevel"/>
    <w:nsid w:val="2F000023"/>
    <w:tmpl w:val="1F0026E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6">
    <w:multiLevelType w:val="hybridMultilevel"/>
    <w:nsid w:val="2F000024"/>
    <w:tmpl w:val="1F00322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7">
    <w:multiLevelType w:val="hybridMultilevel"/>
    <w:nsid w:val="2F000025"/>
    <w:tmpl w:val="1F00335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8">
    <w:multiLevelType w:val="hybridMultilevel"/>
    <w:nsid w:val="2F000026"/>
    <w:tmpl w:val="1F00214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39">
    <w:multiLevelType w:val="hybridMultilevel"/>
    <w:nsid w:val="2F000027"/>
    <w:tmpl w:val="1F00135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0">
    <w:multiLevelType w:val="hybridMultilevel"/>
    <w:nsid w:val="2F000028"/>
    <w:tmpl w:val="1F0038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1">
    <w:multiLevelType w:val="hybridMultilevel"/>
    <w:nsid w:val="2F000029"/>
    <w:tmpl w:val="1F002E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2">
    <w:multiLevelType w:val="hybridMultilevel"/>
    <w:nsid w:val="2F00002A"/>
    <w:tmpl w:val="1F003D2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3">
    <w:multiLevelType w:val="hybridMultilevel"/>
    <w:nsid w:val="2F00002B"/>
    <w:tmpl w:val="1F003B3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4">
    <w:multiLevelType w:val="hybridMultilevel"/>
    <w:nsid w:val="2F00002C"/>
    <w:tmpl w:val="1F00228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5">
    <w:multiLevelType w:val="hybridMultilevel"/>
    <w:nsid w:val="2F00002D"/>
    <w:tmpl w:val="1F00091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6">
    <w:multiLevelType w:val="hybridMultilevel"/>
    <w:nsid w:val="2F00002E"/>
    <w:tmpl w:val="1F001D9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7">
    <w:multiLevelType w:val="hybridMultilevel"/>
    <w:nsid w:val="2F00002F"/>
    <w:tmpl w:val="1F000F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8">
    <w:multiLevelType w:val="hybridMultilevel"/>
    <w:nsid w:val="2F000030"/>
    <w:tmpl w:val="1F00372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49">
    <w:multiLevelType w:val="hybridMultilevel"/>
    <w:nsid w:val="2F000031"/>
    <w:tmpl w:val="1F000D6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0">
    <w:multiLevelType w:val="hybridMultilevel"/>
    <w:nsid w:val="2F000032"/>
    <w:tmpl w:val="1F0031E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1">
    <w:multiLevelType w:val="hybridMultilevel"/>
    <w:nsid w:val="2F000033"/>
    <w:tmpl w:val="1F0035F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2">
    <w:multiLevelType w:val="hybridMultilevel"/>
    <w:nsid w:val="2F000034"/>
    <w:tmpl w:val="1F003FC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3">
    <w:multiLevelType w:val="hybridMultilevel"/>
    <w:nsid w:val="2F000035"/>
    <w:tmpl w:val="1F003FF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4">
    <w:multiLevelType w:val="hybridMultilevel"/>
    <w:nsid w:val="2F000036"/>
    <w:tmpl w:val="1F00272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5">
    <w:multiLevelType w:val="hybridMultilevel"/>
    <w:nsid w:val="2F000037"/>
    <w:tmpl w:val="1F0019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6">
    <w:multiLevelType w:val="hybridMultilevel"/>
    <w:nsid w:val="2F000038"/>
    <w:tmpl w:val="1F0011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7">
    <w:multiLevelType w:val="hybridMultilevel"/>
    <w:nsid w:val="2F000039"/>
    <w:tmpl w:val="1F00130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8">
    <w:multiLevelType w:val="hybridMultilevel"/>
    <w:nsid w:val="2F00003A"/>
    <w:tmpl w:val="1F0035C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59">
    <w:multiLevelType w:val="hybridMultilevel"/>
    <w:nsid w:val="2F00003B"/>
    <w:tmpl w:val="1F00018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0">
    <w:multiLevelType w:val="hybridMultilevel"/>
    <w:nsid w:val="2F00003C"/>
    <w:tmpl w:val="1F00180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1">
    <w:multiLevelType w:val="hybridMultilevel"/>
    <w:nsid w:val="2F00003D"/>
    <w:tmpl w:val="1F0005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2">
    <w:multiLevelType w:val="hybridMultilevel"/>
    <w:nsid w:val="2F00003E"/>
    <w:tmpl w:val="1F002B5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3">
    <w:multiLevelType w:val="hybridMultilevel"/>
    <w:nsid w:val="2F00003F"/>
    <w:tmpl w:val="1F0003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4">
    <w:multiLevelType w:val="hybridMultilevel"/>
    <w:nsid w:val="2F000040"/>
    <w:tmpl w:val="1F00009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5">
    <w:multiLevelType w:val="hybridMultilevel"/>
    <w:nsid w:val="2F000041"/>
    <w:tmpl w:val="1F003AC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6">
    <w:multiLevelType w:val="hybridMultilevel"/>
    <w:nsid w:val="2F000042"/>
    <w:tmpl w:val="1F0011A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7">
    <w:multiLevelType w:val="hybridMultilevel"/>
    <w:nsid w:val="2F000043"/>
    <w:tmpl w:val="1F00117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8">
    <w:multiLevelType w:val="hybridMultilevel"/>
    <w:nsid w:val="2F000044"/>
    <w:tmpl w:val="1F0025A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69">
    <w:multiLevelType w:val="hybridMultilevel"/>
    <w:nsid w:val="2F000045"/>
    <w:tmpl w:val="1F002C3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0">
    <w:multiLevelType w:val="hybridMultilevel"/>
    <w:nsid w:val="2F000046"/>
    <w:tmpl w:val="1F00359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1">
    <w:multiLevelType w:val="hybridMultilevel"/>
    <w:nsid w:val="2F000047"/>
    <w:tmpl w:val="1F002E7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2">
    <w:multiLevelType w:val="hybridMultilevel"/>
    <w:nsid w:val="2F000048"/>
    <w:tmpl w:val="1F001F0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3">
    <w:multiLevelType w:val="hybridMultilevel"/>
    <w:nsid w:val="2F000049"/>
    <w:tmpl w:val="1F000D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4">
    <w:multiLevelType w:val="hybridMultilevel"/>
    <w:nsid w:val="2F00004A"/>
    <w:tmpl w:val="1F002F9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5">
    <w:multiLevelType w:val="hybridMultilevel"/>
    <w:nsid w:val="2F00004B"/>
    <w:tmpl w:val="1F001DF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6">
    <w:multiLevelType w:val="hybridMultilevel"/>
    <w:nsid w:val="2F00004C"/>
    <w:tmpl w:val="1F001D4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7">
    <w:multiLevelType w:val="hybridMultilevel"/>
    <w:nsid w:val="2F00004D"/>
    <w:tmpl w:val="1F003CB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8">
    <w:multiLevelType w:val="hybridMultilevel"/>
    <w:nsid w:val="2F00004E"/>
    <w:tmpl w:val="1F002FA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79">
    <w:multiLevelType w:val="hybridMultilevel"/>
    <w:nsid w:val="2F00004F"/>
    <w:tmpl w:val="1F0006E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0">
    <w:multiLevelType w:val="hybridMultilevel"/>
    <w:nsid w:val="2F000050"/>
    <w:tmpl w:val="1F00265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1">
    <w:multiLevelType w:val="hybridMultilevel"/>
    <w:nsid w:val="2F000051"/>
    <w:tmpl w:val="1F0018A7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2">
    <w:multiLevelType w:val="hybridMultilevel"/>
    <w:nsid w:val="2F000052"/>
    <w:tmpl w:val="1F002F0A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3">
    <w:multiLevelType w:val="hybridMultilevel"/>
    <w:nsid w:val="2F000053"/>
    <w:tmpl w:val="1F0026F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4">
    <w:multiLevelType w:val="hybridMultilevel"/>
    <w:nsid w:val="2F000054"/>
    <w:tmpl w:val="1F0024A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5">
    <w:multiLevelType w:val="hybridMultilevel"/>
    <w:nsid w:val="2F000055"/>
    <w:tmpl w:val="1F00172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6">
    <w:multiLevelType w:val="hybridMultilevel"/>
    <w:nsid w:val="2F000056"/>
    <w:tmpl w:val="1F0009B3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7">
    <w:multiLevelType w:val="hybridMultilevel"/>
    <w:nsid w:val="2F000057"/>
    <w:tmpl w:val="1F000E6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8">
    <w:multiLevelType w:val="hybridMultilevel"/>
    <w:nsid w:val="2F000058"/>
    <w:tmpl w:val="1F001B3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89">
    <w:multiLevelType w:val="hybridMultilevel"/>
    <w:nsid w:val="2F000059"/>
    <w:tmpl w:val="1F0033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0">
    <w:multiLevelType w:val="hybridMultilevel"/>
    <w:nsid w:val="2F00005A"/>
    <w:tmpl w:val="1F00211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1">
    <w:multiLevelType w:val="hybridMultilevel"/>
    <w:nsid w:val="2F00005B"/>
    <w:tmpl w:val="1F003F5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2">
    <w:multiLevelType w:val="hybridMultilevel"/>
    <w:nsid w:val="2F00005C"/>
    <w:tmpl w:val="1F00301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3">
    <w:multiLevelType w:val="hybridMultilevel"/>
    <w:nsid w:val="2F00005D"/>
    <w:tmpl w:val="1F00161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4">
    <w:multiLevelType w:val="hybridMultilevel"/>
    <w:nsid w:val="2F00005E"/>
    <w:tmpl w:val="1F000AD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5">
    <w:multiLevelType w:val="hybridMultilevel"/>
    <w:nsid w:val="2F00005F"/>
    <w:tmpl w:val="1F002A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6">
    <w:multiLevelType w:val="hybridMultilevel"/>
    <w:nsid w:val="2F000060"/>
    <w:tmpl w:val="1F001F7B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7">
    <w:multiLevelType w:val="hybridMultilevel"/>
    <w:nsid w:val="2F000061"/>
    <w:tmpl w:val="1F00041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8">
    <w:multiLevelType w:val="hybridMultilevel"/>
    <w:nsid w:val="2F000062"/>
    <w:tmpl w:val="1F002CC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99">
    <w:multiLevelType w:val="hybridMultilevel"/>
    <w:nsid w:val="2F000063"/>
    <w:tmpl w:val="1F00204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0">
    <w:multiLevelType w:val="hybridMultilevel"/>
    <w:nsid w:val="2F000064"/>
    <w:tmpl w:val="1F00097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1">
    <w:multiLevelType w:val="hybridMultilevel"/>
    <w:nsid w:val="2F000065"/>
    <w:tmpl w:val="1F003CC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2">
    <w:multiLevelType w:val="hybridMultilevel"/>
    <w:nsid w:val="2F000066"/>
    <w:tmpl w:val="1F00090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3">
    <w:multiLevelType w:val="hybridMultilevel"/>
    <w:nsid w:val="2F000067"/>
    <w:tmpl w:val="1F0039ED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4">
    <w:multiLevelType w:val="hybridMultilevel"/>
    <w:nsid w:val="2F000068"/>
    <w:tmpl w:val="1F002C58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5">
    <w:multiLevelType w:val="hybridMultilevel"/>
    <w:nsid w:val="2F000069"/>
    <w:tmpl w:val="1F001365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6">
    <w:multiLevelType w:val="hybridMultilevel"/>
    <w:nsid w:val="2F00006A"/>
    <w:tmpl w:val="1F001B4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7">
    <w:multiLevelType w:val="hybridMultilevel"/>
    <w:nsid w:val="2F00006B"/>
    <w:tmpl w:val="1F000481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8">
    <w:multiLevelType w:val="hybridMultilevel"/>
    <w:nsid w:val="2F00006C"/>
    <w:tmpl w:val="1F003DDC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09">
    <w:multiLevelType w:val="hybridMultilevel"/>
    <w:nsid w:val="2F00006D"/>
    <w:tmpl w:val="1F002BB9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0">
    <w:multiLevelType w:val="hybridMultilevel"/>
    <w:nsid w:val="2F00006E"/>
    <w:tmpl w:val="1F0009CE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1">
    <w:multiLevelType w:val="hybridMultilevel"/>
    <w:nsid w:val="2F00006F"/>
    <w:tmpl w:val="1F003824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2">
    <w:multiLevelType w:val="hybridMultilevel"/>
    <w:nsid w:val="2F000070"/>
    <w:tmpl w:val="1F003496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3">
    <w:multiLevelType w:val="hybridMultilevel"/>
    <w:nsid w:val="2F000071"/>
    <w:tmpl w:val="1F002540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4">
    <w:multiLevelType w:val="hybridMultilevel"/>
    <w:nsid w:val="2F000072"/>
    <w:tmpl w:val="1F000C3F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abstractNum w:abstractNumId="115">
    <w:multiLevelType w:val="hybridMultilevel"/>
    <w:nsid w:val="2F000073"/>
    <w:tmpl w:val="1F000B62"/>
    <w:lvl w:ilvl="0">
      <w:lvlJc w:val="left"/>
      <w:numFmt w:val="bullet"/>
      <w:start w:val="1"/>
      <w:suff w:val="tab"/>
      <w:pPr>
        <w:ind w:left="720" w:hanging="360"/>
        <w:rPr/>
      </w:pPr>
      <w:rPr>
        <w:shd w:val="clear" w:color="auto" w:fill="auto"/>
        <w:rFonts w:ascii="symbol" w:eastAsia="symbol" w:hAnsi="symbol" w:cs="symbol"/>
      </w:rPr>
      <w:lvlText w:val="·"/>
    </w:lvl>
    <w:lvl w:ilvl="1">
      <w:lvlJc w:val="left"/>
      <w:numFmt w:val="bullet"/>
      <w:start w:val="1"/>
      <w:suff w:val="tab"/>
      <w:pPr>
        <w:ind w:left="1440" w:hanging="360"/>
        <w:rPr/>
      </w:pPr>
      <w:rPr>
        <w:shd w:val="clear" w:color="auto" w:fill="auto"/>
        <w:rFonts w:ascii="courier new" w:eastAsia="courier new" w:hAnsi="courier new" w:cs="courier new"/>
      </w:rPr>
      <w:lvlText w:val="o"/>
    </w:lvl>
    <w:lvl w:ilvl="2">
      <w:lvlJc w:val="left"/>
      <w:numFmt w:val="bullet"/>
      <w:start w:val="1"/>
      <w:suff w:val="tab"/>
      <w:pPr>
        <w:ind w:left="21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3">
      <w:lvlJc w:val="left"/>
      <w:numFmt w:val="bullet"/>
      <w:start w:val="1"/>
      <w:suff w:val="tab"/>
      <w:pPr>
        <w:ind w:left="28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4">
      <w:lvlJc w:val="left"/>
      <w:numFmt w:val="bullet"/>
      <w:start w:val="1"/>
      <w:suff w:val="tab"/>
      <w:pPr>
        <w:ind w:left="360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5">
      <w:lvlJc w:val="left"/>
      <w:numFmt w:val="bullet"/>
      <w:start w:val="1"/>
      <w:suff w:val="tab"/>
      <w:pPr>
        <w:ind w:left="432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6">
      <w:lvlJc w:val="left"/>
      <w:numFmt w:val="bullet"/>
      <w:start w:val="1"/>
      <w:suff w:val="tab"/>
      <w:pPr>
        <w:ind w:left="504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7">
      <w:lvlJc w:val="left"/>
      <w:numFmt w:val="bullet"/>
      <w:start w:val="1"/>
      <w:suff w:val="tab"/>
      <w:pPr>
        <w:ind w:left="576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  <w:lvl w:ilvl="8">
      <w:lvlJc w:val="left"/>
      <w:numFmt w:val="bullet"/>
      <w:start w:val="1"/>
      <w:suff w:val="tab"/>
      <w:pPr>
        <w:ind w:left="6480" w:hanging="360"/>
        <w:rPr/>
      </w:pPr>
      <w:rPr>
        <w:shd w:val="clear" w:color="auto" w:fill="auto"/>
        <w:rFonts w:ascii="Wingdings" w:eastAsia="Wingdings" w:hAnsi="Wingdings" w:cs="Wingdings"/>
      </w:rPr>
      <w:lvlText w:val="§"/>
    </w:lvl>
  </w:abstractNum>
  <w:num w:numId="1">
    <w:abstractNumId w:val="2"/>
  </w:num>
  <w:num w:numId="2">
    <w:abstractNumId w:val="11"/>
  </w:num>
  <w:num w:numId="3">
    <w:abstractNumId w:val="0"/>
  </w:num>
  <w:num w:numId="4">
    <w:abstractNumId w:val="3"/>
  </w:num>
  <w:num w:numId="5">
    <w:abstractNumId w:val="4"/>
  </w:num>
  <w:num w:numId="6">
    <w:abstractNumId w:val="8"/>
  </w:num>
  <w:num w:numId="7">
    <w:abstractNumId w:val="5"/>
  </w:num>
  <w:num w:numId="8">
    <w:abstractNumId w:val="6"/>
  </w:num>
  <w:num w:numId="9">
    <w:abstractNumId w:val="7"/>
  </w:num>
  <w:num w:numId="10">
    <w:abstractNumId w:val="1"/>
  </w:num>
  <w:num w:numId="11">
    <w:abstractNumId w:val="10"/>
  </w:num>
  <w:num w:numId="12">
    <w:abstractNumId w:val="9"/>
  </w:num>
  <w:num w:numId="13">
    <w:abstractNumId w:val="13"/>
  </w:num>
  <w:num w:numId="14">
    <w:abstractNumId w:val="15"/>
  </w:num>
  <w:num w:numId="15">
    <w:abstractNumId w:val="17"/>
  </w:num>
  <w:num w:numId="16">
    <w:abstractNumId w:val="19"/>
  </w:num>
  <w:num w:numId="17">
    <w:abstractNumId w:val="21"/>
  </w:num>
  <w:num w:numId="18">
    <w:abstractNumId w:val="23"/>
  </w:num>
  <w:num w:numId="19">
    <w:abstractNumId w:val="25"/>
  </w:num>
  <w:num w:numId="20">
    <w:abstractNumId w:val="27"/>
  </w:num>
  <w:num w:numId="21">
    <w:abstractNumId w:val="29"/>
  </w:num>
  <w:num w:numId="22">
    <w:abstractNumId w:val="31"/>
  </w:num>
  <w:num w:numId="23">
    <w:abstractNumId w:val="33"/>
  </w:num>
  <w:num w:numId="24">
    <w:abstractNumId w:val="35"/>
  </w:num>
  <w:num w:numId="25">
    <w:abstractNumId w:val="37"/>
  </w:num>
  <w:num w:numId="26">
    <w:abstractNumId w:val="39"/>
  </w:num>
  <w:num w:numId="27">
    <w:abstractNumId w:val="41"/>
  </w:num>
  <w:num w:numId="28">
    <w:abstractNumId w:val="43"/>
  </w:num>
  <w:num w:numId="29">
    <w:abstractNumId w:val="45"/>
  </w:num>
  <w:num w:numId="30">
    <w:abstractNumId w:val="47"/>
  </w:num>
  <w:num w:numId="31">
    <w:abstractNumId w:val="49"/>
  </w:num>
  <w:num w:numId="32">
    <w:abstractNumId w:val="51"/>
  </w:num>
  <w:num w:numId="33">
    <w:abstractNumId w:val="53"/>
  </w:num>
  <w:num w:numId="34">
    <w:abstractNumId w:val="55"/>
  </w:num>
  <w:num w:numId="35">
    <w:abstractNumId w:val="57"/>
  </w:num>
  <w:num w:numId="36">
    <w:abstractNumId w:val="59"/>
  </w:num>
  <w:num w:numId="37">
    <w:abstractNumId w:val="61"/>
  </w:num>
  <w:num w:numId="38">
    <w:abstractNumId w:val="63"/>
  </w:num>
  <w:num w:numId="39">
    <w:abstractNumId w:val="65"/>
  </w:num>
  <w:num w:numId="40">
    <w:abstractNumId w:val="67"/>
  </w:num>
  <w:num w:numId="41">
    <w:abstractNumId w:val="69"/>
  </w:num>
  <w:num w:numId="42">
    <w:abstractNumId w:val="71"/>
  </w:num>
  <w:num w:numId="43">
    <w:abstractNumId w:val="73"/>
  </w:num>
  <w:num w:numId="44">
    <w:abstractNumId w:val="75"/>
  </w:num>
  <w:num w:numId="45">
    <w:abstractNumId w:val="77"/>
  </w:num>
  <w:num w:numId="46">
    <w:abstractNumId w:val="79"/>
  </w:num>
  <w:num w:numId="47">
    <w:abstractNumId w:val="81"/>
  </w:num>
  <w:num w:numId="48">
    <w:abstractNumId w:val="83"/>
  </w:num>
  <w:num w:numId="49">
    <w:abstractNumId w:val="85"/>
  </w:num>
  <w:num w:numId="50">
    <w:abstractNumId w:val="87"/>
  </w:num>
  <w:num w:numId="51">
    <w:abstractNumId w:val="89"/>
  </w:num>
  <w:num w:numId="52">
    <w:abstractNumId w:val="91"/>
  </w:num>
  <w:num w:numId="53">
    <w:abstractNumId w:val="93"/>
  </w:num>
  <w:num w:numId="54">
    <w:abstractNumId w:val="95"/>
  </w:num>
  <w:num w:numId="55">
    <w:abstractNumId w:val="97"/>
  </w:num>
  <w:num w:numId="56">
    <w:abstractNumId w:val="99"/>
  </w:num>
  <w:num w:numId="57">
    <w:abstractNumId w:val="101"/>
  </w:num>
  <w:num w:numId="58">
    <w:abstractNumId w:val="103"/>
  </w:num>
  <w:num w:numId="59">
    <w:abstractNumId w:val="105"/>
  </w:num>
  <w:num w:numId="60">
    <w:abstractNumId w:val="107"/>
  </w:num>
  <w:num w:numId="61">
    <w:abstractNumId w:val="109"/>
  </w:num>
  <w:num w:numId="62">
    <w:abstractNumId w:val="111"/>
  </w:num>
  <w:num w:numId="63">
    <w:abstractNumId w:val="113"/>
  </w:num>
  <w:num w:numId="64">
    <w:abstractNumId w:val="115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savePreviewPicture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50"/>
    <o:shapelayout v:ext="edit">
      <o:idmap v:ext="edit" data="1"/>
    </o:shapelayout>
  </w:hdrShapeDefaults>
  <w:bordersDoNotSurroundFooter/>
  <w:compat>
    <w:balanceSingleByteDoubleByteWidth/>
    <w:adjustLineHeightInTable/>
    <w:useFELayout/>
    <w:compatSetting w:name="compatibilityMode" w:uri="http://schemas.microsoft.com/office/word" w:val="15"/>
    <w:ulTrailSpace/>
  </w:compat>
  <m:mathPr>
    <m:mathFont m:value="Cambria Math"/>
    <m:brkBin m:value="before"/>
    <m:brkBinSub m:value="--"/>
    <m:smallFrac m:value="off"/>
    <m:dispDef/>
    <m:lMargin m:value="0"/>
    <m:rMargin m:value="0"/>
    <m:defJc m:value="centerGroup"/>
    <m:wrapIndent m:value="1440"/>
    <m:intLim m:value="subSup"/>
    <m:naryLim m:value="undOvr"/>
  </m:mathPr>
  <w:themeFontLang w:eastAsia="ko-KR"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>
  <w:docDefaults>
    <w:pPrDefault>
      <w:pPr>
        <w:jc w:val="both"/>
        <w:spacing w:lineRule="auto" w:line="259" w:after="160"/>
        <w:rPr/>
      </w:pPr>
    </w:pPrDefault>
    <w:rPrDefault>
      <w:rPr>
        <w:shd w:val="clear" w:color="auto" w:fill="auto"/>
        <w:rFonts w:asciiTheme="minorHAnsi" w:eastAsiaTheme="minorEastAsia" w:hAnsiTheme="minorHAnsi" w:cstheme="minorBidi"/>
        <w:lang w:bidi="ar-SA" w:eastAsia="ko-KR" w:val="en-US"/>
      </w:rPr>
    </w:rPrDefault>
  </w:docDefaults>
  <w:style w:default="1" w:styleId="PO1" w:type="paragraph">
    <w:name w:val="Normal"/>
    <w:qFormat/>
    <w:pPr>
      <w:rPr/>
      <w:wordWrap w:val="0"/>
      <w:widowControl w:val="0"/>
      <w:autoSpaceDE w:val="0"/>
      <w:autoSpaceDN w:val="0"/>
    </w:pPr>
    <w:rPr>
      <w:shd w:val="clear" w:color="auto" w:fill="auto"/>
    </w:rPr>
  </w:style>
  <w:style w:default="1" w:styleId="PO2" w:type="character">
    <w:name w:val="Default Paragraph Font"/>
    <w:uiPriority w:val="1"/>
    <w:semiHidden/>
    <w:unhideWhenUsed/>
  </w:style>
  <w:style w:default="1" w:styleId="PO3" w:type="table">
    <w:name w:val="Normal Table"/>
    <w:uiPriority w:val="99"/>
    <w:semiHidden/>
    <w:unhideWhenUsed/>
    <w:tblPr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default="1" w:styleId="PO4" w:type="numbering">
    <w:name w:val="No List"/>
    <w:uiPriority w:val="99"/>
    <w:semiHidden/>
    <w:unhideWhenUsed/>
  </w:style>
  <w:style w:styleId="PO26" w:type="paragraph">
    <w:name w:val="List Paragraph"/>
    <w:basedOn w:val="PO1"/>
    <w:qFormat/>
    <w:uiPriority w:val="34"/>
    <w:pPr>
      <w:ind w:left="800" w:firstLine="0"/>
      <w:rPr/>
    </w:pPr>
    <w:rPr>
      <w:shd w:val="clear" w:color="auto" w:fill="auto"/>
    </w:rPr>
  </w:style>
  <w:style w:styleId="PO37" w:type="table">
    <w:name w:val="Table Grid"/>
    <w:basedOn w:val="PO3"/>
    <w:uiPriority w:val="39"/>
    <w:pPr>
      <w:spacing w:lineRule="auto" w:line="240" w:after="0"/>
      <w:rPr/>
    </w:pPr>
    <w:rPr>
      <w:shd w:val="clear" w:color="auto" w:fill="auto"/>
    </w:rPr>
    <w:tblPr>
      <w:tblBorders>
        <w:bottom w:val="single" w:color="auto" w:sz="4"/>
        <w:insideH w:val="single" w:color="auto" w:sz="4"/>
        <w:insideV w:val="single" w:color="auto" w:sz="4"/>
        <w:left w:val="single" w:color="auto" w:sz="4"/>
        <w:right w:val="single" w:color="auto" w:sz="4"/>
        <w:top w:val="single" w:color="auto" w:sz="4"/>
      </w:tblBorders>
    </w:tblPr>
  </w:style>
  <w:style w:styleId="PO38" w:type="table">
    <w:name w:val="Grid Table Light"/>
    <w:basedOn w:val="PO3"/>
    <w:uiPriority w:val="40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</w:tblPr>
  </w:style>
  <w:style w:styleId="PO39" w:type="table">
    <w:name w:val="Plain Table 1"/>
    <w:basedOn w:val="PO3"/>
    <w:uiPriority w:val="41"/>
    <w:pPr>
      <w:spacing w:lineRule="auto" w:line="240" w:after="0"/>
      <w:rPr/>
    </w:pPr>
    <w:rPr>
      <w:shd w:val="clear" w:color="auto" w:fill="auto"/>
    </w:rPr>
    <w:tblPr>
      <w:tblBorders>
        <w:bottom w:val="single" w:color="BEBEBE" w:themeColor="background1" w:themeShade="BE" w:sz="4"/>
        <w:insideH w:val="single" w:color="BEBEBE" w:themeColor="background1" w:themeShade="BE" w:sz="4"/>
        <w:insideV w:val="single" w:color="BEBEBE" w:themeColor="background1" w:themeShade="BE" w:sz="4"/>
        <w:left w:val="single" w:color="BEBEBE" w:themeColor="background1" w:themeShade="BE" w:sz="4"/>
        <w:right w:val="single" w:color="BEBEBE" w:themeColor="background1" w:themeShade="BE" w:sz="4"/>
        <w:top w:val="single" w:color="BEBEBE" w:themeColor="background1" w:themeShade="BE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BEBEBE" w:themeColor="background1" w:themeShade="BE" w:sz="4"/>
        </w:tcBorders>
      </w:tcPr>
    </w:tblStylePr>
  </w:style>
  <w:style w:styleId="PO40" w:type="table">
    <w:name w:val="Plain Table 2"/>
    <w:basedOn w:val="PO3"/>
    <w:uiPriority w:val="42"/>
    <w:pPr>
      <w:spacing w:lineRule="auto" w:line="240" w:after="0"/>
      <w:rPr/>
    </w:pPr>
    <w:rPr>
      <w:shd w:val="clear" w:color="auto" w:fill="auto"/>
    </w:rPr>
    <w:tblPr>
      <w:tblBorders>
        <w:bottom w:val="single" w:color="808080" w:themeColor="text1" w:themeTint="7F" w:sz="4"/>
        <w:top w:val="single" w:color="808080" w:themeColor="text1" w:themeTint="7F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808080" w:themeColor="text1" w:themeTint="7F" w:sz="4"/>
          <w:top w:val="single" w:color="808080" w:themeColor="text1" w:themeTint="7F" w:sz="4"/>
        </w:tcBorders>
      </w:tcPr>
    </w:tblStylePr>
    <w:tblStylePr w:type="band1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band2Vert">
      <w:tcPr>
        <w:tcBorders>
          <w:left w:val="single" w:color="808080" w:themeColor="text1" w:themeTint="7F" w:sz="4"/>
          <w:right w:val="single" w:color="808080" w:themeColor="text1" w:themeTint="7F" w:sz="4"/>
        </w:tcBorders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08080" w:themeColor="text1" w:themeTint="7F" w:sz="4"/>
        </w:tcBorders>
      </w:tcPr>
    </w:tblStylePr>
  </w:style>
  <w:style w:styleId="PO41" w:type="table">
    <w:name w:val="Plain Table 3"/>
    <w:basedOn w:val="PO3"/>
    <w:uiPriority w:val="43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  <w:caps w:val="1"/>
      </w:rPr>
      <w:tcPr>
        <w:tcBorders>
          <w:right w:val="single" w:color="808080" w:themeColor="text1" w:themeTint="7F" w:sz="4"/>
        </w:tcBorders>
      </w:tcPr>
    </w:tblStylePr>
    <w:tblStylePr w:type="firstRow">
      <w:rPr>
        <w:b w:val="1"/>
        <w:shd w:val="clear" w:color="auto" w:fill="auto"/>
        <w:caps w:val="1"/>
      </w:rPr>
      <w:tcPr>
        <w:tcBorders>
          <w:bottom w:val="single" w:color="808080" w:themeColor="text1" w:themeTint="7F" w:sz="4"/>
        </w:tcBorders>
      </w:tcPr>
    </w:tblStylePr>
    <w:tblStylePr w:type="lastCol">
      <w:rPr>
        <w:b w:val="1"/>
        <w:shd w:val="clear" w:color="auto" w:fill="auto"/>
        <w:caps w:val="1"/>
      </w:rPr>
      <w:tcPr>
        <w:tcBorders>
          <w:left w:val="nil"/>
        </w:tcBorders>
      </w:tcPr>
    </w:tblStylePr>
    <w:tblStylePr w:type="lastRow">
      <w:rPr>
        <w:b w:val="1"/>
        <w:shd w:val="clear" w:color="auto" w:fill="auto"/>
        <w:caps w:val="1"/>
      </w:rPr>
      <w:tcPr>
        <w:tcBorders>
          <w:top w:val="nil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</w:style>
  <w:style w:styleId="PO42" w:type="table">
    <w:name w:val="Plain Table 4"/>
    <w:basedOn w:val="PO3"/>
    <w:uiPriority w:val="44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43" w:type="table">
    <w:name w:val="Plain Table 5"/>
    <w:basedOn w:val="PO3"/>
    <w:uiPriority w:val="45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1F1F1" w:themeFill="background1" w:themeFillShade="F1" w:color="000000" w:val="clear"/>
      </w:tcPr>
    </w:tblStylePr>
    <w:tblStylePr w:type="band1Vert">
      <w:tcPr>
        <w:shd w:fill="F1F1F1" w:themeFill="background1" w:themeFillShade="F1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808080" w:themeColor="text1" w:themeTint="7F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bottom w:val="single" w:color="808080" w:themeColor="text1" w:themeTint="7F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808080" w:themeColor="text1" w:themeTint="7F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808080" w:themeColor="text1" w:themeTint="7F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44" w:type="table">
    <w:name w:val="Grid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999999" w:themeColor="text1" w:themeTint="66" w:sz="4"/>
        <w:insideH w:val="single" w:color="999999" w:themeColor="text1" w:themeTint="66" w:sz="4"/>
        <w:insideV w:val="single" w:color="999999" w:themeColor="text1" w:themeTint="66" w:sz="4"/>
        <w:left w:val="single" w:color="999999" w:themeColor="text1" w:themeTint="66" w:sz="4"/>
        <w:right w:val="single" w:color="999999" w:themeColor="text1" w:themeTint="66" w:sz="4"/>
        <w:top w:val="single" w:color="999999" w:themeColor="tex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2"/>
        </w:tcBorders>
      </w:tcPr>
    </w:tblStylePr>
  </w:style>
  <w:style w:styleId="PO45" w:type="table">
    <w:name w:val="Grid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4C7E7" w:themeColor="accent1" w:themeTint="66" w:sz="4"/>
        <w:insideH w:val="single" w:color="B4C7E7" w:themeColor="accent1" w:themeTint="66" w:sz="4"/>
        <w:insideV w:val="single" w:color="B4C7E7" w:themeColor="accent1" w:themeTint="66" w:sz="4"/>
        <w:left w:val="single" w:color="B4C7E7" w:themeColor="accent1" w:themeTint="66" w:sz="4"/>
        <w:right w:val="single" w:color="B4C7E7" w:themeColor="accent1" w:themeTint="66" w:sz="4"/>
        <w:top w:val="single" w:color="B4C7E7" w:themeColor="accent1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2"/>
        </w:tcBorders>
      </w:tcPr>
    </w:tblStylePr>
  </w:style>
  <w:style w:styleId="PO46" w:type="table">
    <w:name w:val="Grid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8CBAD" w:themeColor="accent2" w:themeTint="66" w:sz="4"/>
        <w:insideH w:val="single" w:color="F8CBAD" w:themeColor="accent2" w:themeTint="66" w:sz="4"/>
        <w:insideV w:val="single" w:color="F8CBAD" w:themeColor="accent2" w:themeTint="66" w:sz="4"/>
        <w:left w:val="single" w:color="F8CBAD" w:themeColor="accent2" w:themeTint="66" w:sz="4"/>
        <w:right w:val="single" w:color="F8CBAD" w:themeColor="accent2" w:themeTint="66" w:sz="4"/>
        <w:top w:val="single" w:color="F8CBAD" w:themeColor="accent2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2"/>
        </w:tcBorders>
      </w:tcPr>
    </w:tblStylePr>
  </w:style>
  <w:style w:styleId="PO47" w:type="table">
    <w:name w:val="Grid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DBDBDB" w:themeColor="accent3" w:themeTint="66" w:sz="4"/>
        <w:insideH w:val="single" w:color="DBDBDB" w:themeColor="accent3" w:themeTint="66" w:sz="4"/>
        <w:insideV w:val="single" w:color="DBDBDB" w:themeColor="accent3" w:themeTint="66" w:sz="4"/>
        <w:left w:val="single" w:color="DBDBDB" w:themeColor="accent3" w:themeTint="66" w:sz="4"/>
        <w:right w:val="single" w:color="DBDBDB" w:themeColor="accent3" w:themeTint="66" w:sz="4"/>
        <w:top w:val="single" w:color="DBDBDB" w:themeColor="accent3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2"/>
        </w:tcBorders>
      </w:tcPr>
    </w:tblStylePr>
  </w:style>
  <w:style w:styleId="PO48" w:type="table">
    <w:name w:val="Grid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FFE699" w:themeColor="accent4" w:themeTint="66" w:sz="4"/>
        <w:insideH w:val="single" w:color="FFE699" w:themeColor="accent4" w:themeTint="66" w:sz="4"/>
        <w:insideV w:val="single" w:color="FFE699" w:themeColor="accent4" w:themeTint="66" w:sz="4"/>
        <w:left w:val="single" w:color="FFE699" w:themeColor="accent4" w:themeTint="66" w:sz="4"/>
        <w:right w:val="single" w:color="FFE699" w:themeColor="accent4" w:themeTint="66" w:sz="4"/>
        <w:top w:val="single" w:color="FFE699" w:themeColor="accent4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2"/>
        </w:tcBorders>
      </w:tcPr>
    </w:tblStylePr>
  </w:style>
  <w:style w:styleId="PO49" w:type="table">
    <w:name w:val="Grid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BDD7EE" w:themeColor="accent5" w:themeTint="66" w:sz="4"/>
        <w:insideH w:val="single" w:color="BDD7EE" w:themeColor="accent5" w:themeTint="66" w:sz="4"/>
        <w:insideV w:val="single" w:color="BDD7EE" w:themeColor="accent5" w:themeTint="66" w:sz="4"/>
        <w:left w:val="single" w:color="BDD7EE" w:themeColor="accent5" w:themeTint="66" w:sz="4"/>
        <w:right w:val="single" w:color="BDD7EE" w:themeColor="accent5" w:themeTint="66" w:sz="4"/>
        <w:top w:val="single" w:color="BDD7EE" w:themeColor="accent5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2"/>
        </w:tcBorders>
      </w:tcPr>
    </w:tblStylePr>
  </w:style>
  <w:style w:styleId="PO50" w:type="table">
    <w:name w:val="Grid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Borders>
        <w:bottom w:val="single" w:color="C5E0B4" w:themeColor="accent6" w:themeTint="66" w:sz="4"/>
        <w:insideH w:val="single" w:color="C5E0B4" w:themeColor="accent6" w:themeTint="66" w:sz="4"/>
        <w:insideV w:val="single" w:color="C5E0B4" w:themeColor="accent6" w:themeTint="66" w:sz="4"/>
        <w:left w:val="single" w:color="C5E0B4" w:themeColor="accent6" w:themeTint="66" w:sz="4"/>
        <w:right w:val="single" w:color="C5E0B4" w:themeColor="accent6" w:themeTint="66" w:sz="4"/>
        <w:top w:val="single" w:color="C5E0B4" w:themeColor="accent6" w:themeTint="6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2"/>
        </w:tcBorders>
      </w:tcPr>
    </w:tblStylePr>
  </w:style>
  <w:style w:styleId="PO51" w:type="table">
    <w:name w:val="Grid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2"/>
        <w:insideH w:val="single" w:color="666666" w:themeColor="text1" w:themeTint="99" w:sz="2"/>
        <w:insideV w:val="single" w:color="666666" w:themeColor="text1" w:themeTint="99" w:sz="2"/>
        <w:top w:val="single" w:color="666666" w:themeColor="tex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666666" w:themeColor="tex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666666" w:themeColor="text1" w:themeTint="99" w:sz="2"/>
        </w:tcBorders>
      </w:tcPr>
    </w:tblStylePr>
  </w:style>
  <w:style w:styleId="PO52" w:type="table">
    <w:name w:val="Grid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2"/>
        <w:insideH w:val="single" w:color="8FAADC" w:themeColor="accent1" w:themeTint="99" w:sz="2"/>
        <w:insideV w:val="single" w:color="8FAADC" w:themeColor="accent1" w:themeTint="99" w:sz="2"/>
        <w:top w:val="single" w:color="8FAADC" w:themeColor="accent1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8FAADC" w:themeColor="accent1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8FAADC" w:themeColor="accent1" w:themeTint="99" w:sz="2"/>
        </w:tcBorders>
      </w:tcPr>
    </w:tblStylePr>
  </w:style>
  <w:style w:styleId="PO53" w:type="table">
    <w:name w:val="Grid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2"/>
        <w:insideH w:val="single" w:color="F4B183" w:themeColor="accent2" w:themeTint="99" w:sz="2"/>
        <w:insideV w:val="single" w:color="F4B183" w:themeColor="accent2" w:themeTint="99" w:sz="2"/>
        <w:top w:val="single" w:color="F4B183" w:themeColor="accent2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4B183" w:themeColor="accent2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4B183" w:themeColor="accent2" w:themeTint="99" w:sz="2"/>
        </w:tcBorders>
      </w:tcPr>
    </w:tblStylePr>
  </w:style>
  <w:style w:styleId="PO54" w:type="table">
    <w:name w:val="Grid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2"/>
        <w:insideH w:val="single" w:color="C9C9C9" w:themeColor="accent3" w:themeTint="99" w:sz="2"/>
        <w:insideV w:val="single" w:color="C9C9C9" w:themeColor="accent3" w:themeTint="99" w:sz="2"/>
        <w:top w:val="single" w:color="C9C9C9" w:themeColor="accent3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C9C9C9" w:themeColor="accent3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C9C9C9" w:themeColor="accent3" w:themeTint="99" w:sz="2"/>
        </w:tcBorders>
      </w:tcPr>
    </w:tblStylePr>
  </w:style>
  <w:style w:styleId="PO55" w:type="table">
    <w:name w:val="Grid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2"/>
        <w:insideH w:val="single" w:color="FFD966" w:themeColor="accent4" w:themeTint="99" w:sz="2"/>
        <w:insideV w:val="single" w:color="FFD966" w:themeColor="accent4" w:themeTint="99" w:sz="2"/>
        <w:top w:val="single" w:color="FFD966" w:themeColor="accent4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FFD966" w:themeColor="accent4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FFD966" w:themeColor="accent4" w:themeTint="99" w:sz="2"/>
        </w:tcBorders>
      </w:tcPr>
    </w:tblStylePr>
  </w:style>
  <w:style w:styleId="PO56" w:type="table">
    <w:name w:val="Grid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2"/>
        <w:insideH w:val="single" w:color="9DC3E6" w:themeColor="accent5" w:themeTint="99" w:sz="2"/>
        <w:insideV w:val="single" w:color="9DC3E6" w:themeColor="accent5" w:themeTint="99" w:sz="2"/>
        <w:top w:val="single" w:color="9DC3E6" w:themeColor="accent5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9DC3E6" w:themeColor="accent5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9DC3E6" w:themeColor="accent5" w:themeTint="99" w:sz="2"/>
        </w:tcBorders>
      </w:tcPr>
    </w:tblStylePr>
  </w:style>
  <w:style w:styleId="PO57" w:type="table">
    <w:name w:val="Grid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2"/>
        <w:insideH w:val="single" w:color="A9D18E" w:themeColor="accent6" w:themeTint="99" w:sz="2"/>
        <w:insideV w:val="single" w:color="A9D18E" w:themeColor="accent6" w:themeTint="99" w:sz="2"/>
        <w:top w:val="single" w:color="A9D18E" w:themeColor="accent6" w:themeTint="99" w:sz="2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bottom w:val="single" w:color="A9D18E" w:themeColor="accent6" w:themeTint="99" w:sz="12"/>
          <w:insideH w:val="nil"/>
          <w:insideV w:val="nil"/>
          <w:top w:val="nil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top w:val="double" w:color="A9D18E" w:themeColor="accent6" w:themeTint="99" w:sz="2"/>
        </w:tcBorders>
      </w:tcPr>
    </w:tblStylePr>
  </w:style>
  <w:style w:styleId="PO58" w:type="table">
    <w:name w:val="Grid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59" w:type="table">
    <w:name w:val="Grid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60" w:type="table">
    <w:name w:val="Grid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61" w:type="table">
    <w:name w:val="Grid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62" w:type="table">
    <w:name w:val="Grid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63" w:type="table">
    <w:name w:val="Grid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64" w:type="table">
    <w:name w:val="Grid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65" w:type="table">
    <w:name w:val="Grid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insideV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66" w:type="table">
    <w:name w:val="Grid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insideV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67" w:type="table">
    <w:name w:val="Grid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insideV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68" w:type="table">
    <w:name w:val="Grid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insideV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69" w:type="table">
    <w:name w:val="Grid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insideV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70" w:type="table">
    <w:name w:val="Grid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insideV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71" w:type="table">
    <w:name w:val="Grid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insideV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72" w:type="table">
    <w:name w:val="Grid Table 5 Dark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CCCCCC" w:themeFill="text1" w:themeFillTint="33" w:color="000000" w:val="clear"/>
    </w:tcPr>
    <w:tblStylePr w:type="band1Horz">
      <w:tcPr>
        <w:shd w:fill="999999" w:themeFill="text1" w:themeFillTint="66" w:color="000000" w:val="clear"/>
      </w:tcPr>
    </w:tblStylePr>
    <w:tblStylePr w:type="band1Vert">
      <w:tcPr>
        <w:shd w:fill="999999" w:themeFill="tex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3" w:type="table">
    <w:name w:val="Grid Table 5 Dark Accent 1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AE3F3" w:themeFill="accent1" w:themeFillTint="33" w:color="000000" w:val="clear"/>
    </w:tcPr>
    <w:tblStylePr w:type="band1Horz">
      <w:tcPr>
        <w:shd w:fill="B4C7E7" w:themeFill="accent1" w:themeFillTint="66" w:color="000000" w:val="clear"/>
      </w:tcPr>
    </w:tblStylePr>
    <w:tblStylePr w:type="band1Vert">
      <w:tcPr>
        <w:shd w:fill="B4C7E7" w:themeFill="accent1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4" w:type="table">
    <w:name w:val="Grid Table 5 Dark Accent 2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BE5D6" w:themeFill="accent2" w:themeFillTint="33" w:color="000000" w:val="clear"/>
    </w:tcPr>
    <w:tblStylePr w:type="band1Horz">
      <w:tcPr>
        <w:shd w:fill="F8CBAD" w:themeFill="accent2" w:themeFillTint="66" w:color="000000" w:val="clear"/>
      </w:tcPr>
    </w:tblStylePr>
    <w:tblStylePr w:type="band1Vert">
      <w:tcPr>
        <w:shd w:fill="F8CBAD" w:themeFill="accent2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5" w:type="table">
    <w:name w:val="Grid Table 5 Dark Accent 3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EDED" w:themeFill="accent3" w:themeFillTint="33" w:color="000000" w:val="clear"/>
    </w:tcPr>
    <w:tblStylePr w:type="band1Horz">
      <w:tcPr>
        <w:shd w:fill="DBDBDB" w:themeFill="accent3" w:themeFillTint="66" w:color="000000" w:val="clear"/>
      </w:tcPr>
    </w:tblStylePr>
    <w:tblStylePr w:type="band1Vert">
      <w:tcPr>
        <w:shd w:fill="DBDBDB" w:themeFill="accent3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6" w:type="table">
    <w:name w:val="Grid Table 5 Dark Accent 4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F2CC" w:themeFill="accent4" w:themeFillTint="33" w:color="000000" w:val="clear"/>
    </w:tcPr>
    <w:tblStylePr w:type="band1Horz">
      <w:tcPr>
        <w:shd w:fill="FFE699" w:themeFill="accent4" w:themeFillTint="66" w:color="000000" w:val="clear"/>
      </w:tcPr>
    </w:tblStylePr>
    <w:tblStylePr w:type="band1Vert">
      <w:tcPr>
        <w:shd w:fill="FFE699" w:themeFill="accent4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7" w:type="table">
    <w:name w:val="Grid Table 5 Dark Accent 5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DEEBF7" w:themeFill="accent5" w:themeFillTint="33" w:color="000000" w:val="clear"/>
    </w:tcPr>
    <w:tblStylePr w:type="band1Horz">
      <w:tcPr>
        <w:shd w:fill="BDD7EE" w:themeFill="accent5" w:themeFillTint="66" w:color="000000" w:val="clear"/>
      </w:tcPr>
    </w:tblStylePr>
    <w:tblStylePr w:type="band1Vert">
      <w:tcPr>
        <w:shd w:fill="BDD7EE" w:themeFill="accent5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8" w:type="table">
    <w:name w:val="Grid Table 5 Dark Accent 6"/>
    <w:basedOn w:val="PO3"/>
    <w:uiPriority w:val="50"/>
    <w:pPr>
      <w:spacing w:lineRule="auto" w:line="240" w:after="0"/>
      <w:rPr/>
    </w:pPr>
    <w:rPr>
      <w:shd w:val="clear" w:color="auto" w:fill="auto"/>
    </w:rPr>
    <w:tblPr>
      <w:tblBorders>
        <w:bottom w:val="single" w:color="FFFFFF" w:themeColor="background1" w:sz="4"/>
        <w:insideH w:val="single" w:color="FFFFFF" w:themeColor="background1" w:sz="4"/>
        <w:insideV w:val="single" w:color="FFFFFF" w:themeColor="background1" w:sz="4"/>
        <w:left w:val="single" w:color="FFFFFF" w:themeColor="background1" w:sz="4"/>
        <w:right w:val="single" w:color="FFFFFF" w:themeColor="background1" w:sz="4"/>
        <w:top w:val="single" w:color="FFFFFF" w:themeColor="background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2F0D9" w:themeFill="accent6" w:themeFillTint="33" w:color="000000" w:val="clear"/>
    </w:tcPr>
    <w:tblStylePr w:type="band1Horz">
      <w:tcPr>
        <w:shd w:fill="C5E0B4" w:themeFill="accent6" w:themeFillTint="66" w:color="000000" w:val="clear"/>
      </w:tcPr>
    </w:tblStylePr>
    <w:tblStylePr w:type="band1Vert">
      <w:tcPr>
        <w:shd w:fill="C5E0B4" w:themeFill="accent6" w:themeFillTint="66" w:color="000000" w:val="clear"/>
      </w:tcPr>
    </w:tblStylePr>
    <w:tblStylePr w:type="fir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left w:val="single" w:color="FFFFFF" w:themeColor="background1" w:sz="4"/>
          <w:top w:val="single" w:color="FFFFFF" w:themeColor="background1" w:sz="4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insideH w:val="nil"/>
          <w:insideV w:val="nil"/>
          <w:left w:val="single" w:color="FFFFFF" w:themeColor="background1" w:sz="4"/>
          <w:right w:val="single" w:color="FFFFFF" w:themeColor="background1" w:sz="4"/>
          <w:top w:val="single" w:color="FFFFFF" w:themeColor="background1" w:sz="4"/>
        </w:tcBorders>
      </w:tcPr>
    </w:tblStylePr>
    <w:tblStylePr w:type="lastCol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V w:val="nil"/>
          <w:right w:val="single" w:color="FFFFFF" w:themeColor="background1" w:sz="4"/>
          <w:top w:val="single" w:color="FFFFFF" w:themeColor="background1" w:sz="4"/>
        </w:tcBorders>
      </w:tcPr>
    </w:tblStylePr>
    <w:tblStylePr w:type="la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FFFFFF" w:themeColor="background1" w:sz="4"/>
          <w:insideH w:val="nil"/>
          <w:insideV w:val="nil"/>
          <w:left w:val="single" w:color="FFFFFF" w:themeColor="background1" w:sz="4"/>
          <w:right w:val="single" w:color="FFFFFF" w:themeColor="background1" w:sz="4"/>
        </w:tcBorders>
      </w:tcPr>
    </w:tblStylePr>
  </w:style>
  <w:style w:styleId="PO79" w:type="table">
    <w:name w:val="Grid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80" w:type="table">
    <w:name w:val="Grid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81" w:type="table">
    <w:name w:val="Grid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82" w:type="table">
    <w:name w:val="Grid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83" w:type="table">
    <w:name w:val="Grid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84" w:type="table">
    <w:name w:val="Grid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85" w:type="table">
    <w:name w:val="Grid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12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86" w:type="table">
    <w:name w:val="Grid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insideV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666666" w:themeColor="text1" w:themeTint="99" w:sz="4"/>
        </w:tcBorders>
      </w:tcPr>
    </w:tblStylePr>
    <w:tblStylePr w:type="nwCell">
      <w:tcPr>
        <w:tcBorders>
          <w:bottom w:val="single" w:color="666666" w:themeColor="text1" w:themeTint="99" w:sz="4"/>
        </w:tcBorders>
      </w:tcPr>
    </w:tblStylePr>
    <w:tblStylePr w:type="seCell">
      <w:tcPr>
        <w:tcBorders>
          <w:top w:val="single" w:color="666666" w:themeColor="text1" w:themeTint="99" w:sz="4"/>
        </w:tcBorders>
      </w:tcPr>
    </w:tblStylePr>
    <w:tblStylePr w:type="swCell">
      <w:tcPr>
        <w:tcBorders>
          <w:top w:val="single" w:color="666666" w:themeColor="text1" w:themeTint="99" w:sz="4"/>
        </w:tcBorders>
      </w:tcPr>
    </w:tblStylePr>
  </w:style>
  <w:style w:styleId="PO87" w:type="table">
    <w:name w:val="Grid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insideV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8FAADC" w:themeColor="accent1" w:themeTint="99" w:sz="4"/>
        </w:tcBorders>
      </w:tcPr>
    </w:tblStylePr>
    <w:tblStylePr w:type="nwCell">
      <w:tcPr>
        <w:tcBorders>
          <w:bottom w:val="single" w:color="8FAADC" w:themeColor="accent1" w:themeTint="99" w:sz="4"/>
        </w:tcBorders>
      </w:tcPr>
    </w:tblStylePr>
    <w:tblStylePr w:type="seCell">
      <w:tcPr>
        <w:tcBorders>
          <w:top w:val="single" w:color="8FAADC" w:themeColor="accent1" w:themeTint="99" w:sz="4"/>
        </w:tcBorders>
      </w:tcPr>
    </w:tblStylePr>
    <w:tblStylePr w:type="swCell">
      <w:tcPr>
        <w:tcBorders>
          <w:top w:val="single" w:color="8FAADC" w:themeColor="accent1" w:themeTint="99" w:sz="4"/>
        </w:tcBorders>
      </w:tcPr>
    </w:tblStylePr>
  </w:style>
  <w:style w:styleId="PO88" w:type="table">
    <w:name w:val="Grid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insideV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4B183" w:themeColor="accent2" w:themeTint="99" w:sz="4"/>
        </w:tcBorders>
      </w:tcPr>
    </w:tblStylePr>
    <w:tblStylePr w:type="nwCell">
      <w:tcPr>
        <w:tcBorders>
          <w:bottom w:val="single" w:color="F4B183" w:themeColor="accent2" w:themeTint="99" w:sz="4"/>
        </w:tcBorders>
      </w:tcPr>
    </w:tblStylePr>
    <w:tblStylePr w:type="seCell">
      <w:tcPr>
        <w:tcBorders>
          <w:top w:val="single" w:color="F4B183" w:themeColor="accent2" w:themeTint="99" w:sz="4"/>
        </w:tcBorders>
      </w:tcPr>
    </w:tblStylePr>
    <w:tblStylePr w:type="swCell">
      <w:tcPr>
        <w:tcBorders>
          <w:top w:val="single" w:color="F4B183" w:themeColor="accent2" w:themeTint="99" w:sz="4"/>
        </w:tcBorders>
      </w:tcPr>
    </w:tblStylePr>
  </w:style>
  <w:style w:styleId="PO89" w:type="table">
    <w:name w:val="Grid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insideV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C9C9C9" w:themeColor="accent3" w:themeTint="99" w:sz="4"/>
        </w:tcBorders>
      </w:tcPr>
    </w:tblStylePr>
    <w:tblStylePr w:type="nwCell">
      <w:tcPr>
        <w:tcBorders>
          <w:bottom w:val="single" w:color="C9C9C9" w:themeColor="accent3" w:themeTint="99" w:sz="4"/>
        </w:tcBorders>
      </w:tcPr>
    </w:tblStylePr>
    <w:tblStylePr w:type="seCell">
      <w:tcPr>
        <w:tcBorders>
          <w:top w:val="single" w:color="C9C9C9" w:themeColor="accent3" w:themeTint="99" w:sz="4"/>
        </w:tcBorders>
      </w:tcPr>
    </w:tblStylePr>
    <w:tblStylePr w:type="swCell">
      <w:tcPr>
        <w:tcBorders>
          <w:top w:val="single" w:color="C9C9C9" w:themeColor="accent3" w:themeTint="99" w:sz="4"/>
        </w:tcBorders>
      </w:tcPr>
    </w:tblStylePr>
  </w:style>
  <w:style w:styleId="PO90" w:type="table">
    <w:name w:val="Grid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insideV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FFD966" w:themeColor="accent4" w:themeTint="99" w:sz="4"/>
        </w:tcBorders>
      </w:tcPr>
    </w:tblStylePr>
    <w:tblStylePr w:type="nwCell">
      <w:tcPr>
        <w:tcBorders>
          <w:bottom w:val="single" w:color="FFD966" w:themeColor="accent4" w:themeTint="99" w:sz="4"/>
        </w:tcBorders>
      </w:tcPr>
    </w:tblStylePr>
    <w:tblStylePr w:type="seCell">
      <w:tcPr>
        <w:tcBorders>
          <w:top w:val="single" w:color="FFD966" w:themeColor="accent4" w:themeTint="99" w:sz="4"/>
        </w:tcBorders>
      </w:tcPr>
    </w:tblStylePr>
    <w:tblStylePr w:type="swCell">
      <w:tcPr>
        <w:tcBorders>
          <w:top w:val="single" w:color="FFD966" w:themeColor="accent4" w:themeTint="99" w:sz="4"/>
        </w:tcBorders>
      </w:tcPr>
    </w:tblStylePr>
  </w:style>
  <w:style w:styleId="PO91" w:type="table">
    <w:name w:val="Grid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insideV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9DC3E6" w:themeColor="accent5" w:themeTint="99" w:sz="4"/>
        </w:tcBorders>
      </w:tcPr>
    </w:tblStylePr>
    <w:tblStylePr w:type="nwCell">
      <w:tcPr>
        <w:tcBorders>
          <w:bottom w:val="single" w:color="9DC3E6" w:themeColor="accent5" w:themeTint="99" w:sz="4"/>
        </w:tcBorders>
      </w:tcPr>
    </w:tblStylePr>
    <w:tblStylePr w:type="seCell">
      <w:tcPr>
        <w:tcBorders>
          <w:top w:val="single" w:color="9DC3E6" w:themeColor="accent5" w:themeTint="99" w:sz="4"/>
        </w:tcBorders>
      </w:tcPr>
    </w:tblStylePr>
    <w:tblStylePr w:type="swCell">
      <w:tcPr>
        <w:tcBorders>
          <w:top w:val="single" w:color="9DC3E6" w:themeColor="accent5" w:themeTint="99" w:sz="4"/>
        </w:tcBorders>
      </w:tcPr>
    </w:tblStylePr>
  </w:style>
  <w:style w:styleId="PO92" w:type="table">
    <w:name w:val="Grid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insideV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top w:val="nil"/>
        </w:tcBorders>
      </w:tcPr>
    </w:tblStylePr>
    <w:tblStylePr w:type="firstRow">
      <w:rPr>
        <w:b w:val="1"/>
        <w:shd w:val="clear" w:color="auto" w:fill="auto"/>
      </w:rPr>
      <w:tcPr>
        <w:shd w:fill="FFFFFF" w:themeFill="background1" w:color="000000" w:val="clear"/>
        <w:tcBorders>
          <w:insideH w:val="nil"/>
          <w:insideV w:val="nil"/>
          <w:left w:val="nil"/>
          <w:right w:val="nil"/>
          <w:top w:val="nil"/>
        </w:tcBorders>
      </w:tcPr>
    </w:tblStylePr>
    <w:tblStylePr w:type="lastCol">
      <w:rPr>
        <w:i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right w:val="nil"/>
          <w:top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bottom w:val="nil"/>
          <w:insideH w:val="nil"/>
          <w:insideV w:val="nil"/>
          <w:left w:val="nil"/>
          <w:right w:val="nil"/>
        </w:tcBorders>
      </w:tcPr>
    </w:tblStylePr>
    <w:tblStylePr w:type="neCell">
      <w:tcPr>
        <w:tcBorders>
          <w:bottom w:val="single" w:color="A9D18E" w:themeColor="accent6" w:themeTint="99" w:sz="4"/>
        </w:tcBorders>
      </w:tcPr>
    </w:tblStylePr>
    <w:tblStylePr w:type="nwCell">
      <w:tcPr>
        <w:tcBorders>
          <w:bottom w:val="single" w:color="A9D18E" w:themeColor="accent6" w:themeTint="99" w:sz="4"/>
        </w:tcBorders>
      </w:tcPr>
    </w:tblStylePr>
    <w:tblStylePr w:type="seCell">
      <w:tcPr>
        <w:tcBorders>
          <w:top w:val="single" w:color="A9D18E" w:themeColor="accent6" w:themeTint="99" w:sz="4"/>
        </w:tcBorders>
      </w:tcPr>
    </w:tblStylePr>
    <w:tblStylePr w:type="swCell">
      <w:tcPr>
        <w:tcBorders>
          <w:top w:val="single" w:color="A9D18E" w:themeColor="accent6" w:themeTint="99" w:sz="4"/>
        </w:tcBorders>
      </w:tcPr>
    </w:tblStylePr>
  </w:style>
  <w:style w:styleId="PO93" w:type="table">
    <w:name w:val="List Table 1 Light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666666" w:themeColor="tex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666666" w:themeColor="text1" w:themeTint="99" w:sz="4"/>
        </w:tcBorders>
      </w:tcPr>
    </w:tblStylePr>
  </w:style>
  <w:style w:styleId="PO94" w:type="table">
    <w:name w:val="List Table 1 Light Accent 1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8FAADC" w:themeColor="accent1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8FAADC" w:themeColor="accent1" w:themeTint="99" w:sz="4"/>
        </w:tcBorders>
      </w:tcPr>
    </w:tblStylePr>
  </w:style>
  <w:style w:styleId="PO95" w:type="table">
    <w:name w:val="List Table 1 Light Accent 2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4B183" w:themeColor="accent2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4B183" w:themeColor="accent2" w:themeTint="99" w:sz="4"/>
        </w:tcBorders>
      </w:tcPr>
    </w:tblStylePr>
  </w:style>
  <w:style w:styleId="PO96" w:type="table">
    <w:name w:val="List Table 1 Light Accent 3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C9C9C9" w:themeColor="accent3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C9C9C9" w:themeColor="accent3" w:themeTint="99" w:sz="4"/>
        </w:tcBorders>
      </w:tcPr>
    </w:tblStylePr>
  </w:style>
  <w:style w:styleId="PO97" w:type="table">
    <w:name w:val="List Table 1 Light Accent 4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D966" w:themeColor="accent4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FFD966" w:themeColor="accent4" w:themeTint="99" w:sz="4"/>
        </w:tcBorders>
      </w:tcPr>
    </w:tblStylePr>
  </w:style>
  <w:style w:styleId="PO98" w:type="table">
    <w:name w:val="List Table 1 Light Accent 5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9DC3E6" w:themeColor="accent5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9DC3E6" w:themeColor="accent5" w:themeTint="99" w:sz="4"/>
        </w:tcBorders>
      </w:tcPr>
    </w:tblStylePr>
  </w:style>
  <w:style w:styleId="PO99" w:type="table">
    <w:name w:val="List Table 1 Light Accent 6"/>
    <w:basedOn w:val="PO3"/>
    <w:uiPriority w:val="46"/>
    <w:pPr>
      <w:spacing w:lineRule="auto" w:line="240" w:after="0"/>
      <w:rPr/>
    </w:pPr>
    <w:rPr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9D18E" w:themeColor="accent6" w:themeTint="99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single" w:color="A9D18E" w:themeColor="accent6" w:themeTint="99" w:sz="4"/>
        </w:tcBorders>
      </w:tcPr>
    </w:tblStylePr>
  </w:style>
  <w:style w:styleId="PO100" w:type="table">
    <w:name w:val="List Table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1" w:type="table">
    <w:name w:val="List Table 2 Accent 1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2" w:type="table">
    <w:name w:val="List Table 2 Accent 2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3" w:type="table">
    <w:name w:val="List Table 2 Accent 3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4" w:type="table">
    <w:name w:val="List Table 2 Accent 4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5" w:type="table">
    <w:name w:val="List Table 2 Accent 5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6" w:type="table">
    <w:name w:val="List Table 2 Accent 6"/>
    <w:basedOn w:val="PO3"/>
    <w:uiPriority w:val="47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</w:tblStylePr>
  </w:style>
  <w:style w:styleId="PO107" w:type="table">
    <w:name w:val="List Table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000000" w:themeColor="text1" w:sz="4"/>
        <w:left w:val="single" w:color="000000" w:themeColor="text1" w:sz="4"/>
        <w:right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000000" w:themeColor="text1" w:sz="4"/>
          <w:insideH w:val="nil"/>
          <w:top w:val="single" w:color="000000" w:themeColor="text1" w:sz="4"/>
        </w:tcBorders>
      </w:tcPr>
    </w:tblStylePr>
    <w:tblStylePr w:type="band1Vert">
      <w:tcPr>
        <w:tcBorders>
          <w:left w:val="single" w:color="000000" w:themeColor="text1" w:sz="4"/>
          <w:right w:val="single" w:color="000000" w:themeColor="tex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000000" w:themeColor="tex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000000" w:themeColor="text1" w:sz="4"/>
        </w:tcBorders>
      </w:tcPr>
    </w:tblStylePr>
    <w:tblStylePr w:type="swCell">
      <w:tcPr>
        <w:tcBorders>
          <w:right w:val="nil"/>
          <w:top w:val="double" w:color="000000" w:themeColor="text1" w:sz="4"/>
        </w:tcBorders>
      </w:tcPr>
    </w:tblStylePr>
  </w:style>
  <w:style w:styleId="PO108" w:type="table">
    <w:name w:val="List Table 3 Accent 1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4472C4" w:themeColor="accent1" w:sz="4"/>
        <w:left w:val="single" w:color="4472C4" w:themeColor="accent1" w:sz="4"/>
        <w:right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4472C4" w:themeColor="accent1" w:sz="4"/>
          <w:insideH w:val="nil"/>
          <w:top w:val="single" w:color="4472C4" w:themeColor="accent1" w:sz="4"/>
        </w:tcBorders>
      </w:tcPr>
    </w:tblStylePr>
    <w:tblStylePr w:type="band1Vert">
      <w:tcPr>
        <w:tcBorders>
          <w:left w:val="single" w:color="4472C4" w:themeColor="accent1" w:sz="4"/>
          <w:right w:val="single" w:color="4472C4" w:themeColor="accent1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4472C4" w:themeColor="accent1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4472C4" w:themeColor="accent1" w:sz="4"/>
        </w:tcBorders>
      </w:tcPr>
    </w:tblStylePr>
    <w:tblStylePr w:type="swCell">
      <w:tcPr>
        <w:tcBorders>
          <w:right w:val="nil"/>
          <w:top w:val="double" w:color="4472C4" w:themeColor="accent1" w:sz="4"/>
        </w:tcBorders>
      </w:tcPr>
    </w:tblStylePr>
  </w:style>
  <w:style w:styleId="PO109" w:type="table">
    <w:name w:val="List Table 3 Accent 2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ED7D31" w:themeColor="accent2" w:sz="4"/>
        <w:left w:val="single" w:color="ED7D31" w:themeColor="accent2" w:sz="4"/>
        <w:right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ED7D31" w:themeColor="accent2" w:sz="4"/>
          <w:insideH w:val="nil"/>
          <w:top w:val="single" w:color="ED7D31" w:themeColor="accent2" w:sz="4"/>
        </w:tcBorders>
      </w:tcPr>
    </w:tblStylePr>
    <w:tblStylePr w:type="band1Vert">
      <w:tcPr>
        <w:tcBorders>
          <w:left w:val="single" w:color="ED7D31" w:themeColor="accent2" w:sz="4"/>
          <w:right w:val="single" w:color="ED7D31" w:themeColor="accent2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ED7D31" w:themeColor="accent2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ED7D31" w:themeColor="accent2" w:sz="4"/>
        </w:tcBorders>
      </w:tcPr>
    </w:tblStylePr>
    <w:tblStylePr w:type="swCell">
      <w:tcPr>
        <w:tcBorders>
          <w:right w:val="nil"/>
          <w:top w:val="double" w:color="ED7D31" w:themeColor="accent2" w:sz="4"/>
        </w:tcBorders>
      </w:tcPr>
    </w:tblStylePr>
  </w:style>
  <w:style w:styleId="PO110" w:type="table">
    <w:name w:val="List Table 3 Accent 3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A5A5A5" w:themeColor="accent3" w:sz="4"/>
        <w:left w:val="single" w:color="A5A5A5" w:themeColor="accent3" w:sz="4"/>
        <w:right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A5A5A5" w:themeColor="accent3" w:sz="4"/>
          <w:insideH w:val="nil"/>
          <w:top w:val="single" w:color="A5A5A5" w:themeColor="accent3" w:sz="4"/>
        </w:tcBorders>
      </w:tcPr>
    </w:tblStylePr>
    <w:tblStylePr w:type="band1Vert">
      <w:tcPr>
        <w:tcBorders>
          <w:left w:val="single" w:color="A5A5A5" w:themeColor="accent3" w:sz="4"/>
          <w:right w:val="single" w:color="A5A5A5" w:themeColor="accent3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A5A5A5" w:themeColor="accent3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A5A5A5" w:themeColor="accent3" w:sz="4"/>
        </w:tcBorders>
      </w:tcPr>
    </w:tblStylePr>
    <w:tblStylePr w:type="swCell">
      <w:tcPr>
        <w:tcBorders>
          <w:right w:val="nil"/>
          <w:top w:val="double" w:color="A5A5A5" w:themeColor="accent3" w:sz="4"/>
        </w:tcBorders>
      </w:tcPr>
    </w:tblStylePr>
  </w:style>
  <w:style w:styleId="PO111" w:type="table">
    <w:name w:val="List Table 3 Accent 4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FFC000" w:themeColor="accent4" w:sz="4"/>
        <w:left w:val="single" w:color="FFC000" w:themeColor="accent4" w:sz="4"/>
        <w:right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FFC000" w:themeColor="accent4" w:sz="4"/>
          <w:insideH w:val="nil"/>
          <w:top w:val="single" w:color="FFC000" w:themeColor="accent4" w:sz="4"/>
        </w:tcBorders>
      </w:tcPr>
    </w:tblStylePr>
    <w:tblStylePr w:type="band1Vert">
      <w:tcPr>
        <w:tcBorders>
          <w:left w:val="single" w:color="FFC000" w:themeColor="accent4" w:sz="4"/>
          <w:right w:val="single" w:color="FFC000" w:themeColor="accent4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FFC000" w:themeColor="accent4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FFC000" w:themeColor="accent4" w:sz="4"/>
        </w:tcBorders>
      </w:tcPr>
    </w:tblStylePr>
    <w:tblStylePr w:type="swCell">
      <w:tcPr>
        <w:tcBorders>
          <w:right w:val="nil"/>
          <w:top w:val="double" w:color="FFC000" w:themeColor="accent4" w:sz="4"/>
        </w:tcBorders>
      </w:tcPr>
    </w:tblStylePr>
  </w:style>
  <w:style w:styleId="PO112" w:type="table">
    <w:name w:val="List Table 3 Accent 5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5B9BD5" w:themeColor="accent5" w:sz="4"/>
        <w:left w:val="single" w:color="5B9BD5" w:themeColor="accent5" w:sz="4"/>
        <w:right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5B9BD5" w:themeColor="accent5" w:sz="4"/>
          <w:insideH w:val="nil"/>
          <w:top w:val="single" w:color="5B9BD5" w:themeColor="accent5" w:sz="4"/>
        </w:tcBorders>
      </w:tcPr>
    </w:tblStylePr>
    <w:tblStylePr w:type="band1Vert">
      <w:tcPr>
        <w:tcBorders>
          <w:left w:val="single" w:color="5B9BD5" w:themeColor="accent5" w:sz="4"/>
          <w:right w:val="single" w:color="5B9BD5" w:themeColor="accent5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5B9BD5" w:themeColor="accent5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5B9BD5" w:themeColor="accent5" w:sz="4"/>
        </w:tcBorders>
      </w:tcPr>
    </w:tblStylePr>
    <w:tblStylePr w:type="swCell">
      <w:tcPr>
        <w:tcBorders>
          <w:right w:val="nil"/>
          <w:top w:val="double" w:color="5B9BD5" w:themeColor="accent5" w:sz="4"/>
        </w:tcBorders>
      </w:tcPr>
    </w:tblStylePr>
  </w:style>
  <w:style w:styleId="PO113" w:type="table">
    <w:name w:val="List Table 3 Accent 6"/>
    <w:basedOn w:val="PO3"/>
    <w:uiPriority w:val="48"/>
    <w:pPr>
      <w:spacing w:lineRule="auto" w:line="240" w:after="0"/>
      <w:rPr/>
    </w:pPr>
    <w:rPr>
      <w:shd w:val="clear" w:color="auto" w:fill="auto"/>
    </w:rPr>
    <w:tblPr>
      <w:tblBorders>
        <w:bottom w:val="single" w:color="70AD47" w:themeColor="accent6" w:sz="4"/>
        <w:left w:val="single" w:color="70AD47" w:themeColor="accent6" w:sz="4"/>
        <w:right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tcBorders>
          <w:bottom w:val="single" w:color="70AD47" w:themeColor="accent6" w:sz="4"/>
          <w:insideH w:val="nil"/>
          <w:top w:val="single" w:color="70AD47" w:themeColor="accent6" w:sz="4"/>
        </w:tcBorders>
      </w:tcPr>
    </w:tblStylePr>
    <w:tblStylePr w:type="band1Vert">
      <w:tcPr>
        <w:tcBorders>
          <w:left w:val="single" w:color="70AD47" w:themeColor="accent6" w:sz="4"/>
          <w:right w:val="single" w:color="70AD47" w:themeColor="accent6" w:sz="4"/>
        </w:tcBorders>
      </w:tcPr>
    </w:tblStylePr>
    <w:tblStylePr w:type="firstCol">
      <w:rPr>
        <w:b w:val="1"/>
        <w:shd w:val="clear" w:color="auto" w:fill="auto"/>
      </w:rPr>
      <w:tcPr>
        <w:shd w:fill="FFFFFF" w:themeFill="background1" w:color="000000" w:val="clear"/>
        <w:tcBorders>
          <w:right w:val="nil"/>
        </w:tcBorders>
      </w:tc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</w:tcPr>
    </w:tblStylePr>
    <w:tblStylePr w:type="lastCol">
      <w:rPr>
        <w:b w:val="1"/>
        <w:shd w:val="clear" w:color="auto" w:fill="auto"/>
      </w:rPr>
      <w:tcPr>
        <w:shd w:fill="FFFFFF" w:themeFill="background1" w:color="000000" w:val="clear"/>
        <w:tcBorders>
          <w:left w:val="nil"/>
        </w:tcBorders>
      </w:tcPr>
    </w:tblStylePr>
    <w:tblStylePr w:type="lastRow">
      <w:rPr>
        <w:b w:val="1"/>
        <w:shd w:val="clear" w:color="auto" w:fill="auto"/>
      </w:rPr>
      <w:tcPr>
        <w:shd w:fill="FFFFFF" w:themeFill="background1" w:color="000000" w:val="clear"/>
        <w:tcBorders>
          <w:top w:val="double" w:color="70AD47" w:themeColor="accent6" w:sz="4"/>
        </w:tcBorders>
      </w:tcPr>
    </w:tblStylePr>
    <w:tblStylePr w:type="neCell">
      <w:tcPr>
        <w:tcBorders>
          <w:bottom w:val="nil"/>
          <w:left w:val="nil"/>
        </w:tcBorders>
      </w:tcPr>
    </w:tblStylePr>
    <w:tblStylePr w:type="nwCell">
      <w:tcPr>
        <w:tcBorders>
          <w:bottom w:val="nil"/>
          <w:right w:val="nil"/>
        </w:tcBorders>
      </w:tcPr>
    </w:tblStylePr>
    <w:tblStylePr w:type="seCell">
      <w:tcPr>
        <w:tcBorders>
          <w:left w:val="nil"/>
          <w:top w:val="double" w:color="70AD47" w:themeColor="accent6" w:sz="4"/>
        </w:tcBorders>
      </w:tcPr>
    </w:tblStylePr>
    <w:tblStylePr w:type="swCell">
      <w:tcPr>
        <w:tcBorders>
          <w:right w:val="nil"/>
          <w:top w:val="double" w:color="70AD47" w:themeColor="accent6" w:sz="4"/>
        </w:tcBorders>
      </w:tcPr>
    </w:tblStylePr>
  </w:style>
  <w:style w:styleId="PO114" w:type="table">
    <w:name w:val="List Table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666666" w:themeColor="text1" w:themeTint="99" w:sz="4"/>
        <w:insideH w:val="single" w:color="666666" w:themeColor="text1" w:themeTint="99" w:sz="4"/>
        <w:left w:val="single" w:color="666666" w:themeColor="text1" w:themeTint="99" w:sz="4"/>
        <w:right w:val="single" w:color="666666" w:themeColor="text1" w:themeTint="99" w:sz="4"/>
        <w:top w:val="single" w:color="666666" w:themeColor="tex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000000" w:themeFill="text1" w:color="000000" w:val="clear"/>
        <w:tcBorders>
          <w:bottom w:val="single" w:color="000000" w:themeColor="text1" w:sz="4"/>
          <w:insideH w:val="nil"/>
          <w:left w:val="single" w:color="000000" w:themeColor="text1" w:sz="4"/>
          <w:right w:val="single" w:color="000000" w:themeColor="text1" w:sz="4"/>
          <w:top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666666" w:themeColor="text1" w:themeTint="99" w:sz="4"/>
        </w:tcBorders>
      </w:tcPr>
    </w:tblStylePr>
  </w:style>
  <w:style w:styleId="PO115" w:type="table">
    <w:name w:val="List Table 4 Accent 1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8FAADC" w:themeColor="accent1" w:themeTint="99" w:sz="4"/>
        <w:insideH w:val="single" w:color="8FAADC" w:themeColor="accent1" w:themeTint="99" w:sz="4"/>
        <w:left w:val="single" w:color="8FAADC" w:themeColor="accent1" w:themeTint="99" w:sz="4"/>
        <w:right w:val="single" w:color="8FAADC" w:themeColor="accent1" w:themeTint="99" w:sz="4"/>
        <w:top w:val="single" w:color="8FAADC" w:themeColor="accent1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4472C4" w:themeFill="accent1" w:color="000000" w:val="clear"/>
        <w:tcBorders>
          <w:bottom w:val="single" w:color="4472C4" w:themeColor="accent1" w:sz="4"/>
          <w:insideH w:val="nil"/>
          <w:left w:val="single" w:color="4472C4" w:themeColor="accent1" w:sz="4"/>
          <w:right w:val="single" w:color="4472C4" w:themeColor="accent1" w:sz="4"/>
          <w:top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8FAADC" w:themeColor="accent1" w:themeTint="99" w:sz="4"/>
        </w:tcBorders>
      </w:tcPr>
    </w:tblStylePr>
  </w:style>
  <w:style w:styleId="PO116" w:type="table">
    <w:name w:val="List Table 4 Accent 2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4B183" w:themeColor="accent2" w:themeTint="99" w:sz="4"/>
        <w:insideH w:val="single" w:color="F4B183" w:themeColor="accent2" w:themeTint="99" w:sz="4"/>
        <w:left w:val="single" w:color="F4B183" w:themeColor="accent2" w:themeTint="99" w:sz="4"/>
        <w:right w:val="single" w:color="F4B183" w:themeColor="accent2" w:themeTint="99" w:sz="4"/>
        <w:top w:val="single" w:color="F4B183" w:themeColor="accent2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ED7D31" w:themeFill="accent2" w:color="000000" w:val="clear"/>
        <w:tcBorders>
          <w:bottom w:val="single" w:color="ED7D31" w:themeColor="accent2" w:sz="4"/>
          <w:insideH w:val="nil"/>
          <w:left w:val="single" w:color="ED7D31" w:themeColor="accent2" w:sz="4"/>
          <w:right w:val="single" w:color="ED7D31" w:themeColor="accent2" w:sz="4"/>
          <w:top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4B183" w:themeColor="accent2" w:themeTint="99" w:sz="4"/>
        </w:tcBorders>
      </w:tcPr>
    </w:tblStylePr>
  </w:style>
  <w:style w:styleId="PO117" w:type="table">
    <w:name w:val="List Table 4 Accent 3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C9C9C9" w:themeColor="accent3" w:themeTint="99" w:sz="4"/>
        <w:insideH w:val="single" w:color="C9C9C9" w:themeColor="accent3" w:themeTint="99" w:sz="4"/>
        <w:left w:val="single" w:color="C9C9C9" w:themeColor="accent3" w:themeTint="99" w:sz="4"/>
        <w:right w:val="single" w:color="C9C9C9" w:themeColor="accent3" w:themeTint="99" w:sz="4"/>
        <w:top w:val="single" w:color="C9C9C9" w:themeColor="accent3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A5A5A5" w:themeFill="accent3" w:color="000000" w:val="clear"/>
        <w:tcBorders>
          <w:bottom w:val="single" w:color="A5A5A5" w:themeColor="accent3" w:sz="4"/>
          <w:insideH w:val="nil"/>
          <w:left w:val="single" w:color="A5A5A5" w:themeColor="accent3" w:sz="4"/>
          <w:right w:val="single" w:color="A5A5A5" w:themeColor="accent3" w:sz="4"/>
          <w:top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C9C9C9" w:themeColor="accent3" w:themeTint="99" w:sz="4"/>
        </w:tcBorders>
      </w:tcPr>
    </w:tblStylePr>
  </w:style>
  <w:style w:styleId="PO118" w:type="table">
    <w:name w:val="List Table 4 Accent 4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FFD966" w:themeColor="accent4" w:themeTint="99" w:sz="4"/>
        <w:insideH w:val="single" w:color="FFD966" w:themeColor="accent4" w:themeTint="99" w:sz="4"/>
        <w:left w:val="single" w:color="FFD966" w:themeColor="accent4" w:themeTint="99" w:sz="4"/>
        <w:right w:val="single" w:color="FFD966" w:themeColor="accent4" w:themeTint="99" w:sz="4"/>
        <w:top w:val="single" w:color="FFD966" w:themeColor="accent4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FFC000" w:themeFill="accent4" w:color="000000" w:val="clear"/>
        <w:tcBorders>
          <w:bottom w:val="single" w:color="FFC000" w:themeColor="accent4" w:sz="4"/>
          <w:insideH w:val="nil"/>
          <w:left w:val="single" w:color="FFC000" w:themeColor="accent4" w:sz="4"/>
          <w:right w:val="single" w:color="FFC000" w:themeColor="accent4" w:sz="4"/>
          <w:top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D966" w:themeColor="accent4" w:themeTint="99" w:sz="4"/>
        </w:tcBorders>
      </w:tcPr>
    </w:tblStylePr>
  </w:style>
  <w:style w:styleId="PO119" w:type="table">
    <w:name w:val="List Table 4 Accent 5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9DC3E6" w:themeColor="accent5" w:themeTint="99" w:sz="4"/>
        <w:insideH w:val="single" w:color="9DC3E6" w:themeColor="accent5" w:themeTint="99" w:sz="4"/>
        <w:left w:val="single" w:color="9DC3E6" w:themeColor="accent5" w:themeTint="99" w:sz="4"/>
        <w:right w:val="single" w:color="9DC3E6" w:themeColor="accent5" w:themeTint="99" w:sz="4"/>
        <w:top w:val="single" w:color="9DC3E6" w:themeColor="accent5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5B9BD5" w:themeFill="accent5" w:color="000000" w:val="clear"/>
        <w:tcBorders>
          <w:bottom w:val="single" w:color="5B9BD5" w:themeColor="accent5" w:sz="4"/>
          <w:insideH w:val="nil"/>
          <w:left w:val="single" w:color="5B9BD5" w:themeColor="accent5" w:sz="4"/>
          <w:right w:val="single" w:color="5B9BD5" w:themeColor="accent5" w:sz="4"/>
          <w:top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9DC3E6" w:themeColor="accent5" w:themeTint="99" w:sz="4"/>
        </w:tcBorders>
      </w:tcPr>
    </w:tblStylePr>
  </w:style>
  <w:style w:styleId="PO120" w:type="table">
    <w:name w:val="List Table 4 Accent 6"/>
    <w:basedOn w:val="PO3"/>
    <w:uiPriority w:val="49"/>
    <w:pPr>
      <w:spacing w:lineRule="auto" w:line="240" w:after="0"/>
      <w:rPr/>
    </w:pPr>
    <w:rPr>
      <w:shd w:val="clear" w:color="auto" w:fill="auto"/>
    </w:rPr>
    <w:tblPr>
      <w:tblBorders>
        <w:bottom w:val="single" w:color="A9D18E" w:themeColor="accent6" w:themeTint="99" w:sz="4"/>
        <w:insideH w:val="single" w:color="A9D18E" w:themeColor="accent6" w:themeTint="99" w:sz="4"/>
        <w:left w:val="single" w:color="A9D18E" w:themeColor="accent6" w:themeTint="99" w:sz="4"/>
        <w:right w:val="single" w:color="A9D18E" w:themeColor="accent6" w:themeTint="99" w:sz="4"/>
        <w:top w:val="single" w:color="A9D18E" w:themeColor="accent6" w:themeTint="99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color w:val="FFFFFF" w:themeColor="background1"/>
        <w:shd w:val="clear" w:color="auto" w:fill="auto"/>
      </w:rPr>
      <w:tcPr>
        <w:shd w:fill="70AD47" w:themeFill="accent6" w:color="000000" w:val="clear"/>
        <w:tcBorders>
          <w:bottom w:val="single" w:color="70AD47" w:themeColor="accent6" w:sz="4"/>
          <w:insideH w:val="nil"/>
          <w:left w:val="single" w:color="70AD47" w:themeColor="accent6" w:sz="4"/>
          <w:right w:val="single" w:color="70AD47" w:themeColor="accent6" w:sz="4"/>
          <w:top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9D18E" w:themeColor="accent6" w:themeTint="99" w:sz="4"/>
        </w:tcBorders>
      </w:tcPr>
    </w:tblStylePr>
  </w:style>
  <w:style w:styleId="PO121" w:type="table">
    <w:name w:val="List Table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000000" w:themeColor="text1" w:sz="24"/>
        <w:left w:val="single" w:color="000000" w:themeColor="text1" w:sz="24"/>
        <w:right w:val="single" w:color="000000" w:themeColor="text1" w:sz="24"/>
        <w:top w:val="single" w:color="000000" w:themeColor="tex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000000" w:themeFill="tex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2" w:type="table">
    <w:name w:val="List Table 5 Accent 1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4472C4" w:themeColor="accent1" w:sz="24"/>
        <w:left w:val="single" w:color="4472C4" w:themeColor="accent1" w:sz="24"/>
        <w:right w:val="single" w:color="4472C4" w:themeColor="accent1" w:sz="24"/>
        <w:top w:val="single" w:color="4472C4" w:themeColor="accent1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4472C4" w:themeFill="accent1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3" w:type="table">
    <w:name w:val="List Table 5 Accent 2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ED7D31" w:themeColor="accent2" w:sz="24"/>
        <w:left w:val="single" w:color="ED7D31" w:themeColor="accent2" w:sz="24"/>
        <w:right w:val="single" w:color="ED7D31" w:themeColor="accent2" w:sz="24"/>
        <w:top w:val="single" w:color="ED7D31" w:themeColor="accent2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ED7D31" w:themeFill="accent2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4" w:type="table">
    <w:name w:val="List Table 5 Accent 3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A5A5A5" w:themeColor="accent3" w:sz="24"/>
        <w:left w:val="single" w:color="A5A5A5" w:themeColor="accent3" w:sz="24"/>
        <w:right w:val="single" w:color="A5A5A5" w:themeColor="accent3" w:sz="24"/>
        <w:top w:val="single" w:color="A5A5A5" w:themeColor="accent3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A5A5A5" w:themeFill="accent3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5" w:type="table">
    <w:name w:val="List Table 5 Accent 4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FFC000" w:themeColor="accent4" w:sz="24"/>
        <w:left w:val="single" w:color="FFC000" w:themeColor="accent4" w:sz="24"/>
        <w:right w:val="single" w:color="FFC000" w:themeColor="accent4" w:sz="24"/>
        <w:top w:val="single" w:color="FFC000" w:themeColor="accent4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FFC000" w:themeFill="accent4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6" w:type="table">
    <w:name w:val="List Table 5 Accent 5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5B9BD5" w:themeColor="accent5" w:sz="24"/>
        <w:left w:val="single" w:color="5B9BD5" w:themeColor="accent5" w:sz="24"/>
        <w:right w:val="single" w:color="5B9BD5" w:themeColor="accent5" w:sz="24"/>
        <w:top w:val="single" w:color="5B9BD5" w:themeColor="accent5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5B9BD5" w:themeFill="accent5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7" w:type="table">
    <w:name w:val="List Table 5 Accent 6"/>
    <w:basedOn w:val="PO3"/>
    <w:pPr>
      <w:spacing w:lineRule="auto" w:line="240" w:after="0"/>
      <w:rPr/>
    </w:pPr>
    <w:rPr>
      <w:color w:val="FFFFFF" w:themeColor="background1"/>
      <w:shd w:val="clear" w:color="auto" w:fill="auto"/>
    </w:rPr>
    <w:tblPr>
      <w:tblBorders>
        <w:bottom w:val="single" w:color="70AD47" w:themeColor="accent6" w:sz="24"/>
        <w:left w:val="single" w:color="70AD47" w:themeColor="accent6" w:sz="24"/>
        <w:right w:val="single" w:color="70AD47" w:themeColor="accent6" w:sz="24"/>
        <w:top w:val="single" w:color="70AD47" w:themeColor="accent6" w:sz="2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fill="70AD47" w:themeFill="accent6" w:color="000000" w:val="clear"/>
    </w:tcPr>
    <w:tblStylePr w:type="band1Horz">
      <w:tcPr>
        <w:tcBorders>
          <w:bottom w:val="single" w:color="FFFFFF" w:themeColor="background1" w:sz="4"/>
          <w:top w:val="single" w:color="FFFFFF" w:themeColor="background1" w:sz="4"/>
        </w:tcBorders>
      </w:tcPr>
    </w:tblStylePr>
    <w:tblStylePr w:type="band1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band2Vert">
      <w:tcPr>
        <w:tcBorders>
          <w:left w:val="single" w:color="FFFFFF" w:themeColor="background1" w:sz="4"/>
          <w:right w:val="single" w:color="FFFFFF" w:themeColor="background1" w:sz="4"/>
        </w:tcBorders>
      </w:tcPr>
    </w:tblStylePr>
    <w:tblStylePr w:type="firstCol">
      <w:rPr>
        <w:b w:val="1"/>
        <w:shd w:val="clear" w:color="auto" w:fill="auto"/>
      </w:rPr>
      <w:tcPr>
        <w:tcBorders>
          <w:right w:val="single" w:color="FFFFFF" w:themeColor="background1" w:sz="4"/>
        </w:tcBorders>
      </w:tcPr>
    </w:tblStylePr>
    <w:tblStylePr w:type="firstRow">
      <w:rPr>
        <w:b w:val="1"/>
        <w:shd w:val="clear" w:color="auto" w:fill="auto"/>
      </w:rPr>
      <w:tcPr>
        <w:tcBorders>
          <w:bottom w:val="single" w:color="FFFFFF" w:themeColor="background1" w:sz="18"/>
        </w:tcBorders>
      </w:tcPr>
    </w:tblStylePr>
    <w:tblStylePr w:type="lastCol">
      <w:rPr>
        <w:b w:val="1"/>
        <w:shd w:val="clear" w:color="auto" w:fill="auto"/>
      </w:rPr>
      <w:tcPr>
        <w:tcBorders>
          <w:left w:val="single" w:color="FFFFFF" w:themeColor="background1" w:sz="4"/>
        </w:tcBorders>
      </w:tcPr>
    </w:tblStylePr>
    <w:tblStylePr w:type="lastRow">
      <w:rPr>
        <w:b w:val="1"/>
        <w:shd w:val="clear" w:color="auto" w:fill="auto"/>
      </w:rPr>
      <w:tcPr>
        <w:tcBorders>
          <w:top w:val="single" w:color="FFFFFF" w:themeColor="background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  <w:top w:val="nil"/>
        </w:tcBorders>
      </w:tcPr>
    </w:tblStylePr>
    <w:tblStylePr w:type="swCell">
      <w:tcPr>
        <w:tcBorders>
          <w:right w:val="nil"/>
          <w:top w:val="nil"/>
        </w:tcBorders>
      </w:tcPr>
    </w:tblStylePr>
  </w:style>
  <w:style w:styleId="PO128" w:type="table">
    <w:name w:val="List Table 6 Colorful"/>
    <w:basedOn w:val="PO3"/>
    <w:uiPriority w:val="51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Borders>
        <w:bottom w:val="single" w:color="000000" w:themeColor="text1" w:sz="4"/>
        <w:top w:val="single" w:color="000000" w:themeColor="tex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000000" w:themeColor="tex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000000" w:themeColor="text1" w:sz="4"/>
        </w:tcBorders>
      </w:tcPr>
    </w:tblStylePr>
  </w:style>
  <w:style w:styleId="PO129" w:type="table">
    <w:name w:val="List Table 6 Colorful Accent 1"/>
    <w:basedOn w:val="PO3"/>
    <w:uiPriority w:val="51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Borders>
        <w:bottom w:val="single" w:color="4472C4" w:themeColor="accent1" w:sz="4"/>
        <w:top w:val="single" w:color="4472C4" w:themeColor="accent1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4472C4" w:themeColor="accent1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4472C4" w:themeColor="accent1" w:sz="4"/>
        </w:tcBorders>
      </w:tcPr>
    </w:tblStylePr>
  </w:style>
  <w:style w:styleId="PO130" w:type="table">
    <w:name w:val="List Table 6 Colorful Accent 2"/>
    <w:basedOn w:val="PO3"/>
    <w:uiPriority w:val="51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Borders>
        <w:bottom w:val="single" w:color="ED7D31" w:themeColor="accent2" w:sz="4"/>
        <w:top w:val="single" w:color="ED7D31" w:themeColor="accent2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ED7D31" w:themeColor="accent2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ED7D31" w:themeColor="accent2" w:sz="4"/>
        </w:tcBorders>
      </w:tcPr>
    </w:tblStylePr>
  </w:style>
  <w:style w:styleId="PO131" w:type="table">
    <w:name w:val="List Table 6 Colorful Accent 3"/>
    <w:basedOn w:val="PO3"/>
    <w:uiPriority w:val="51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Borders>
        <w:bottom w:val="single" w:color="A5A5A5" w:themeColor="accent3" w:sz="4"/>
        <w:top w:val="single" w:color="A5A5A5" w:themeColor="accent3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A5A5A5" w:themeColor="accent3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A5A5A5" w:themeColor="accent3" w:sz="4"/>
        </w:tcBorders>
      </w:tcPr>
    </w:tblStylePr>
  </w:style>
  <w:style w:styleId="PO132" w:type="table">
    <w:name w:val="List Table 6 Colorful Accent 4"/>
    <w:basedOn w:val="PO3"/>
    <w:uiPriority w:val="51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Borders>
        <w:bottom w:val="single" w:color="FFC000" w:themeColor="accent4" w:sz="4"/>
        <w:top w:val="single" w:color="FFC000" w:themeColor="accent4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FFC000" w:themeColor="accent4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FFC000" w:themeColor="accent4" w:sz="4"/>
        </w:tcBorders>
      </w:tcPr>
    </w:tblStylePr>
  </w:style>
  <w:style w:styleId="PO133" w:type="table">
    <w:name w:val="List Table 6 Colorful Accent 5"/>
    <w:basedOn w:val="PO3"/>
    <w:uiPriority w:val="51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Borders>
        <w:bottom w:val="single" w:color="5B9BD5" w:themeColor="accent5" w:sz="4"/>
        <w:top w:val="single" w:color="5B9BD5" w:themeColor="accent5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5B9BD5" w:themeColor="accent5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5B9BD5" w:themeColor="accent5" w:sz="4"/>
        </w:tcBorders>
      </w:tcPr>
    </w:tblStylePr>
  </w:style>
  <w:style w:styleId="PO134" w:type="table">
    <w:name w:val="List Table 6 Colorful Accent 6"/>
    <w:basedOn w:val="PO3"/>
    <w:uiPriority w:val="51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Borders>
        <w:bottom w:val="single" w:color="70AD47" w:themeColor="accent6" w:sz="4"/>
        <w:top w:val="single" w:color="70AD47" w:themeColor="accent6" w:sz="4"/>
      </w:tblBorders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rPr>
        <w:b w:val="1"/>
        <w:shd w:val="clear" w:color="auto" w:fill="auto"/>
      </w:rPr>
    </w:tblStylePr>
    <w:tblStylePr w:type="firstRow">
      <w:rPr>
        <w:b w:val="1"/>
        <w:shd w:val="clear" w:color="auto" w:fill="auto"/>
      </w:rPr>
      <w:tcPr>
        <w:tcBorders>
          <w:bottom w:val="single" w:color="70AD47" w:themeColor="accent6" w:sz="4"/>
        </w:tcBorders>
      </w:tcPr>
    </w:tblStylePr>
    <w:tblStylePr w:type="lastCol">
      <w:rPr>
        <w:b w:val="1"/>
        <w:shd w:val="clear" w:color="auto" w:fill="auto"/>
      </w:rPr>
    </w:tblStylePr>
    <w:tblStylePr w:type="lastRow">
      <w:rPr>
        <w:b w:val="1"/>
        <w:shd w:val="clear" w:color="auto" w:fill="auto"/>
      </w:rPr>
      <w:tcPr>
        <w:tcBorders>
          <w:top w:val="double" w:color="70AD47" w:themeColor="accent6" w:sz="4"/>
        </w:tcBorders>
      </w:tcPr>
    </w:tblStylePr>
  </w:style>
  <w:style w:styleId="PO135" w:type="table">
    <w:name w:val="List Table 7 Colorful"/>
    <w:basedOn w:val="PO3"/>
    <w:uiPriority w:val="52"/>
    <w:pPr>
      <w:spacing w:lineRule="auto" w:line="240" w:after="0"/>
      <w:rPr/>
    </w:pPr>
    <w:rPr>
      <w:color w:val="000000" w:themeColor="tex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CCCCCC" w:themeFill="text1" w:themeFillTint="33" w:color="000000" w:val="clear"/>
      </w:tcPr>
    </w:tblStylePr>
    <w:tblStylePr w:type="band1Vert">
      <w:tcPr>
        <w:shd w:fill="CCCCCC" w:themeFill="tex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000000" w:themeColor="tex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000000" w:themeColor="tex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000000" w:themeColor="tex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000000" w:themeColor="tex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6" w:type="table">
    <w:name w:val="List Table 7 Colorful Accent 1"/>
    <w:basedOn w:val="PO3"/>
    <w:uiPriority w:val="52"/>
    <w:pPr>
      <w:spacing w:lineRule="auto" w:line="240" w:after="0"/>
      <w:rPr/>
    </w:pPr>
    <w:rPr>
      <w:color w:val="2F5395" w:themeColor="accent1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AE3F3" w:themeFill="accent1" w:themeFillTint="33" w:color="000000" w:val="clear"/>
      </w:tcPr>
    </w:tblStylePr>
    <w:tblStylePr w:type="band1Vert">
      <w:tcPr>
        <w:shd w:fill="DAE3F3" w:themeFill="accent1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4472C4" w:themeColor="accent1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4472C4" w:themeColor="accent1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4472C4" w:themeColor="accent1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4472C4" w:themeColor="accent1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7" w:type="table">
    <w:name w:val="List Table 7 Colorful Accent 2"/>
    <w:basedOn w:val="PO3"/>
    <w:uiPriority w:val="52"/>
    <w:pPr>
      <w:spacing w:lineRule="auto" w:line="240" w:after="0"/>
      <w:rPr/>
    </w:pPr>
    <w:rPr>
      <w:color w:val="C35911" w:themeColor="accent2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BE5D6" w:themeFill="accent2" w:themeFillTint="33" w:color="000000" w:val="clear"/>
      </w:tcPr>
    </w:tblStylePr>
    <w:tblStylePr w:type="band1Vert">
      <w:tcPr>
        <w:shd w:fill="FBE5D6" w:themeFill="accent2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ED7D31" w:themeColor="accent2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ED7D31" w:themeColor="accent2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ED7D31" w:themeColor="accent2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ED7D31" w:themeColor="accent2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8" w:type="table">
    <w:name w:val="List Table 7 Colorful Accent 3"/>
    <w:basedOn w:val="PO3"/>
    <w:uiPriority w:val="52"/>
    <w:pPr>
      <w:spacing w:lineRule="auto" w:line="240" w:after="0"/>
      <w:rPr/>
    </w:pPr>
    <w:rPr>
      <w:color w:val="7A7A7A" w:themeColor="accent3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DEDED" w:themeFill="accent3" w:themeFillTint="33" w:color="000000" w:val="clear"/>
      </w:tcPr>
    </w:tblStylePr>
    <w:tblStylePr w:type="band1Vert">
      <w:tcPr>
        <w:shd w:fill="EDEDED" w:themeFill="accent3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A5A5A5" w:themeColor="accent3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A5A5A5" w:themeColor="accent3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A5A5A5" w:themeColor="accent3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A5A5A5" w:themeColor="accent3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39" w:type="table">
    <w:name w:val="List Table 7 Colorful Accent 4"/>
    <w:basedOn w:val="PO3"/>
    <w:uiPriority w:val="52"/>
    <w:pPr>
      <w:spacing w:lineRule="auto" w:line="240" w:after="0"/>
      <w:rPr/>
    </w:pPr>
    <w:rPr>
      <w:color w:val="BE8F00" w:themeColor="accent4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FFF2CC" w:themeFill="accent4" w:themeFillTint="33" w:color="000000" w:val="clear"/>
      </w:tcPr>
    </w:tblStylePr>
    <w:tblStylePr w:type="band1Vert">
      <w:tcPr>
        <w:shd w:fill="FFF2CC" w:themeFill="accent4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FFC000" w:themeColor="accent4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FFC000" w:themeColor="accent4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FFC000" w:themeColor="accent4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FFC000" w:themeColor="accent4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0" w:type="table">
    <w:name w:val="List Table 7 Colorful Accent 5"/>
    <w:basedOn w:val="PO3"/>
    <w:uiPriority w:val="52"/>
    <w:pPr>
      <w:spacing w:lineRule="auto" w:line="240" w:after="0"/>
      <w:rPr/>
    </w:pPr>
    <w:rPr>
      <w:color w:val="2E74B4" w:themeColor="accent5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DEEBF7" w:themeFill="accent5" w:themeFillTint="33" w:color="000000" w:val="clear"/>
      </w:tcPr>
    </w:tblStylePr>
    <w:tblStylePr w:type="band1Vert">
      <w:tcPr>
        <w:shd w:fill="DEEBF7" w:themeFill="accent5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5B9BD5" w:themeColor="accent5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5B9BD5" w:themeColor="accent5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5B9BD5" w:themeColor="accent5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5B9BD5" w:themeColor="accent5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styleId="PO141" w:type="table">
    <w:name w:val="List Table 7 Colorful Accent 6"/>
    <w:basedOn w:val="PO3"/>
    <w:uiPriority w:val="52"/>
    <w:pPr>
      <w:spacing w:lineRule="auto" w:line="240" w:after="0"/>
      <w:rPr/>
    </w:pPr>
    <w:rPr>
      <w:color w:val="538034" w:themeColor="accent6" w:themeShade="BE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blStylePr w:type="band1Horz">
      <w:tcPr>
        <w:shd w:fill="E2F0D9" w:themeFill="accent6" w:themeFillTint="33" w:color="000000" w:val="clear"/>
      </w:tcPr>
    </w:tblStylePr>
    <w:tblStylePr w:type="band1Vert">
      <w:tcPr>
        <w:shd w:fill="E2F0D9" w:themeFill="accent6" w:themeFillTint="33" w:color="000000" w:val="clear"/>
      </w:tcPr>
    </w:tblStylePr>
    <w:tblStylePr w:type="firstCol">
      <w:pPr>
        <w:jc w:val="right"/>
        <w:rPr/>
      </w:pPr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right w:val="single" w:color="70AD47" w:themeColor="accent6" w:sz="4"/>
        </w:tcBorders>
      </w:tcPr>
    </w:tblStylePr>
    <w:tblStylePr w:type="firstRow">
      <w:rPr>
        <w:i w:val="1"/>
        <w:sz w:val="26"/>
        <w:szCs w:val="26"/>
        <w:shd w:val="clear" w:color="auto" w:fill="auto"/>
      </w:rPr>
      <w:tblPr/>
      <w:tcPr>
        <w:shd w:fill="FFFFFF" w:themeFill="background1" w:color="000000" w:val="clear"/>
        <w:tcBorders>
          <w:bottom w:val="single" w:color="70AD47" w:themeColor="accent6" w:sz="4"/>
        </w:tcBorders>
      </w:tcPr>
    </w:tblStylePr>
    <w:tblStylePr w:type="lastCol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left w:val="single" w:color="70AD47" w:themeColor="accent6" w:sz="4"/>
        </w:tcBorders>
      </w:tcPr>
    </w:tblStylePr>
    <w:tblStylePr w:type="lastRow">
      <w:rPr>
        <w:i w:val="1"/>
        <w:sz w:val="26"/>
        <w:szCs w:val="26"/>
        <w:shd w:val="clear" w:color="auto" w:fill="auto"/>
      </w:rPr>
      <w:tcPr>
        <w:shd w:fill="FFFFFF" w:themeFill="background1" w:color="000000" w:val="clear"/>
        <w:tcBorders>
          <w:top w:val="single" w:color="70AD47" w:themeColor="accent6" w:sz="4"/>
        </w:tcBorders>
      </w:tcPr>
    </w:tblStylePr>
    <w:tblStylePr w:type="neCell">
      <w:tcPr>
        <w:tcBorders>
          <w:left w:val="nil"/>
        </w:tcBorders>
      </w:tcPr>
    </w:tblStylePr>
    <w:tblStylePr w:type="nwCell">
      <w:tcPr>
        <w:tcBorders>
          <w:right w:val="nil"/>
        </w:tcBorders>
      </w:tcPr>
    </w:tblStylePr>
    <w:tblStylePr w:type="seCell">
      <w:tcPr>
        <w:tcBorders>
          <w:left w:val="nil"/>
        </w:tcBorders>
      </w:tcPr>
    </w:tblStylePr>
    <w:tblStylePr w:type="swCell">
      <w:tcPr>
        <w:tcBorders>
          <w:right w:val="nil"/>
        </w:tcBorders>
      </w:tcPr>
    </w:tblStylePr>
  </w:style>
  <w:style w:customStyle="1" w:styleId="PO142" w:type="table">
    <w:name w:val="Calendar1"/>
    <w:basedOn w:val="PO3"/>
    <w:pPr>
      <w:jc w:val="left"/>
      <w:spacing w:lineRule="auto" w:line="240" w:after="0"/>
      <w:rPr/>
    </w:pPr>
    <w:rPr>
      <w:sz w:val="22"/>
      <w:szCs w:val="22"/>
      <w:shd w:val="clear" w:color="auto" w:fill="auto"/>
    </w:rPr>
    <w:tblPr>
      <w:tblCellMar>
        <w:bottom w:type="dxa" w:w="0"/>
        <w:left w:type="dxa" w:w="108"/>
        <w:right w:type="dxa" w:w="108"/>
        <w:top w:type="dxa" w:w="0"/>
      </w:tblCellMar>
      <w:tblInd w:type="dxa" w:w="0"/>
      <w:tblStyleColBandSize w:val="1"/>
      <w:tblStyleRowBandSize w:val="1"/>
    </w:tblPr>
    <w:tcPr>
      <w:shd w:val="nil"/>
    </w:tcPr>
    <w:tblStylePr w:type="band1Horz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  <w:tblStylePr w:type="band2Horz">
      <w:tcPr>
        <w:shd w:val="nil"/>
        <w:tcBorders>
          <w:bottom w:val="single" w:color="000000" w:themeColor="text1" w:sz="24"/>
          <w:insideH w:val="nil"/>
          <w:insideV w:val="nil"/>
          <w:left w:val="nil"/>
          <w:right w:val="nil"/>
          <w:top w:val="single" w:color="000000" w:themeColor="text1" w:sz="24"/>
          <w:tl2br w:val="nil"/>
          <w:tr2bl w:val="nil"/>
        </w:tcBorders>
      </w:tcPr>
    </w:tblStylePr>
    <w:tblStylePr w:type="firstRow">
      <w:pPr>
        <w:spacing w:lineRule="auto" w:line="259"/>
        <w:rPr/>
      </w:pPr>
      <w:rPr>
        <w:i w:val="0"/>
        <w:b w:val="1"/>
        <w:color w:val="auto"/>
        <w:sz w:val="44"/>
        <w:szCs w:val="44"/>
        <w:shd w:val="clear" w:color="auto" w:fill="auto"/>
      </w:rPr>
      <w:tcPr>
        <w:vAlign w:val="bottom"/>
      </w:tcPr>
    </w:tblStylePr>
    <w:tblStylePr w:type="lastRow">
      <w:tcPr>
        <w:shd w:val="nil"/>
        <w:tcBorders>
          <w:bottom w:val="nil"/>
          <w:insideH w:val="nil"/>
          <w:insideV w:val="nil"/>
          <w:left w:val="nil"/>
          <w:right w:val="nil"/>
          <w:top w:val="nil"/>
          <w:tl2br w:val="nil"/>
          <w:tr2bl w:val="nil"/>
        </w:tcBorders>
      </w:tcPr>
    </w:tblStylePr>
  </w:style>
  <w:style w:styleId="PO151" w:type="paragraph">
    <w:name w:val="header"/>
    <w:basedOn w:val="PO1"/>
    <w:link w:val="PO152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2" w:type="character">
    <w:name w:val="머리글 Char"/>
    <w:basedOn w:val="PO2"/>
    <w:link w:val="PO151"/>
    <w:uiPriority w:val="99"/>
  </w:style>
  <w:style w:styleId="PO153" w:type="paragraph">
    <w:name w:val="footer"/>
    <w:basedOn w:val="PO1"/>
    <w:link w:val="PO154"/>
    <w:uiPriority w:val="99"/>
    <w:unhideWhenUsed/>
    <w:pPr>
      <w:tabs>
        <w:tab w:val="center" w:pos="4513"/>
        <w:tab w:val="right" w:pos="9026"/>
      </w:tabs>
      <w:rPr/>
      <w:snapToGrid w:val="off"/>
    </w:pPr>
    <w:rPr>
      <w:shd w:val="clear" w:color="auto" w:fill="auto"/>
    </w:rPr>
  </w:style>
  <w:style w:customStyle="1" w:styleId="PO154" w:type="character">
    <w:name w:val="바닥글 Char"/>
    <w:basedOn w:val="PO2"/>
    <w:link w:val="PO153"/>
    <w:uiPriority w:val="99"/>
  </w:style>
  <w:style w:customStyle="1" w:styleId="PO155" w:type="paragraph">
    <w:name w:val="바탕글"/>
    <w:basedOn w:val="PO1"/>
    <w:pPr>
      <w:spacing w:lineRule="auto" w:line="384" w:after="0"/>
      <w:rPr/>
    </w:pPr>
    <w:rPr>
      <w:color w:val="000000"/>
      <w:shd w:val="clear" w:color="auto" w:fill="auto"/>
      <w:rFonts w:ascii="한양신명조" w:eastAsia="굴림" w:hAnsi="굴림" w:cs="굴림"/>
    </w:rPr>
  </w:style>
  <w:style w:styleId="PO156" w:type="paragraph">
    <w:name w:val="Body Text"/>
    <w:basedOn w:val="PO1"/>
    <w:link w:val="PO157"/>
    <w:uiPriority w:val="99"/>
    <w:unhideWhenUsed/>
    <w:pPr>
      <w:spacing w:lineRule="auto" w:line="395" w:before="84" w:after="84"/>
      <w:ind w:left="350" w:right="350" w:firstLine="0"/>
      <w:rPr/>
      <w:snapToGrid w:val="off"/>
    </w:pPr>
    <w:rPr>
      <w:color w:val="000000"/>
      <w:shd w:val="clear" w:color="auto" w:fill="auto"/>
      <w:rFonts w:ascii="한양신명조" w:eastAsia="굴림" w:hAnsi="굴림" w:cs="굴림"/>
    </w:rPr>
  </w:style>
  <w:style w:customStyle="1" w:styleId="PO157" w:type="character">
    <w:name w:val="본문 Char"/>
    <w:basedOn w:val="PO2"/>
    <w:link w:val="PO156"/>
    <w:uiPriority w:val="99"/>
    <w:rPr>
      <w:color w:val="000000"/>
      <w:shd w:val="clear" w:color="auto" w:fill="auto"/>
      <w:rFonts w:ascii="한양신명조" w:eastAsia="굴림" w:hAnsi="굴림" w:cs="굴림"/>
    </w:rPr>
  </w:style>
  <w:style w:styleId="PO158" w:type="paragraph">
    <w:name w:val="footnote text"/>
    <w:basedOn w:val="PO1"/>
    <w:link w:val="PO159"/>
    <w:uiPriority w:val="99"/>
    <w:semiHidden/>
    <w:unhideWhenUsed/>
    <w:pPr>
      <w:jc w:val="left"/>
      <w:rPr/>
      <w:snapToGrid w:val="off"/>
    </w:pPr>
    <w:rPr>
      <w:shd w:val="clear" w:color="auto" w:fill="auto"/>
    </w:rPr>
  </w:style>
  <w:style w:customStyle="1" w:styleId="PO159" w:type="character">
    <w:name w:val="각주 텍스트 Char"/>
    <w:basedOn w:val="PO2"/>
    <w:link w:val="PO158"/>
    <w:uiPriority w:val="99"/>
    <w:semiHidden/>
  </w:style>
  <w:style w:styleId="PO160" w:type="character">
    <w:name w:val="footnote reference"/>
    <w:basedOn w:val="PO2"/>
    <w:uiPriority w:val="99"/>
    <w:semiHidden/>
    <w:unhideWhenUsed/>
    <w:rPr>
      <w:vertAlign w:val="superscript"/>
      <w:shd w:val="clear" w:color="auto" w:fill="auto"/>
    </w:rPr>
  </w:style>
  <w:style w:styleId="PO161" w:type="paragraph">
    <w:name w:val="Balloon Text"/>
    <w:basedOn w:val="PO1"/>
    <w:link w:val="PO162"/>
    <w:uiPriority w:val="99"/>
    <w:semiHidden/>
    <w:unhideWhenUsed/>
    <w:pPr>
      <w:spacing w:lineRule="auto" w:line="240" w:after="0"/>
      <w:rPr/>
    </w:pPr>
    <w:rPr>
      <w:sz w:val="18"/>
      <w:szCs w:val="18"/>
      <w:shd w:val="clear" w:color="auto" w:fill="auto"/>
      <w:rFonts w:asciiTheme="majorHAnsi" w:eastAsiaTheme="majorEastAsia" w:hAnsiTheme="majorHAnsi" w:cstheme="majorBidi"/>
    </w:rPr>
  </w:style>
  <w:style w:customStyle="1" w:styleId="PO162" w:type="character">
    <w:name w:val="풍선 도움말 텍스트 Char"/>
    <w:basedOn w:val="PO2"/>
    <w:link w:val="PO161"/>
    <w:uiPriority w:val="99"/>
    <w:semiHidden/>
    <w:rPr>
      <w:sz w:val="18"/>
      <w:szCs w:val="18"/>
      <w:shd w:val="clear" w:color="auto" w:fill="auto"/>
      <w:rFonts w:asciiTheme="majorHAnsi" w:eastAsiaTheme="majorEastAsia" w:hAnsiTheme="majorHAnsi" w:cstheme="majorBidi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?>
<Relationships xmlns="http://schemas.openxmlformats.org/package/2006/relationships"><Relationship Id="rId1" Type="http://schemas.openxmlformats.org/officeDocument/2006/relationships/settings" Target="settings.xml"></Relationship><Relationship Id="rId2" Type="http://schemas.openxmlformats.org/officeDocument/2006/relationships/styles" Target="styles.xml"></Relationship><Relationship Id="rId3" Type="http://schemas.openxmlformats.org/officeDocument/2006/relationships/webSettings" Target="webSettings.xml"></Relationship><Relationship Id="rId4" Type="http://schemas.openxmlformats.org/officeDocument/2006/relationships/fontTable" Target="fontTable.xml"></Relationship><Relationship Id="rId5" Type="http://schemas.openxmlformats.org/officeDocument/2006/relationships/image" Target="media/fImage3589938102041.png"></Relationship><Relationship Id="rId6" Type="http://schemas.openxmlformats.org/officeDocument/2006/relationships/image" Target="media/fImage355180111098467.png"></Relationship><Relationship Id="rId7" Type="http://schemas.openxmlformats.org/officeDocument/2006/relationships/image" Target="media/fImage355004013176334.png"></Relationship><Relationship Id="rId8" Type="http://schemas.openxmlformats.org/officeDocument/2006/relationships/image" Target="media/fImage355152712286500.png"></Relationship><Relationship Id="rId9" Type="http://schemas.openxmlformats.org/officeDocument/2006/relationships/image" Target="media/fImage37886113559169.png"></Relationship><Relationship Id="rId10" Type="http://schemas.openxmlformats.org/officeDocument/2006/relationships/image" Target="media/fImage36471013665724.png"></Relationship><Relationship Id="rId11" Type="http://schemas.openxmlformats.org/officeDocument/2006/relationships/image" Target="media/fImage19491013801478.png"></Relationship><Relationship Id="rId12" Type="http://schemas.openxmlformats.org/officeDocument/2006/relationships/image" Target="media/fImage35984213829358.png"></Relationship><Relationship Id="rId13" Type="http://schemas.openxmlformats.org/officeDocument/2006/relationships/image" Target="media/fImage56505413856962.png"></Relationship><Relationship Id="rId14" Type="http://schemas.openxmlformats.org/officeDocument/2006/relationships/image" Target="media/fImage34762614024464.png"></Relationship><Relationship Id="rId15" Type="http://schemas.openxmlformats.org/officeDocument/2006/relationships/image" Target="media/fImage35119314055705.png"></Relationship><Relationship Id="rId16" Type="http://schemas.openxmlformats.org/officeDocument/2006/relationships/image" Target="media/fImage37531614088145.png"></Relationship><Relationship Id="rId17" Type="http://schemas.openxmlformats.org/officeDocument/2006/relationships/header" Target="header2.xml"></Relationship><Relationship Id="rId18" Type="http://schemas.openxmlformats.org/officeDocument/2006/relationships/footer" Target="footer3.xml"></Relationship><Relationship Id="rId19" Type="http://schemas.openxmlformats.org/officeDocument/2006/relationships/numbering" Target="numbering.xml"></Relationship><Relationship Id="rId20" Type="http://schemas.openxmlformats.org/officeDocument/2006/relationships/theme" Target="theme/theme1.xml"></Relationship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Polaris Office Word</Application>
  <AppVersion>12.000</AppVersion>
  <Characters>0</Characters>
  <CharactersWithSpaces>0</CharactersWithSpaces>
  <DocSecurity>0</DocSecurity>
  <HyperlinksChanged>false</HyperlinksChanged>
  <Lines>71</Lines>
  <LinksUpToDate>false</LinksUpToDate>
  <Pages>39</Pages>
  <Paragraphs>20</Paragraphs>
  <Words>1511</Words>
  <TotalTime>0</TotalTime>
  <MMClips>0</MMClip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 text</vt:lpstr>
    </vt:vector>
  </TitlesOfParts>
  <SharedDoc>false</SharedDoc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revision>3</cp:revision>
  <dc:creator>이청빈</dc:creator>
  <cp:lastModifiedBy>wachu</cp:lastModifiedBy>
  <dc:title>대전시 공공 대기질 자료를 활용한 1시간 뒤 미세먼지 예측 성능 평가와 공간 취약성 진단</dc:title>
  <cp:version>10.115.234.56530</cp:version>
  <dcterms:modified xsi:type="dcterms:W3CDTF">2025-12-02T00:00:00Z</dcterms:modified>
</cp:coreProperties>
</file>