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footerReference r:id="rId6" w:type="default"/>
    </w:sectPr>
    <w:p>
      <w:pPr>
        <w:spacing w:lineRule="auto"/>
      </w:pPr>
      <w:r>
        <w:rPr/>
        <w:t xml:space="preserve">Albert Camus famously declared that the fundamental question of philosophy is whether life is worth living. For Camus, this question arises from the confrontation between human beings—who crave meaning, order, and purpose—and a universe that appears indifferent to these desires.</w:t>
      </w:r>
    </w:p>
    <w:p>
      <w:pPr>
        <w:spacing w:lineRule="auto"/>
      </w:pPr>
      <w:r>
        <w:rPr/>
        <w:t xml:space="preserve">This tension is what Camus calls "the Absurd." We are meaning-seeking creatures in a meaningless cosmos. The realization of this mismatch could lead to nihilistic despair. Yet Camus argues that we must imagine Sisyphus happy.</w:t>
      </w:r>
    </w:p>
    <w:p>
      <w:pPr>
        <w:spacing w:lineRule="auto"/>
      </w:pPr>
      <w:r>
        <w:rPr/>
        <w:t xml:space="preserve">The myth of Sisyphus, condemned to eternally push a boulder uphill only to watch it roll back down, serves as Camus's central metaphor. Like Sisyphus, we face repetitive struggles that seem to lead nowhere. But meaning, Camus suggests, is not found in transcendent purposes—it is created through our defiant engagement with existence itself.</w:t>
      </w:r>
      <w:r>
        <w:rPr>
          <w:vertAlign w:val="superscript"/>
        </w:rPr>
        <w:t xml:space="preserve">2</w:t>
      </w:r>
    </w:p>
    <w:p>
      <w:pPr>
        <w:spacing w:lineRule="auto"/>
      </w:pPr>
      <w:r>
        <w:rPr/>
        <w:t xml:space="preserve">This perspective rejects both the escapism of suicide and the false hope of religious or metaphysical consolation. Instead, it calls for lucid awareness of our situation combined with passionate involvement in life. We must embrace the struggle itself.</w:t>
      </w:r>
    </w:p>
    <w:p>
      <w:pPr>
        <w:spacing w:lineRule="auto"/>
      </w:pPr>
      <w:r>
        <w:rPr/>
        <w:t xml:space="preserve">Contemporary existentialists have extended Camus's framework, arguing that meaning-making is an active, creative process. We are not passive recipients of cosmic meaning but active authors of our own significance through the projects we choose and the commitments we maintain.</w:t>
      </w:r>
      <w:r>
        <w:rPr>
          <w:vertAlign w:val="superscript"/>
        </w:rPr>
        <w:t xml:space="preserve">3</w:t>
      </w:r>
    </w:p>
    <w:p>
      <w:pPr>
        <w:spacing w:lineRule="auto"/>
      </w:pPr>
      <w:r>
        <w:rPr/>
        <w:t xml:space="preserve">The question then becomes not "Why is there meaning?" but "How shall we create meaning?" This shift transforms the problem of absurdity from a metaphysical crisis into an ethical opportunity.</w:t>
      </w:r>
    </w:p>
    <w:p>
      <w:pPr>
        <w:spacing w:lineRule="auto"/>
      </w:pPr>
      <w:r>
        <w:rPr/>
      </w:r>
    </w:p>
    <w:p>
      <w:pPr>
        <w:spacing w:lineRule="auto"/>
      </w:pPr>
      <w:r>
        <w:rPr>
          <w:vertAlign w:val="superscript"/>
        </w:rPr>
        <w:t xml:space="preserve">1</w:t>
      </w:r>
      <w:r>
        <w:rPr/>
        <w:t xml:space="preserve"> Camus, A. (1955). The Myth of Sisyphus. New York: Vintage Books.</w:t>
      </w:r>
    </w:p>
    <w:p>
      <w:pPr>
        <w:spacing w:lineRule="auto"/>
      </w:pPr>
      <w:r>
        <w:rPr>
          <w:vertAlign w:val="superscript"/>
        </w:rPr>
        <w:t xml:space="preserve">2</w:t>
      </w:r>
      <w:r>
        <w:rPr/>
        <w:t xml:space="preserve"> Nagel, T. (1971). "The Absurd." The Journal of Philosophy, 68(20), 716-727.</w:t>
      </w:r>
    </w:p>
    <w:p>
      <w:pPr>
        <w:spacing w:lineRule="auto"/>
      </w:pPr>
      <w:r>
        <w:rPr>
          <w:vertAlign w:val="superscript"/>
        </w:rPr>
        <w:t xml:space="preserve">3</w:t>
      </w:r>
      <w:r>
        <w:rPr/>
        <w:t xml:space="preserve"> Sartre, J. P. (1946). Existentialism Is a Humanism. Paris: Éditions Nagel.</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footer" Target="footer1.xml" TargetMode="Internal"/>
  <Relationship Id="rId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2026-01-07T06:49:05.485Z</dcterms:created>
  <dcterms:modified xsi:type="dcterms:W3CDTF">2026-01-07T06:49:05.485Z</dcterms:modified>
</cp:coreProperties>
</file>