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Quicksand" w:hAnsi="Quicksand" w:cs="Quicksand" w:eastAsia="Noto Sans TC"/>
          <w:b/>
          <w:color w:val="080808"/>
          <w:sz w:val="44"/>
        </w:rPr>
        <w:t>Deepfake response game: pause, check, report (S1-S3)</w:t>
      </w:r>
    </w:p>
    <w:p>
      <w:r>
        <w:rPr>
          <w:rFonts w:ascii="Quicksand" w:hAnsi="Quicksand" w:cs="Quicksand" w:eastAsia="Noto Sans TC"/>
          <w:color w:val="E10707"/>
          <w:sz w:val="18"/>
        </w:rPr>
        <w:t>──────────────────────────────────────────────</w:t>
      </w:r>
    </w:p>
    <w:p>
      <w:pPr>
        <w:spacing w:before="240" w:after="80"/>
      </w:pPr>
      <w:r>
        <w:rPr>
          <w:rFonts w:ascii="Quicksand" w:hAnsi="Quicksand" w:cs="Quicksand" w:eastAsia="Noto Sans TC"/>
          <w:b/>
          <w:color w:val="E10707"/>
          <w:sz w:val="28"/>
        </w:rPr>
        <w:t>Equipment</w:t>
      </w:r>
    </w:p>
    <w:p>
      <w:r>
        <w:rPr>
          <w:rFonts w:ascii="Quicksand" w:hAnsi="Quicksand" w:cs="Quicksand" w:eastAsia="Noto Sans TC"/>
          <w:b w:val="0"/>
          <w:color w:val="080808"/>
          <w:sz w:val="21"/>
        </w:rPr>
        <w:t>□ Projector (to play or show the scenario)</w:t>
      </w:r>
    </w:p>
    <w:p>
      <w:r>
        <w:rPr>
          <w:rFonts w:ascii="Quicksand" w:hAnsi="Quicksand" w:cs="Quicksand" w:eastAsia="Noto Sans TC"/>
          <w:b w:val="0"/>
          <w:color w:val="080808"/>
          <w:sz w:val="21"/>
        </w:rPr>
        <w:t>□ One set of decision cards per group (photocopy the cards below and cut them out)</w:t>
      </w:r>
    </w:p>
    <w:p>
      <w:r>
        <w:rPr>
          <w:rFonts w:ascii="Quicksand" w:hAnsi="Quicksand" w:cs="Quicksand" w:eastAsia="Noto Sans TC"/>
          <w:b w:val="0"/>
          <w:color w:val="080808"/>
          <w:sz w:val="21"/>
        </w:rPr>
        <w:t>□ Whiteboard or interactive board (for the chant)</w:t>
      </w:r>
    </w:p>
    <w:p>
      <w:pPr>
        <w:spacing w:before="240" w:after="80"/>
      </w:pPr>
      <w:r>
        <w:rPr>
          <w:rFonts w:ascii="Quicksand" w:hAnsi="Quicksand" w:cs="Quicksand" w:eastAsia="Noto Sans TC"/>
          <w:b/>
          <w:color w:val="E10707"/>
          <w:sz w:val="28"/>
        </w:rPr>
        <w:t>How to play</w:t>
      </w:r>
    </w:p>
    <w:p>
      <w:pPr>
        <w:pStyle w:val="ListBullet"/>
      </w:pPr>
      <w:r>
        <w:rPr>
          <w:rFonts w:ascii="Quicksand" w:hAnsi="Quicksand" w:cs="Quicksand" w:eastAsia="Noto Sans TC"/>
          <w:sz w:val="21"/>
        </w:rPr>
        <w:t>Play or read out the "scenario" (project the text below, or play a roughly 20-second voice note or clip that claims to be from the school office).</w:t>
      </w:r>
    </w:p>
    <w:p>
      <w:pPr>
        <w:pStyle w:val="ListBullet"/>
      </w:pPr>
      <w:r>
        <w:rPr>
          <w:rFonts w:ascii="Quicksand" w:hAnsi="Quicksand" w:cs="Quicksand" w:eastAsia="Noto Sans TC"/>
          <w:sz w:val="21"/>
        </w:rPr>
        <w:t>Give each group a set of five decision cards.</w:t>
      </w:r>
    </w:p>
    <w:p>
      <w:pPr>
        <w:pStyle w:val="ListBullet"/>
      </w:pPr>
      <w:r>
        <w:rPr>
          <w:rFonts w:ascii="Quicksand" w:hAnsi="Quicksand" w:cs="Quicksand" w:eastAsia="Noto Sans TC"/>
          <w:sz w:val="21"/>
        </w:rPr>
        <w:t>Put the things you *should* do in order; set the things you *should not* do aside and write down why.</w:t>
      </w:r>
    </w:p>
    <w:p>
      <w:pPr>
        <w:pStyle w:val="ListBullet"/>
      </w:pPr>
      <w:r>
        <w:rPr>
          <w:rFonts w:ascii="Quicksand" w:hAnsi="Quicksand" w:cs="Quicksand" w:eastAsia="Noto Sans TC"/>
          <w:sz w:val="21"/>
        </w:rPr>
        <w:t>Check the answers as a class (see the last page), then hear the teacher's debrief.</w:t>
      </w:r>
    </w:p>
    <w:p>
      <w:pPr>
        <w:spacing w:before="240" w:after="80"/>
      </w:pPr>
      <w:r>
        <w:rPr>
          <w:rFonts w:ascii="Quicksand" w:hAnsi="Quicksand" w:cs="Quicksand" w:eastAsia="Noto Sans TC"/>
          <w:b/>
          <w:color w:val="E10707"/>
          <w:sz w:val="28"/>
        </w:rPr>
        <w:t>Scenario (to project)</w:t>
      </w:r>
    </w:p>
    <w:p>
      <w:r>
        <w:rPr>
          <w:rFonts w:ascii="Quicksand" w:hAnsi="Quicksand" w:cs="Quicksand" w:eastAsia="Noto Sans TC"/>
          <w:b w:val="0"/>
          <w:color w:val="080808"/>
          <w:sz w:val="21"/>
        </w:rPr>
        <w:t>[A roughly 20-second voice note or clip that claims to be from the school office] "Dear parents, this is a message from the school office. There has been a change to this Friday's exchange activity. Please pay an additional activity fee of $380 by today and provide your child's identity card number for insurance registration. Please transfer the amount to account number 123-456-789. If this is not completed today, your child's place will be cancelled. Thank you."</w:t>
      </w:r>
    </w:p>
    <w:p>
      <w:pPr>
        <w:spacing w:before="240" w:after="80"/>
      </w:pPr>
      <w:r>
        <w:rPr>
          <w:rFonts w:ascii="Quicksand" w:hAnsi="Quicksand" w:cs="Quicksand" w:eastAsia="Noto Sans TC"/>
          <w:b/>
          <w:color w:val="E10707"/>
          <w:sz w:val="28"/>
        </w:rPr>
        <w:t>Decision cards (photocopy and cut out)</w:t>
      </w:r>
    </w:p>
    <w:p>
      <w:r>
        <w:rPr>
          <w:rFonts w:ascii="Quicksand" w:hAnsi="Quicksand" w:cs="Quicksand" w:eastAsia="Noto Sans TC"/>
          <w:b w:val="0"/>
          <w:color w:val="080808"/>
          <w:sz w:val="21"/>
        </w:rPr>
        <w:t>Pause</w:t>
      </w:r>
    </w:p>
    <w:p>
      <w:r>
        <w:rPr>
          <w:rFonts w:ascii="Quicksand" w:hAnsi="Quicksand" w:cs="Quicksand" w:eastAsia="Noto Sans TC"/>
          <w:b w:val="0"/>
          <w:color w:val="080808"/>
          <w:sz w:val="21"/>
        </w:rPr>
        <w:t>Stop first: no payment, no details, no forwarding</w:t>
      </w:r>
    </w:p>
    <w:p>
      <w:r>
        <w:rPr>
          <w:rFonts w:ascii="Quicksand" w:hAnsi="Quicksand" w:cs="Quicksand" w:eastAsia="Noto Sans TC"/>
          <w:b w:val="0"/>
          <w:color w:val="080808"/>
          <w:sz w:val="21"/>
        </w:rPr>
        <w:t>Check a second source</w:t>
      </w:r>
    </w:p>
    <w:p>
      <w:r>
        <w:rPr>
          <w:rFonts w:ascii="Quicksand" w:hAnsi="Quicksand" w:cs="Quicksand" w:eastAsia="Noto Sans TC"/>
          <w:b w:val="0"/>
          <w:color w:val="080808"/>
          <w:sz w:val="21"/>
        </w:rPr>
        <w:t>Ring the school office on the official number or website</w:t>
      </w:r>
    </w:p>
    <w:p>
      <w:r>
        <w:rPr>
          <w:rFonts w:ascii="Quicksand" w:hAnsi="Quicksand" w:cs="Quicksand" w:eastAsia="Noto Sans TC"/>
          <w:b w:val="0"/>
          <w:color w:val="080808"/>
          <w:sz w:val="21"/>
        </w:rPr>
        <w:t>Report</w:t>
      </w:r>
    </w:p>
    <w:p>
      <w:r>
        <w:rPr>
          <w:rFonts w:ascii="Quicksand" w:hAnsi="Quicksand" w:cs="Quicksand" w:eastAsia="Noto Sans TC"/>
          <w:b w:val="0"/>
          <w:color w:val="080808"/>
          <w:sz w:val="21"/>
        </w:rPr>
        <w:t>Tell a parent, teacher or another trusted adult</w:t>
      </w:r>
    </w:p>
    <w:p>
      <w:r>
        <w:rPr>
          <w:rFonts w:ascii="Quicksand" w:hAnsi="Quicksand" w:cs="Quicksand" w:eastAsia="Noto Sans TC"/>
          <w:b w:val="0"/>
          <w:color w:val="080808"/>
          <w:sz w:val="21"/>
        </w:rPr>
        <w:t>Ignore</w:t>
      </w:r>
    </w:p>
    <w:p>
      <w:r>
        <w:rPr>
          <w:rFonts w:ascii="Quicksand" w:hAnsi="Quicksand" w:cs="Quicksand" w:eastAsia="Noto Sans TC"/>
          <w:b w:val="0"/>
          <w:color w:val="080808"/>
          <w:sz w:val="21"/>
        </w:rPr>
        <w:t>See it and do nothing at all</w:t>
      </w:r>
    </w:p>
    <w:p>
      <w:r>
        <w:rPr>
          <w:rFonts w:ascii="Quicksand" w:hAnsi="Quicksand" w:cs="Quicksand" w:eastAsia="Noto Sans TC"/>
          <w:b w:val="0"/>
          <w:color w:val="080808"/>
          <w:sz w:val="21"/>
        </w:rPr>
        <w:t>Share it on</w:t>
      </w:r>
    </w:p>
    <w:p>
      <w:r>
        <w:rPr>
          <w:rFonts w:ascii="Quicksand" w:hAnsi="Quicksand" w:cs="Quicksand" w:eastAsia="Noto Sans TC"/>
          <w:b w:val="0"/>
          <w:color w:val="080808"/>
          <w:sz w:val="21"/>
        </w:rPr>
        <w:t>Forward it to other parent or class groups</w:t>
      </w:r>
    </w:p>
    <w:p>
      <w:pPr>
        <w:spacing w:before="240" w:after="80"/>
      </w:pPr>
      <w:r>
        <w:rPr>
          <w:rFonts w:ascii="Quicksand" w:hAnsi="Quicksand" w:cs="Quicksand" w:eastAsia="Noto Sans TC"/>
          <w:b/>
          <w:color w:val="E10707"/>
          <w:sz w:val="28"/>
        </w:rPr>
        <w:t>Sorting sheet</w:t>
      </w:r>
    </w:p>
    <w:p>
      <w:r>
        <w:rPr>
          <w:rFonts w:ascii="Quicksand" w:hAnsi="Quicksand" w:cs="Quicksand" w:eastAsia="Noto Sans TC"/>
          <w:b w:val="0"/>
          <w:color w:val="080808"/>
          <w:sz w:val="21"/>
        </w:rPr>
        <w:t>Things you should do (in order 1 → 2 → 3):</w:t>
      </w:r>
    </w:p>
    <w:p>
      <w:r>
        <w:rPr>
          <w:rFonts w:ascii="Quicksand" w:hAnsi="Quicksand" w:cs="Quicksand" w:eastAsia="Noto Sans TC"/>
          <w:b w:val="0"/>
          <w:color w:val="080808"/>
          <w:sz w:val="21"/>
        </w:rPr>
        <w:t>1. ______________________________________</w:t>
      </w:r>
    </w:p>
    <w:p>
      <w:r>
        <w:rPr>
          <w:rFonts w:ascii="Quicksand" w:hAnsi="Quicksand" w:cs="Quicksand" w:eastAsia="Noto Sans TC"/>
          <w:b w:val="0"/>
          <w:color w:val="080808"/>
          <w:sz w:val="21"/>
        </w:rPr>
        <w:t>2. ______________________________________</w:t>
      </w:r>
    </w:p>
    <w:p>
      <w:r>
        <w:rPr>
          <w:rFonts w:ascii="Quicksand" w:hAnsi="Quicksand" w:cs="Quicksand" w:eastAsia="Noto Sans TC"/>
          <w:b w:val="0"/>
          <w:color w:val="080808"/>
          <w:sz w:val="21"/>
        </w:rPr>
        <w:t>3. ______________________________________</w:t>
      </w:r>
    </w:p>
    <w:p>
      <w:r>
        <w:rPr>
          <w:rFonts w:ascii="Quicksand" w:hAnsi="Quicksand" w:cs="Quicksand" w:eastAsia="Noto Sans TC"/>
          <w:b w:val="0"/>
          <w:color w:val="080808"/>
          <w:sz w:val="21"/>
        </w:rPr>
        <w:t>Things you should not do (write why):</w:t>
      </w:r>
    </w:p>
    <w:p>
      <w:r>
        <w:rPr>
          <w:rFonts w:ascii="Quicksand" w:hAnsi="Quicksand" w:cs="Quicksand" w:eastAsia="Noto Sans TC"/>
          <w:b w:val="0"/>
          <w:color w:val="080808"/>
          <w:sz w:val="21"/>
        </w:rPr>
        <w:t>______________________________________</w:t>
      </w:r>
    </w:p>
    <w:p>
      <w:r>
        <w:rPr>
          <w:rFonts w:ascii="Quicksand" w:hAnsi="Quicksand" w:cs="Quicksand" w:eastAsia="Noto Sans TC"/>
          <w:b w:val="0"/>
          <w:color w:val="080808"/>
          <w:sz w:val="21"/>
        </w:rPr>
        <w:t>______________________________________</w:t>
      </w:r>
    </w:p>
    <w:p>
      <w:pPr>
        <w:spacing w:before="240" w:after="80"/>
      </w:pPr>
      <w:r>
        <w:rPr>
          <w:rFonts w:ascii="Quicksand" w:hAnsi="Quicksand" w:cs="Quicksand" w:eastAsia="Noto Sans TC"/>
          <w:b/>
          <w:color w:val="E10707"/>
          <w:sz w:val="28"/>
        </w:rPr>
        <w:t>Debrief: why a fake can be convincing</w:t>
      </w:r>
    </w:p>
    <w:p>
      <w:pPr>
        <w:pStyle w:val="ListBullet"/>
      </w:pPr>
      <w:r>
        <w:rPr>
          <w:rFonts w:ascii="Quicksand" w:hAnsi="Quicksand" w:cs="Quicksand" w:eastAsia="Noto Sans TC"/>
          <w:sz w:val="21"/>
        </w:rPr>
        <w:t>A voice and a face can be imitated — so "it sounds / looks right" does not mean "it is real".</w:t>
      </w:r>
    </w:p>
    <w:p>
      <w:pPr>
        <w:pStyle w:val="ListBullet"/>
      </w:pPr>
      <w:r>
        <w:rPr>
          <w:rFonts w:ascii="Quicksand" w:hAnsi="Quicksand" w:cs="Quicksand" w:eastAsia="Noto Sans TC"/>
          <w:sz w:val="21"/>
        </w:rPr>
        <w:t>It creates urgency — "by today", "your place will be cancelled" leave no time to think.</w:t>
      </w:r>
    </w:p>
    <w:p>
      <w:pPr>
        <w:pStyle w:val="ListBullet"/>
      </w:pPr>
      <w:r>
        <w:rPr>
          <w:rFonts w:ascii="Quicksand" w:hAnsi="Quicksand" w:cs="Quicksand" w:eastAsia="Noto Sans TC"/>
          <w:sz w:val="21"/>
        </w:rPr>
        <w:t>It borrows a familiar identity — the school, a form teacher, the office — all roles you trust, so your guard drops.</w:t>
      </w:r>
    </w:p>
    <w:p>
      <w:pPr>
        <w:spacing w:before="240" w:after="80"/>
      </w:pPr>
      <w:r>
        <w:rPr>
          <w:rFonts w:ascii="Quicksand" w:hAnsi="Quicksand" w:cs="Quicksand" w:eastAsia="Noto Sans TC"/>
          <w:b/>
          <w:color w:val="E10707"/>
          <w:sz w:val="28"/>
        </w:rPr>
        <w:t>If it really happens: what a pupil should do</w:t>
      </w:r>
    </w:p>
    <w:p>
      <w:r>
        <w:rPr>
          <w:rFonts w:ascii="Quicksand" w:hAnsi="Quicksand" w:cs="Quicksand" w:eastAsia="Noto Sans TC"/>
          <w:b w:val="0"/>
          <w:color w:val="080808"/>
          <w:sz w:val="21"/>
        </w:rPr>
        <w:t>□ Pause — do not pay, do not hand over personal details, do not forward, do not click the link.</w:t>
      </w:r>
    </w:p>
    <w:p>
      <w:r>
        <w:rPr>
          <w:rFonts w:ascii="Quicksand" w:hAnsi="Quicksand" w:cs="Quicksand" w:eastAsia="Noto Sans TC"/>
          <w:b w:val="0"/>
          <w:color w:val="080808"/>
          <w:sz w:val="21"/>
        </w:rPr>
        <w:t>□ Check — contact the school office directly on the official number or website you already have, not the number in the message.</w:t>
      </w:r>
    </w:p>
    <w:p>
      <w:r>
        <w:rPr>
          <w:rFonts w:ascii="Quicksand" w:hAnsi="Quicksand" w:cs="Quicksand" w:eastAsia="Noto Sans TC"/>
          <w:b w:val="0"/>
          <w:color w:val="080808"/>
          <w:sz w:val="21"/>
        </w:rPr>
        <w:t>□ Report — tell a parent, teacher or another trusted adult, and report the message so the school can warn others.</w:t>
      </w:r>
    </w:p>
    <w:p>
      <w:pPr>
        <w:spacing w:before="240" w:after="80"/>
      </w:pPr>
      <w:r>
        <w:rPr>
          <w:rFonts w:ascii="Quicksand" w:hAnsi="Quicksand" w:cs="Quicksand" w:eastAsia="Noto Sans TC"/>
          <w:b/>
          <w:color w:val="E10707"/>
          <w:sz w:val="28"/>
        </w:rPr>
        <w:t>Answer key</w:t>
      </w:r>
    </w:p>
    <w:tbl>
      <w:tblPr>
        <w:tblStyle w:val="TableGrid"/>
        <w:tblW w:type="auto" w:w="0"/>
        <w:jc w:val="left"/>
        <w:tblLook w:firstColumn="1" w:firstRow="1" w:lastColumn="0" w:lastRow="0" w:noHBand="0" w:noVBand="1" w:val="04A0"/>
      </w:tblPr>
      <w:tblGrid>
        <w:gridCol w:w="3213"/>
        <w:gridCol w:w="3213"/>
        <w:gridCol w:w="3213"/>
      </w:tblGrid>
      <w:tr>
        <w:tc>
          <w:tcPr>
            <w:tcW w:type="dxa" w:w="3362"/>
            <w:shd w:val="clear" w:fill="E10707"/>
          </w:tcPr>
          <w:p>
            <w:r/>
            <w:r>
              <w:rPr>
                <w:rFonts w:ascii="Quicksand" w:hAnsi="Quicksand" w:cs="Quicksand" w:eastAsia="Noto Sans TC"/>
                <w:b/>
                <w:color w:val="FFFFFF"/>
                <w:sz w:val="20"/>
              </w:rPr>
              <w:t>Order</w:t>
            </w:r>
          </w:p>
        </w:tc>
        <w:tc>
          <w:tcPr>
            <w:tcW w:type="dxa" w:w="3362"/>
            <w:shd w:val="clear" w:fill="E10707"/>
          </w:tcPr>
          <w:p>
            <w:r/>
            <w:r>
              <w:rPr>
                <w:rFonts w:ascii="Quicksand" w:hAnsi="Quicksand" w:cs="Quicksand" w:eastAsia="Noto Sans TC"/>
                <w:b/>
                <w:color w:val="FFFFFF"/>
                <w:sz w:val="20"/>
              </w:rPr>
              <w:t>Card</w:t>
            </w:r>
          </w:p>
        </w:tc>
        <w:tc>
          <w:tcPr>
            <w:tcW w:type="dxa" w:w="2914"/>
            <w:shd w:val="clear" w:fill="E10707"/>
          </w:tcPr>
          <w:p>
            <w:r/>
            <w:r>
              <w:rPr>
                <w:rFonts w:ascii="Quicksand" w:hAnsi="Quicksand" w:cs="Quicksand" w:eastAsia="Noto Sans TC"/>
                <w:b/>
                <w:color w:val="FFFFFF"/>
                <w:sz w:val="20"/>
              </w:rPr>
              <w:t>Marking notes</w:t>
            </w:r>
          </w:p>
        </w:tc>
      </w:tr>
      <w:tr>
        <w:tc>
          <w:tcPr>
            <w:tcW w:type="dxa" w:w="3362"/>
          </w:tcPr>
          <w:p>
            <w:r/>
            <w:r>
              <w:rPr>
                <w:rFonts w:ascii="Quicksand" w:hAnsi="Quicksand" w:cs="Quicksand" w:eastAsia="Noto Sans TC"/>
                <w:sz w:val="20"/>
              </w:rPr>
              <w:t>1</w:t>
            </w:r>
          </w:p>
        </w:tc>
        <w:tc>
          <w:tcPr>
            <w:tcW w:type="dxa" w:w="3362"/>
          </w:tcPr>
          <w:p>
            <w:r/>
            <w:r>
              <w:rPr>
                <w:rFonts w:ascii="Quicksand" w:hAnsi="Quicksand" w:cs="Quicksand" w:eastAsia="Noto Sans TC"/>
                <w:sz w:val="20"/>
              </w:rPr>
              <w:t>Pause</w:t>
            </w:r>
          </w:p>
        </w:tc>
        <w:tc>
          <w:tcPr>
            <w:tcW w:type="dxa" w:w="2914"/>
          </w:tcPr>
          <w:p>
            <w:r/>
            <w:r>
              <w:rPr>
                <w:rFonts w:ascii="Quicksand" w:hAnsi="Quicksand" w:cs="Quicksand" w:eastAsia="Noto Sans TC"/>
                <w:sz w:val="20"/>
              </w:rPr>
              <w:t>No payment, no details, no forwarding. A pupil who can say "stop and do nothing first" meets the mark.</w:t>
            </w:r>
          </w:p>
        </w:tc>
      </w:tr>
      <w:tr>
        <w:tc>
          <w:tcPr>
            <w:tcW w:type="dxa" w:w="3362"/>
          </w:tcPr>
          <w:p>
            <w:r/>
            <w:r>
              <w:rPr>
                <w:rFonts w:ascii="Quicksand" w:hAnsi="Quicksand" w:cs="Quicksand" w:eastAsia="Noto Sans TC"/>
                <w:sz w:val="20"/>
              </w:rPr>
              <w:t>2</w:t>
            </w:r>
          </w:p>
        </w:tc>
        <w:tc>
          <w:tcPr>
            <w:tcW w:type="dxa" w:w="3362"/>
          </w:tcPr>
          <w:p>
            <w:r/>
            <w:r>
              <w:rPr>
                <w:rFonts w:ascii="Quicksand" w:hAnsi="Quicksand" w:cs="Quicksand" w:eastAsia="Noto Sans TC"/>
                <w:sz w:val="20"/>
              </w:rPr>
              <w:t>Check a second source</w:t>
            </w:r>
          </w:p>
        </w:tc>
        <w:tc>
          <w:tcPr>
            <w:tcW w:type="dxa" w:w="2914"/>
          </w:tcPr>
          <w:p>
            <w:r/>
            <w:r>
              <w:rPr>
                <w:rFonts w:ascii="Quicksand" w:hAnsi="Quicksand" w:cs="Quicksand" w:eastAsia="Noto Sans TC"/>
                <w:sz w:val="20"/>
              </w:rPr>
              <w:t>Ring the school office on the official number or use the official website you already have — not the number in the message.</w:t>
            </w:r>
          </w:p>
        </w:tc>
      </w:tr>
      <w:tr>
        <w:tc>
          <w:tcPr>
            <w:tcW w:type="dxa" w:w="3362"/>
          </w:tcPr>
          <w:p>
            <w:r/>
            <w:r>
              <w:rPr>
                <w:rFonts w:ascii="Quicksand" w:hAnsi="Quicksand" w:cs="Quicksand" w:eastAsia="Noto Sans TC"/>
                <w:sz w:val="20"/>
              </w:rPr>
              <w:t>3</w:t>
            </w:r>
          </w:p>
        </w:tc>
        <w:tc>
          <w:tcPr>
            <w:tcW w:type="dxa" w:w="3362"/>
          </w:tcPr>
          <w:p>
            <w:r/>
            <w:r>
              <w:rPr>
                <w:rFonts w:ascii="Quicksand" w:hAnsi="Quicksand" w:cs="Quicksand" w:eastAsia="Noto Sans TC"/>
                <w:sz w:val="20"/>
              </w:rPr>
              <w:t>Report</w:t>
            </w:r>
          </w:p>
        </w:tc>
        <w:tc>
          <w:tcPr>
            <w:tcW w:type="dxa" w:w="2914"/>
          </w:tcPr>
          <w:p>
            <w:r/>
            <w:r>
              <w:rPr>
                <w:rFonts w:ascii="Quicksand" w:hAnsi="Quicksand" w:cs="Quicksand" w:eastAsia="Noto Sans TC"/>
                <w:sz w:val="20"/>
              </w:rPr>
              <w:t>Tell a parent, a teacher or another trusted adult, and report the message.</w:t>
            </w:r>
          </w:p>
        </w:tc>
      </w:tr>
    </w:tbl>
    <w:tbl>
      <w:tblPr>
        <w:tblStyle w:val="TableGrid"/>
        <w:tblW w:type="auto" w:w="0"/>
        <w:jc w:val="left"/>
        <w:tblLook w:firstColumn="1" w:firstRow="1" w:lastColumn="0" w:lastRow="0" w:noHBand="0" w:noVBand="1" w:val="04A0"/>
      </w:tblPr>
      <w:tblGrid>
        <w:gridCol w:w="4819"/>
        <w:gridCol w:w="4819"/>
      </w:tblGrid>
      <w:tr>
        <w:tc>
          <w:tcPr>
            <w:tcW w:type="dxa" w:w="7068"/>
            <w:shd w:val="clear" w:fill="E10707"/>
          </w:tcPr>
          <w:p>
            <w:r/>
            <w:r>
              <w:rPr>
                <w:rFonts w:ascii="Quicksand" w:hAnsi="Quicksand" w:cs="Quicksand" w:eastAsia="Noto Sans TC"/>
                <w:b/>
                <w:color w:val="FFFFFF"/>
                <w:sz w:val="20"/>
              </w:rPr>
              <w:t>Do not</w:t>
            </w:r>
          </w:p>
        </w:tc>
        <w:tc>
          <w:tcPr>
            <w:tcW w:type="dxa" w:w="2570"/>
            <w:shd w:val="clear" w:fill="E10707"/>
          </w:tcPr>
          <w:p>
            <w:r/>
            <w:r>
              <w:rPr>
                <w:rFonts w:ascii="Quicksand" w:hAnsi="Quicksand" w:cs="Quicksand" w:eastAsia="Noto Sans TC"/>
                <w:b/>
                <w:color w:val="FFFFFF"/>
                <w:sz w:val="20"/>
              </w:rPr>
              <w:t>Why it is wrong</w:t>
            </w:r>
          </w:p>
        </w:tc>
      </w:tr>
      <w:tr>
        <w:tc>
          <w:tcPr>
            <w:tcW w:type="dxa" w:w="7068"/>
          </w:tcPr>
          <w:p>
            <w:r/>
            <w:r>
              <w:rPr>
                <w:rFonts w:ascii="Quicksand" w:hAnsi="Quicksand" w:cs="Quicksand" w:eastAsia="Noto Sans TC"/>
                <w:sz w:val="20"/>
              </w:rPr>
              <w:t>Ignore</w:t>
            </w:r>
          </w:p>
        </w:tc>
        <w:tc>
          <w:tcPr>
            <w:tcW w:type="dxa" w:w="2570"/>
          </w:tcPr>
          <w:p>
            <w:r/>
            <w:r>
              <w:rPr>
                <w:rFonts w:ascii="Quicksand" w:hAnsi="Quicksand" w:cs="Quicksand" w:eastAsia="Noto Sans TC"/>
                <w:sz w:val="20"/>
              </w:rPr>
              <w:t>You would not be tricked yourself, but nobody would know the school is being impersonated; the school and other parents need to know so they can warn everyone else.</w:t>
            </w:r>
          </w:p>
        </w:tc>
      </w:tr>
      <w:tr>
        <w:tc>
          <w:tcPr>
            <w:tcW w:type="dxa" w:w="7068"/>
          </w:tcPr>
          <w:p>
            <w:r/>
            <w:r>
              <w:rPr>
                <w:rFonts w:ascii="Quicksand" w:hAnsi="Quicksand" w:cs="Quicksand" w:eastAsia="Noto Sans TC"/>
                <w:sz w:val="20"/>
              </w:rPr>
              <w:t>Share it on</w:t>
            </w:r>
          </w:p>
        </w:tc>
        <w:tc>
          <w:tcPr>
            <w:tcW w:type="dxa" w:w="2570"/>
          </w:tcPr>
          <w:p>
            <w:r/>
            <w:r>
              <w:rPr>
                <w:rFonts w:ascii="Quicksand" w:hAnsi="Quicksand" w:cs="Quicksand" w:eastAsia="Noto Sans TC"/>
                <w:sz w:val="20"/>
              </w:rPr>
              <w:t>Most harmful. Forwarding helps spread the fake to more people, so more people can be tricked.</w:t>
            </w:r>
          </w:p>
        </w:tc>
      </w:tr>
    </w:tbl>
    <w:p>
      <w:r>
        <w:rPr>
          <w:rFonts w:ascii="Quicksand" w:hAnsi="Quicksand" w:cs="Quicksand" w:eastAsia="Noto Sans TC"/>
          <w:b w:val="0"/>
          <w:color w:val="080808"/>
          <w:sz w:val="21"/>
        </w:rPr>
        <w:t>Chant: Stop, ask, tell a grown-up. Core idea: "sounds / looks right" does not mean "is real"; with a suspicious message, first verify outside the message, then report it. This is an independent Beets teaching resource, not an official EDB document. Relates to E, p.14 (the AI Literacy Learning Framework for Primary and Secondary Schools (Examples of Application Scenarios)).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Quicksand" w:hAnsi="Quicksand" w:eastAsia="Noto Sans TC"/>
      <w:color w:val="08080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