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Where Hong Kong lives: housing types and living space, checked against official figures (S1-S3 mathematics)</w:t>
      </w:r>
    </w:p>
    <w:p>
      <w:r>
        <w:t>──────────────────────────────────────────────</w:t>
      </w:r>
    </w:p>
    <w:p>
      <w:r>
        <w:t>姓名 Name: __________  班別 Class: __________  日期 Date: __________</w:t>
      </w:r>
    </w:p>
    <w:p>
      <w:r>
        <w:t>Key learning area: Mathematics Education   |   Learning elements: data, charts, statistics, measurement, units, comparison, problem-solving</w:t>
      </w:r>
    </w:p>
    <w:p>
      <w:r>
        <w:t>Points to note when using AI: fact-check — check the living space, the public-versus-private housing shares and the trend claims an AI gives against the official published statistics, and watch for AI hallucinations and data bias. Do not rely on the tool alone.</w:t>
      </w:r>
    </w:p>
    <w:p>
      <w:r>
        <w:t>For the teacher: how to use this worksheet</w:t>
      </w:r>
    </w:p>
    <w:p>
      <w:pPr>
        <w:pStyle w:val="ListBullet"/>
      </w:pPr>
      <w:r>
        <w:t>Before the lesson: print the worksheet; have graph paper ready, or let pupils plot in a spreadsheet; arrange internet access to the official tables (or project them yourself).</w:t>
      </w:r>
    </w:p>
    <w:p>
      <w:pPr>
        <w:pStyle w:val="ListBullet"/>
      </w:pPr>
      <w:r>
        <w:t>The answers are not on this worksheet. Pupils obtain each figure themselves from an official source and write down the source and the year — that is what the marking is about.</w:t>
      </w:r>
    </w:p>
    <w:p>
      <w:pPr>
        <w:pStyle w:val="ListBullet"/>
      </w:pPr>
      <w:r>
        <w:t>Lesson flow: hook (5 min) -&gt; split and label (8 min) -&gt; group checking (15 min) -&gt; redraw the comparison chart (8 min) -&gt; report and close (4 min).</w:t>
      </w:r>
    </w:p>
    <w:p>
      <w:pPr>
        <w:pStyle w:val="ListBullet"/>
      </w:pPr>
      <w:r>
        <w:t>Remind pupils: the "example account" below is exercise material, not a source. The official tables are what gets checked.</w:t>
      </w:r>
    </w:p>
    <w:p>
      <w:r>
        <w:t>Part 1: The example account (to be checked)</w:t>
      </w:r>
    </w:p>
    <w:p>
      <w:r>
        <w:t>Example account (to be checked) — the passage below was written for this exercise as a typical example of what an AI answer looks like. It is not a source: do not quote its figures as facts. To judge it, go to the official tables.</w:t>
      </w:r>
    </w:p>
    <w:p>
      <w:r>
        <w:t>"Living space in Hong Kong is a subject people keep coming back to. The average living space per person today is about 16 square metres, far less than Singapore's 30 square metres. There are roughly three million dwellings in Hong Kong, more than half of them private. The public-housing share has fallen steadily since the 1990s and is expected to drop to 30% by 2030. On floor area, the average saleable area of a private flat is about 500 square feet, while a public rental flat averages about 40 square metres. So living conditions in Hong Kong have clearly been improving."</w:t>
      </w:r>
    </w:p>
    <w:p>
      <w:r>
        <w:t>Part 2: Checking table</w:t>
      </w:r>
    </w:p>
    <w:p>
      <w:r>
        <w:t>One row per sentence. The judgement is one of three only: supported by the official figure / contradicted by it / impossible to check.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Sentence (say what it claims)</w:t>
            </w:r>
          </w:p>
        </w:tc>
        <w:tc>
          <w:tcPr>
            <w:tcW w:type="dxa" w:w="2160"/>
          </w:tcPr>
          <w:p>
            <w:r>
              <w:t>Official figure</w:t>
            </w:r>
          </w:p>
        </w:tc>
        <w:tc>
          <w:tcPr>
            <w:tcW w:type="dxa" w:w="2160"/>
          </w:tcPr>
          <w:p>
            <w:r>
              <w:t>Source and year</w:t>
            </w:r>
          </w:p>
        </w:tc>
        <w:tc>
          <w:tcPr>
            <w:tcW w:type="dxa" w:w="2160"/>
          </w:tcPr>
          <w:p>
            <w:r>
              <w:t>Judgement</w:t>
            </w:r>
          </w:p>
        </w:tc>
      </w:tr>
      <w:tr>
        <w:tc>
          <w:tcPr>
            <w:tcW w:type="dxa" w:w="2160"/>
          </w:tcPr>
          <w:p>
            <w:r/>
          </w:p>
        </w:tc>
        <w:tc>
          <w:tcPr>
            <w:tcW w:type="dxa" w:w="2160"/>
          </w:tcPr>
          <w:p>
            <w:r/>
          </w:p>
        </w:tc>
        <w:tc>
          <w:tcPr>
            <w:tcW w:type="dxa" w:w="2160"/>
          </w:tcPr>
          <w:p>
            <w:r/>
          </w:p>
        </w:tc>
        <w:tc>
          <w:tcPr>
            <w:tcW w:type="dxa" w:w="2160"/>
          </w:tcPr>
          <w:p>
            <w:r>
              <w:t>supported / contradicted / cannot check</w:t>
            </w:r>
          </w:p>
        </w:tc>
      </w:tr>
      <w:tr>
        <w:tc>
          <w:tcPr>
            <w:tcW w:type="dxa" w:w="2160"/>
          </w:tcPr>
          <w:p>
            <w:r/>
          </w:p>
        </w:tc>
        <w:tc>
          <w:tcPr>
            <w:tcW w:type="dxa" w:w="2160"/>
          </w:tcPr>
          <w:p>
            <w:r/>
          </w:p>
        </w:tc>
        <w:tc>
          <w:tcPr>
            <w:tcW w:type="dxa" w:w="2160"/>
          </w:tcPr>
          <w:p>
            <w:r/>
          </w:p>
        </w:tc>
        <w:tc>
          <w:tcPr>
            <w:tcW w:type="dxa" w:w="2160"/>
          </w:tcPr>
          <w:p>
            <w:r>
              <w:t>supported / contradicted / cannot check</w:t>
            </w:r>
          </w:p>
        </w:tc>
      </w:tr>
      <w:tr>
        <w:tc>
          <w:tcPr>
            <w:tcW w:type="dxa" w:w="2160"/>
          </w:tcPr>
          <w:p>
            <w:r/>
          </w:p>
        </w:tc>
        <w:tc>
          <w:tcPr>
            <w:tcW w:type="dxa" w:w="2160"/>
          </w:tcPr>
          <w:p>
            <w:r/>
          </w:p>
        </w:tc>
        <w:tc>
          <w:tcPr>
            <w:tcW w:type="dxa" w:w="2160"/>
          </w:tcPr>
          <w:p>
            <w:r/>
          </w:p>
        </w:tc>
        <w:tc>
          <w:tcPr>
            <w:tcW w:type="dxa" w:w="2160"/>
          </w:tcPr>
          <w:p>
            <w:r>
              <w:t>supported / contradicted / cannot check</w:t>
            </w:r>
          </w:p>
        </w:tc>
      </w:tr>
      <w:tr>
        <w:tc>
          <w:tcPr>
            <w:tcW w:type="dxa" w:w="2160"/>
          </w:tcPr>
          <w:p>
            <w:r/>
          </w:p>
        </w:tc>
        <w:tc>
          <w:tcPr>
            <w:tcW w:type="dxa" w:w="2160"/>
          </w:tcPr>
          <w:p>
            <w:r/>
          </w:p>
        </w:tc>
        <w:tc>
          <w:tcPr>
            <w:tcW w:type="dxa" w:w="2160"/>
          </w:tcPr>
          <w:p>
            <w:r/>
          </w:p>
        </w:tc>
        <w:tc>
          <w:tcPr>
            <w:tcW w:type="dxa" w:w="2160"/>
          </w:tcPr>
          <w:p>
            <w:r>
              <w:t>supported / contradicted / cannot check</w:t>
            </w:r>
          </w:p>
        </w:tc>
      </w:tr>
      <w:tr>
        <w:tc>
          <w:tcPr>
            <w:tcW w:type="dxa" w:w="2160"/>
          </w:tcPr>
          <w:p>
            <w:r/>
          </w:p>
        </w:tc>
        <w:tc>
          <w:tcPr>
            <w:tcW w:type="dxa" w:w="2160"/>
          </w:tcPr>
          <w:p>
            <w:r/>
          </w:p>
        </w:tc>
        <w:tc>
          <w:tcPr>
            <w:tcW w:type="dxa" w:w="2160"/>
          </w:tcPr>
          <w:p>
            <w:r/>
          </w:p>
        </w:tc>
        <w:tc>
          <w:tcPr>
            <w:tcW w:type="dxa" w:w="2160"/>
          </w:tcPr>
          <w:p>
            <w:r>
              <w:t>supported / contradicted / cannot check</w:t>
            </w:r>
          </w:p>
        </w:tc>
      </w:tr>
      <w:tr>
        <w:tc>
          <w:tcPr>
            <w:tcW w:type="dxa" w:w="2160"/>
          </w:tcPr>
          <w:p>
            <w:r/>
          </w:p>
        </w:tc>
        <w:tc>
          <w:tcPr>
            <w:tcW w:type="dxa" w:w="2160"/>
          </w:tcPr>
          <w:p>
            <w:r/>
          </w:p>
        </w:tc>
        <w:tc>
          <w:tcPr>
            <w:tcW w:type="dxa" w:w="2160"/>
          </w:tcPr>
          <w:p>
            <w:r/>
          </w:p>
        </w:tc>
        <w:tc>
          <w:tcPr>
            <w:tcW w:type="dxa" w:w="2160"/>
          </w:tcPr>
          <w:p>
            <w:r>
              <w:t>supported / contradicted / cannot check</w:t>
            </w:r>
          </w:p>
        </w:tc>
      </w:tr>
    </w:tbl>
    <w:p>
      <w:r>
        <w:t>Part 3: Official sources (fetch them yourself, and record the source and the year)</w:t>
      </w:r>
    </w:p>
    <w:tbl>
      <w:tblPr>
        <w:tblStyle w:val="TableGrid"/>
        <w:tblW w:type="auto" w:w="0"/>
        <w:tblLook w:firstColumn="1" w:firstRow="1" w:lastColumn="0" w:lastRow="0" w:noHBand="0" w:noVBand="1" w:val="04A0"/>
      </w:tblPr>
      <w:tblGrid>
        <w:gridCol w:w="4320"/>
        <w:gridCol w:w="4320"/>
      </w:tblGrid>
      <w:tr>
        <w:tc>
          <w:tcPr>
            <w:tcW w:type="dxa" w:w="4320"/>
          </w:tcPr>
          <w:p>
            <w:r>
              <w:t>What is being checked</w:t>
            </w:r>
          </w:p>
        </w:tc>
        <w:tc>
          <w:tcPr>
            <w:tcW w:type="dxa" w:w="4320"/>
          </w:tcPr>
          <w:p>
            <w:r>
              <w:t>Official source</w:t>
            </w:r>
          </w:p>
        </w:tc>
      </w:tr>
      <w:tr>
        <w:tc>
          <w:tcPr>
            <w:tcW w:type="dxa" w:w="4320"/>
          </w:tcPr>
          <w:p>
            <w:r>
              <w:t>Population and household statistics</w:t>
            </w:r>
          </w:p>
        </w:tc>
        <w:tc>
          <w:tcPr>
            <w:tcW w:type="dxa" w:w="4320"/>
          </w:tcPr>
          <w:p>
            <w:r>
              <w:t>Census and Statistics Department, censtatd.gov.hk (population figures by year)</w:t>
            </w:r>
          </w:p>
        </w:tc>
      </w:tr>
      <w:tr>
        <w:tc>
          <w:tcPr>
            <w:tcW w:type="dxa" w:w="4320"/>
          </w:tcPr>
          <w:p>
            <w:r>
              <w:t>Public housing: stock, waiting time and living space</w:t>
            </w:r>
          </w:p>
        </w:tc>
        <w:tc>
          <w:tcPr>
            <w:tcW w:type="dxa" w:w="4320"/>
          </w:tcPr>
          <w:p>
            <w:r>
              <w:t>Hong Kong Housing Authority and Housing Department, statistics, housingauthority.gov.hk</w:t>
            </w:r>
          </w:p>
        </w:tc>
      </w:tr>
      <w:tr>
        <w:tc>
          <w:tcPr>
            <w:tcW w:type="dxa" w:w="4320"/>
          </w:tcPr>
          <w:p>
            <w:r>
              <w:t>Private domestic units: stock, floor area and rents</w:t>
            </w:r>
          </w:p>
        </w:tc>
        <w:tc>
          <w:tcPr>
            <w:tcW w:type="dxa" w:w="4320"/>
          </w:tcPr>
          <w:p>
            <w:r>
              <w:t>Rating and Valuation Department, Hong Kong Property Review, rvd.gov.hk</w:t>
            </w:r>
          </w:p>
        </w:tc>
      </w:tr>
    </w:tbl>
    <w:p>
      <w:r>
        <w:t>Part 4: Redraw the comparison chart</w:t>
      </w:r>
    </w:p>
    <w:p>
      <w:r>
        <w:t>Plot a line or bar chart from the official figures (horizontal axis: year or category; vertical axis: area or share). Label the source on the chart, then set the AI's number beside the official one so the gap is visible.</w:t>
      </w:r>
    </w:p>
    <w:p>
      <w:r>
        <w:t>My chart shows (one sentence):</w:t>
      </w:r>
    </w:p>
    <w:p>
      <w:r>
        <w:t>The biggest gap between the AI's account and the official figures is (one sentence):</w:t>
      </w:r>
    </w:p>
    <w:p>
      <w:r>
        <w:t>Answer key and marking notes</w:t>
      </w:r>
    </w:p>
    <w:p>
      <w:r>
        <w:t>What this worksheet checks is not "did the AI get it right", but "can this sentence be checked at all". The example account carries six deliberate problems:</w:t>
      </w:r>
    </w:p>
    <w:tbl>
      <w:tblPr>
        <w:tblStyle w:val="TableGrid"/>
        <w:tblW w:type="auto" w:w="0"/>
        <w:tblLook w:firstColumn="1" w:firstRow="1" w:lastColumn="0" w:lastRow="0" w:noHBand="0" w:noVBand="1" w:val="04A0"/>
      </w:tblPr>
      <w:tblGrid>
        <w:gridCol w:w="4320"/>
        <w:gridCol w:w="4320"/>
      </w:tblGrid>
      <w:tr>
        <w:tc>
          <w:tcPr>
            <w:tcW w:type="dxa" w:w="4320"/>
          </w:tcPr>
          <w:p>
            <w:r>
              <w:t>Kind of problem</w:t>
            </w:r>
          </w:p>
        </w:tc>
        <w:tc>
          <w:tcPr>
            <w:tcW w:type="dxa" w:w="4320"/>
          </w:tcPr>
          <w:p>
            <w:r>
              <w:t>What pupils should point out</w:t>
            </w:r>
          </w:p>
        </w:tc>
      </w:tr>
      <w:tr>
        <w:tc>
          <w:tcPr>
            <w:tcW w:type="dxa" w:w="4320"/>
          </w:tcPr>
          <w:p>
            <w:r>
              <w:t>No source</w:t>
            </w:r>
          </w:p>
        </w:tc>
        <w:tc>
          <w:tcPr>
            <w:tcW w:type="dxa" w:w="4320"/>
          </w:tcPr>
          <w:p>
            <w:r>
              <w:t>Nothing in the passage says where any figure comes from; a figure with no source is already the first warning sign.</w:t>
            </w:r>
          </w:p>
        </w:tc>
      </w:tr>
      <w:tr>
        <w:tc>
          <w:tcPr>
            <w:tcW w:type="dxa" w:w="4320"/>
          </w:tcPr>
          <w:p>
            <w:r>
              <w:t>An estimate stated as a fact</w:t>
            </w:r>
          </w:p>
        </w:tc>
        <w:tc>
          <w:tcPr>
            <w:tcW w:type="dxa" w:w="4320"/>
          </w:tcPr>
          <w:p>
            <w:r>
              <w:t>"is expected to drop to 30% by 2030" states a forecast in the present tense, confusing what has happened with what is estimated.</w:t>
            </w:r>
          </w:p>
        </w:tc>
      </w:tr>
      <w:tr>
        <w:tc>
          <w:tcPr>
            <w:tcW w:type="dxa" w:w="4320"/>
          </w:tcPr>
          <w:p>
            <w:r>
              <w:t>Inconsistent quantities and units</w:t>
            </w:r>
          </w:p>
        </w:tc>
        <w:tc>
          <w:tcPr>
            <w:tcW w:type="dxa" w:w="4320"/>
          </w:tcPr>
          <w:p>
            <w:r>
              <w:t>Square metres and square feet both appear, and no sentence says which kind of housing it means (public rental, subsidised sale or private), so the numbers cannot be compared.</w:t>
            </w:r>
          </w:p>
        </w:tc>
      </w:tr>
      <w:tr>
        <w:tc>
          <w:tcPr>
            <w:tcW w:type="dxa" w:w="4320"/>
          </w:tcPr>
          <w:p>
            <w:r>
              <w:t>An average presented as "typical"</w:t>
            </w:r>
          </w:p>
        </w:tc>
        <w:tc>
          <w:tcPr>
            <w:tcW w:type="dxa" w:w="4320"/>
          </w:tcPr>
          <w:p>
            <w:r>
              <w:t>"about 16 square metres" uses one average to stand for everybody, without saying whether it is a mean or a median, or who is being averaged.</w:t>
            </w:r>
          </w:p>
        </w:tc>
      </w:tr>
      <w:tr>
        <w:tc>
          <w:tcPr>
            <w:tcW w:type="dxa" w:w="4320"/>
          </w:tcPr>
          <w:p>
            <w:r>
              <w:t>Public and private housing conflated</w:t>
            </w:r>
          </w:p>
        </w:tc>
        <w:tc>
          <w:tcPr>
            <w:tcW w:type="dxa" w:w="4320"/>
          </w:tcPr>
          <w:p>
            <w:r>
              <w:t>"more than half of them private" does not answer "how much public housing is there"; a whole-market figure is used to answer a question about one kind of housing.</w:t>
            </w:r>
          </w:p>
        </w:tc>
      </w:tr>
      <w:tr>
        <w:tc>
          <w:tcPr>
            <w:tcW w:type="dxa" w:w="4320"/>
          </w:tcPr>
          <w:p>
            <w:r>
              <w:t>A conclusion that does not follow</w:t>
            </w:r>
          </w:p>
        </w:tc>
        <w:tc>
          <w:tcPr>
            <w:tcW w:type="dxa" w:w="4320"/>
          </w:tcPr>
          <w:p>
            <w:r>
              <w:t>"living conditions have clearly been improving" is not derived from any figure above it; a value judgement has been written up as a finding.</w:t>
            </w:r>
          </w:p>
        </w:tc>
      </w:tr>
    </w:tbl>
    <w:p>
      <w:r>
        <w:t>Marking is process-based: every sentence needs an official source name and year; all three judgements must be used with a reason; the chart must be redrawn from the official figures with the source shown. Recognising "impossible to check", and saying why, is the step pupils skip and the one this lesson exists for.</w:t>
      </w:r>
    </w:p>
    <w:p>
      <w:r>
        <w:t>This document is an independent teaching resource produced by Beets; it is not an official EDB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