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Architectural Blueprint for a Calibrated, Tracking-Decoupled Sports Probability Engine</w:t>
      </w:r>
    </w:p>
    <w:p w:rsidR="00000000" w:rsidDel="00000000" w:rsidP="00000000" w:rsidRDefault="00000000" w:rsidRPr="00000000" w14:paraId="00000002">
      <w:pPr>
        <w:rPr/>
      </w:pPr>
      <w:r w:rsidDel="00000000" w:rsidR="00000000" w:rsidRPr="00000000">
        <w:rPr>
          <w:rtl w:val="0"/>
        </w:rPr>
        <w:t xml:space="preserve">The pursuit of absolute calibration and predictive supremacy in sports forecasting has historically been bottlenecked by the assumption that raw, high-frequency spatial tracking data is a mandatory prerequisite for elite model performance. A rigorous evaluation of the commercial and mathematical realities dictates a fundamental paradigm shift. Operating a live 10Hz micro-movement spatial tracking pipeline incurs enterprise licensing costs typically exceeding hundreds of thousands of dollars annually, rendering it economically unviable for zero-cloud-cost operational phases. Furthermore, utilizing accessible platforms like the NFL Big Data Bowl (BDB) or scraping token-gated NextGenStats endpoints for commercial purposes strictly violates non-commercial licensing agreements and terms of service, introducing catastrophic legal risk to any proprietary prediction engine.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Attempting to parse raw coordinate feeds introduces extreme infrastructural overhead, requiring zero-copy Inter-Process Communication (IPC) and dedicated GPU inference clusters utilizing Apache Arrow Flight and NVIDIA Triton servers just to maintain sub-20 millisecond latency envelopes. The optimal path forward mandates the aggressive decoupling of the spatial tracking pipeline from the uncertainty and calibration engine. By leveraging open-source play-by-play data packages such as nflverse, point-in-time public aggregate metrics, and utilizing non-commercial tracking data strictly for offline method validation, the system cleanly bypasses the financial and legal dead ends associated with proprietary coordinate feeds.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revised architecture focuses entirely on harvesting value from advanced uncertainty quantification, distribution-free conformal calibration, continuous margin density evaluation, and market microstructure exploitation. This document details the comprehensive integration of these methodologies into a concrete, tiered architectural roadmap designed to execute under strict Knightian uncertainty, entirely independent of live raw spatial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Foundational Data Integrity and Physical-Plausibility Gating</w:t>
      </w:r>
    </w:p>
    <w:p w:rsidR="00000000" w:rsidDel="00000000" w:rsidP="00000000" w:rsidRDefault="00000000" w:rsidRPr="00000000" w14:paraId="00000009">
      <w:pPr>
        <w:rPr/>
      </w:pPr>
      <w:r w:rsidDel="00000000" w:rsidR="00000000" w:rsidRPr="00000000">
        <w:rPr>
          <w:rtl w:val="0"/>
        </w:rPr>
        <w:t xml:space="preserve">A probabilistic engine is uniquely vulnerable to silent data corruption, which cascades exponentially through calibration layers and irreparably distorts the measurement of epistemic uncertainty. The prevailing assumption that structured market and event logs represent infallible ground truth is empirically false. Rigorous audits of raw sports event logs indicate that a significant proportion of data frames—approaching 19% in some spatial datasets—contain state-transition inconsistencies, impossible telemetry, or corrupted formatting.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architecture establishes an uncompromising physical-plausibility gate positioned at the absolute edge of the ingestion pipeline. Anticipating a baseline market data violation rate well above five percent, the system mandates hard physical and logical constraints on all incoming streams before they interact with any predictive module. In spatial contexts, this manifests as absolute velocity caps; for example, flagging any player movement exceeding 13 meters per second as fatally corrupt rather than merely an outlier, as no human athlete sustains such velocities under physical laws.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Applied to market data and odds series, the physical-plausibility gate enforces identical mathematical rigor. The ingestion layer must actively reject non-finite timestamps, preventing silent clock failures from corrupting the temporal sequence of odds movements. The system must continuously scan for systemic anomalies such as fixture triplication, phantom matches generated by upstream API timeouts, and corrupted market consensus metrics where public betting percentages are artificially pinned at exactly 1.0000 across entire slates of Major League Baseball run lines. A clock that cannot be read is strictly classified as a source that cannot speak as-of, throwing a definitive SourceCannotSpeakAsOfError rather than delaying the failure to downstream execution layers.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critical component of this data hygiene extends to seemingly benign telemetry variables. For instance, wind direction variables must be carefully managed to avoid classic circular-statistics bugs, where naive mathematical averaging of 0 degrees and 359 degrees incorrectly yields a 180-degree opposite heading. By storing such variables as categorical strings or utilizing specific directional cosines rather than raw numerical averages, the engine neutralizes latent traps prior to environmental modeling. By enforcing these strict boundaries, the system ensures that the downstream calibration arrays and B-spline curve fitting algorithms operate strictly on mathematically viable domains.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Eradication of Point Probabilities and the Shift to Margin Densities</w:t>
      </w:r>
    </w:p>
    <w:p w:rsidR="00000000" w:rsidDel="00000000" w:rsidP="00000000" w:rsidRDefault="00000000" w:rsidRPr="00000000" w14:paraId="00000012">
      <w:pPr>
        <w:rPr/>
      </w:pPr>
      <w:r w:rsidDel="00000000" w:rsidR="00000000" w:rsidRPr="00000000">
        <w:rPr>
          <w:rtl w:val="0"/>
        </w:rPr>
        <w:t xml:space="preserve">The most profound product gap in legacy sports forecasting architectures is the reliance on isolated point probabilities to evaluate continuous margins. Emitting a deterministic expectation or a single point probability prices exactly one line, entirely obscuring bimodal outcomes and the true underlying distribution of the event space. The architecture mandates a complete and irreversible migration from point probability estimates to full margin densities. A predicted density enables the simultaneous pricing of every alternate spread, alternate total, and teaser, providing the only mathematically sound methodology for pricing middles and identifying where the market's entire probability curve diverges from fair value.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Valuation Integral and Expected Points</w:t>
      </w:r>
    </w:p>
    <w:p w:rsidR="00000000" w:rsidDel="00000000" w:rsidP="00000000" w:rsidRDefault="00000000" w:rsidRPr="00000000" w14:paraId="00000015">
      <w:pPr>
        <w:rPr/>
      </w:pPr>
      <w:r w:rsidDel="00000000" w:rsidR="00000000" w:rsidRPr="00000000">
        <w:rPr>
          <w:rtl w:val="0"/>
        </w:rPr>
        <w:t xml:space="preserve">The valuation of a game state or a betting market must be formalized as a value function integrated over a predicted density, rather than a naive point estimate. The true value generation is defined by integrating the continuous expectation curve over the estimated density of the margin. Rather than estimating a deterministic expectation that obscures bimodal variations, the value function V is represented as the integral of the expected points g </w:t>
      </w:r>
    </w:p>
    <w:p w:rsidR="00000000" w:rsidDel="00000000" w:rsidP="00000000" w:rsidRDefault="00000000" w:rsidRPr="00000000" w14:paraId="00000016">
      <w:pPr>
        <w:rPr/>
      </w:pPr>
      <w:r w:rsidDel="00000000" w:rsidR="00000000" w:rsidRPr="00000000">
        <w:rPr>
          <w:rtl w:val="0"/>
        </w:rPr>
        <w:t xml:space="preserve">EP</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evaluated over the density f(y∣s) given the state 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approach explicitly captures the variance, the skewness, and the tail risks associated with specific matchups. By mapping the historical residual standard deviation onto the current point estimate, the system constructs a widened Gaussian baseline density. By generating a full probability density function, the engine answers not merely whether a specific spread (e.g., -3.5) holds expected value, but exactly what the fair odds should be at -1.5 through -4.5, effectively illuminating the entire structure of the market's vulnerability.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Continuous Ranked Probability Score Optimization</w:t>
      </w:r>
    </w:p>
    <w:p w:rsidR="00000000" w:rsidDel="00000000" w:rsidP="00000000" w:rsidRDefault="00000000" w:rsidRPr="00000000" w14:paraId="0000001D">
      <w:pPr>
        <w:rPr/>
      </w:pPr>
      <w:r w:rsidDel="00000000" w:rsidR="00000000" w:rsidRPr="00000000">
        <w:rPr>
          <w:rtl w:val="0"/>
        </w:rPr>
        <w:t xml:space="preserve">The migration to margin densities requires abandoning rudimentary evaluation metrics such as Mean Absolute Error (MAE) or binary Brier scores for continuous variables. The Continuous Ranked Probability Score (CRPS) is instituted as the primary, uncompromising proper scoring rule for all margin and total forecasting. CRPS generalizes the absolute error to entire predictive distributions, evaluating the integral of the squared distance between the forecast cumulative distribution function and the empirical step function at the realized outcome.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The mathematical formulation for a forecast cumulative distribution function F and an observation y is defined as the integral from negative to positive infinity of the squared difference between F(x) and the indicator function 1{x≥y}. This metric heavily penalizes models that fail to capture the true variance of the outcome, financially incentivizing strictly calibrated, honest probabilistic forecasts.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Evaluation Metric</w:t>
        <w:tab/>
        <w:t xml:space="preserve">Primary Application Domain</w:t>
        <w:tab/>
        <w:t xml:space="preserve">Mathematical Characteristic</w:t>
        <w:tab/>
        <w:t xml:space="preserve">Operational Vulnerability</w:t>
      </w:r>
    </w:p>
    <w:p w:rsidR="00000000" w:rsidDel="00000000" w:rsidP="00000000" w:rsidRDefault="00000000" w:rsidRPr="00000000" w14:paraId="00000022">
      <w:pPr>
        <w:rPr/>
      </w:pPr>
      <w:r w:rsidDel="00000000" w:rsidR="00000000" w:rsidRPr="00000000">
        <w:rPr>
          <w:rtl w:val="0"/>
        </w:rPr>
        <w:t xml:space="preserve">Mean Absolute Error (MAE)</w:t>
        <w:tab/>
        <w:t xml:space="preserve">Point estimate accuracy.</w:t>
        <w:tab/>
        <w:t xml:space="preserve">Measures absolute distance to outcome.</w:t>
        <w:tab/>
        <w:t xml:space="preserve">Ignores variance entirely; provides no measure of confidence or tail risk.</w:t>
      </w:r>
    </w:p>
    <w:p w:rsidR="00000000" w:rsidDel="00000000" w:rsidP="00000000" w:rsidRDefault="00000000" w:rsidRPr="00000000" w14:paraId="00000023">
      <w:pPr>
        <w:rPr/>
      </w:pPr>
      <w:r w:rsidDel="00000000" w:rsidR="00000000" w:rsidRPr="00000000">
        <w:rPr>
          <w:rtl w:val="0"/>
        </w:rPr>
        <w:t xml:space="preserve">Brier Score</w:t>
        <w:tab/>
        <w:t xml:space="preserve">Binary discrete outcomes.</w:t>
        <w:tab/>
        <w:t xml:space="preserve">Mean squared error of probabilities.</w:t>
        <w:tab/>
        <w:t xml:space="preserve">Incapable of evaluating continuous spreads or totals across a distribution.</w:t>
      </w:r>
    </w:p>
    <w:p w:rsidR="00000000" w:rsidDel="00000000" w:rsidP="00000000" w:rsidRDefault="00000000" w:rsidRPr="00000000" w14:paraId="00000024">
      <w:pPr>
        <w:rPr/>
      </w:pPr>
      <w:r w:rsidDel="00000000" w:rsidR="00000000" w:rsidRPr="00000000">
        <w:rPr>
          <w:rtl w:val="0"/>
        </w:rPr>
        <w:t xml:space="preserve">Continuous Ranked Probability Score (CRPS)</w:t>
        <w:tab/>
        <w:t xml:space="preserve">Full probability density functions.</w:t>
        <w:tab/>
        <w:t xml:space="preserve">Integrates squared distance between CDF and observation indicator.</w:t>
        <w:tab/>
        <w:t xml:space="preserve">Computationally intensive without closed-form expressions for standard distributions.</w:t>
      </w:r>
    </w:p>
    <w:p w:rsidR="00000000" w:rsidDel="00000000" w:rsidP="00000000" w:rsidRDefault="00000000" w:rsidRPr="00000000" w14:paraId="00000025">
      <w:pPr>
        <w:rPr/>
      </w:pPr>
      <w:r w:rsidDel="00000000" w:rsidR="00000000" w:rsidRPr="00000000">
        <w:rPr>
          <w:rtl w:val="0"/>
        </w:rPr>
        <w:t xml:space="preserve">For Gaussian predictive distributions, the architecture exploits a highly efficient closed-form expression, eliminating the massive computational overhead of numerical Monte Carlo integration. Given a Gaussian forecast with mean μ and standard deviation σ, the closed-form CRPS is calculated using the standard normal cumulative distribution function Φ and the probability density function ϕ evaluated at the standardized variable z.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deployment of this closed-form calculation allows the engine to score hundreds of thousands of hypothetical margin densities against historical settlements in milliseconds. The architectural kill line for this transition is strictly defined to prevent feature bloat: the density-based model must demonstrate a measurable CRPS improvement of less than 0.01 on a minimum sample of 150 settled spreads compared to the widened Gaussian baseline before advancing to live execution.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Finite-Sample Validity and the Reformulation of Conformal Prediction</w:t>
      </w:r>
    </w:p>
    <w:p w:rsidR="00000000" w:rsidDel="00000000" w:rsidP="00000000" w:rsidRDefault="00000000" w:rsidRPr="00000000" w14:paraId="0000002A">
      <w:pPr>
        <w:rPr/>
      </w:pPr>
      <w:r w:rsidDel="00000000" w:rsidR="00000000" w:rsidRPr="00000000">
        <w:rPr>
          <w:rtl w:val="0"/>
        </w:rPr>
        <w:t xml:space="preserve">The transition to density forecasting effectively resolves the evaluation of continuous margins, but it does not independently address the fundamental requirement for distribution-free, finite-sample predictive guarantees. Uncalibrated quantile predictions generated by deep neural networks, gradient-boosted trees, or autoregressive models exhibit severe, systemic under-coverage in finite samples. The architecture requires conformal prediction mechanisms to establish valid epistemic bounds, but the specific application must be highly tailored to the exact sample size and outcome domain to avoid catastrophic operational miscalibration.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Eradicating Fake Tightness and the Limits of Split Conformal Calibration</w:t>
      </w:r>
    </w:p>
    <w:p w:rsidR="00000000" w:rsidDel="00000000" w:rsidP="00000000" w:rsidRDefault="00000000" w:rsidRPr="00000000" w14:paraId="0000002D">
      <w:pPr>
        <w:rPr/>
      </w:pPr>
      <w:r w:rsidDel="00000000" w:rsidR="00000000" w:rsidRPr="00000000">
        <w:rPr>
          <w:rtl w:val="0"/>
        </w:rPr>
        <w:t xml:space="preserve">Conformalized Quantile Regression (CQR) is widely utilized throughout the industry to provide finite-sample validity under the assumption of data exchangeability. Standard CQR computes non-conformity scores based on the maximum error between the lower/upper prediction bands and the true label within a strictly held-out calibration set, using the empirical quantile of these scores to symmetrically inflate the prediction intervals. However, a critical mathematical failure occurs in scarce calibration environments, a reality ubiquitous in early-season sports forecasting.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For a target coverage level of 1−α, the conformal rank index k evaluates to the ceiling of (n+1)(1−α). When the calibration sample size n falls below the threshold of ⌈1/α⌉−1, the required rank index strictly exceeds the available sample size. To illustrate, at a 90% nominal coverage level (α=0.10) with a heavily constrained sample size of n=5, the formula evaluates to an index of 6. Mathematically, evaluating the empirical quantile at an inflated probability level exceeding 1.0 forces the interval to expand to positive and negative infinity.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Legacy software implementations and naive predictive pipelines frequently implement a heuristic algorithmic clamp, forcing the index to the maximum available sample size to keep the system operational and outputting finite numbers. The mathematical audit of this practice demonstrates it to be catastrophic. Selecting the maximum calibration residual at n=5 yields a true finite-sample coverage of exactly 83.33%, while the system deceptively reports 90% confidence. This "fake tightness" defect leads downstream automated execution gates to severely misprice risk, betting with false confidence on fundamentally uncalibrated intervals.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architecture mandates a strict, uncompromising fail-closed policy: all quantile clamping is banned within the system's conformal calibration libraries. The system must return infinite intervals or issue a definitive No-Bet refusal whenever the sample size cannot mathematically support the requested coverage level.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Jackknife+ Architecture for Scarce Samples</w:t>
      </w:r>
    </w:p>
    <w:p w:rsidR="00000000" w:rsidDel="00000000" w:rsidP="00000000" w:rsidRDefault="00000000" w:rsidRPr="00000000" w14:paraId="00000036">
      <w:pPr>
        <w:rPr/>
      </w:pPr>
      <w:r w:rsidDel="00000000" w:rsidR="00000000" w:rsidRPr="00000000">
        <w:rPr>
          <w:rtl w:val="0"/>
        </w:rPr>
        <w:t xml:space="preserve">To address the specific structural problem of tiny samples ubiquitous in the National Football League—where a full season yields only n=70 relevant head-to-head analogs, and burning half the dataset on a split conformal calibration set is computationally and predictively devastating—the engine abandons split CQR in favor of the Jackknife+ methodology. The Jackknife+ algorithm constructs robust prediction intervals utilizing leave-one-out (LOO) fitted regression models and their corresponding leave-one-out residuals.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This sophisticated approach completely bypasses the need for a dedicated, withheld calibration split, preserving the entirety of the sparse dataset for feature training while still providing a rigorous, distribution-free coverage guarantee. However, the architectural implementation explicitly corrects a pervasive industry misunderstanding regarding the nature of these coverage bounds. Jackknife+ provides a mathematical guarantee of finite-sample coverage equal to 1−2α, not 1−α.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Therefore, at a nominal α=0.10, the Jackknife+ interval provides exactly 80% guaranteed coverage, not the 90% frequently claimed by practitioners skimming the underlying literature. While it remains the optimal mathematical tool for NFL-scale samples because it wastes zero data on calibration splits, the system must explicitly track, log, and report this 1−2α threshold to prevent introducing the exact brand of fake tightness that the removal of split CQR clamping was engineered to solve.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Conformal Methodology</w:t>
        <w:tab/>
        <w:t xml:space="preserve">Optimal Application Environment</w:t>
        <w:tab/>
        <w:t xml:space="preserve">Data Splitting Requirement</w:t>
        <w:tab/>
        <w:t xml:space="preserve">Mathematical Coverage Guarantee</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Split Conformal Quantile Regression (CQR)</w:t>
        <w:tab/>
        <w:t xml:space="preserve">Large sample, continuous margins (n&gt;200).</w:t>
        <w:tab/>
        <w:t xml:space="preserve">Requires large withheld calibration set.</w:t>
        <w:tab/>
        <w:t xml:space="preserve">Exact 1−α finite-sample coverage under exchangeability.</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Jackknife+</w:t>
        <w:tab/>
        <w:t xml:space="preserve">Scarce sample environments (NFL, n≈70).</w:t>
        <w:tab/>
        <w:t xml:space="preserve">Zero data split; utilizes leave-one-out residuals.</w:t>
        <w:tab/>
        <w:t xml:space="preserve">Guaranteed minimum 1−2α coverage under exchangeability.</w:t>
      </w:r>
    </w:p>
    <w:p w:rsidR="00000000" w:rsidDel="00000000" w:rsidP="00000000" w:rsidRDefault="00000000" w:rsidRPr="00000000" w14:paraId="0000003F">
      <w:pPr>
        <w:rPr/>
      </w:pPr>
      <w:r w:rsidDel="00000000" w:rsidR="00000000" w:rsidRPr="00000000">
        <w:rPr>
          <w:rtl w:val="0"/>
        </w:rPr>
        <w:t xml:space="preserve">Generalized Venn-Abers</w:t>
        <w:tab/>
        <w:t xml:space="preserve">Binary moneyline and conditional probabilities.</w:t>
        <w:tab/>
        <w:t xml:space="preserve">Requires calibration set plus augmented test labels.</w:t>
        <w:tab/>
        <w:t xml:space="preserve">Generates exact [p </w:t>
      </w:r>
    </w:p>
    <w:p w:rsidR="00000000" w:rsidDel="00000000" w:rsidP="00000000" w:rsidRDefault="00000000" w:rsidRPr="00000000" w14:paraId="00000040">
      <w:pPr>
        <w:rPr/>
      </w:pPr>
      <w:r w:rsidDel="00000000" w:rsidR="00000000" w:rsidRPr="00000000">
        <w:rPr>
          <w:rtl w:val="0"/>
        </w:rPr>
        <w:t xml:space="preserve">0</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,p </w:t>
      </w:r>
    </w:p>
    <w:p w:rsidR="00000000" w:rsidDel="00000000" w:rsidP="00000000" w:rsidRDefault="00000000" w:rsidRPr="00000000" w14:paraId="00000043">
      <w:pPr>
        <w:rPr/>
      </w:pPr>
      <w:r w:rsidDel="00000000" w:rsidR="00000000" w:rsidRPr="00000000">
        <w:rPr>
          <w:rtl w:val="0"/>
        </w:rPr>
        <w:t xml:space="preserve">1</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 epistemic multiprobability bounds.</w:t>
      </w:r>
    </w:p>
    <w:p w:rsidR="00000000" w:rsidDel="00000000" w:rsidP="00000000" w:rsidRDefault="00000000" w:rsidRPr="00000000" w14:paraId="00000046">
      <w:pPr>
        <w:rPr/>
      </w:pPr>
      <w:r w:rsidDel="00000000" w:rsidR="00000000" w:rsidRPr="00000000">
        <w:rPr>
          <w:rtl w:val="0"/>
        </w:rPr>
        <w:t xml:space="preserve">Binary Market Constraints and Generalized Venn-Abers Calibration</w:t>
      </w:r>
    </w:p>
    <w:p w:rsidR="00000000" w:rsidDel="00000000" w:rsidP="00000000" w:rsidRDefault="00000000" w:rsidRPr="00000000" w14:paraId="00000047">
      <w:pPr>
        <w:rPr/>
      </w:pPr>
      <w:r w:rsidDel="00000000" w:rsidR="00000000" w:rsidRPr="00000000">
        <w:rPr>
          <w:rtl w:val="0"/>
        </w:rPr>
        <w:t xml:space="preserve">While continuous residual expansion serves numeric lines and margin densities effectively, applying CQR residual mathematics to binary moneyline outcomes is structurally and mathematically invalid. The foundational theorem established by Barber et al. (2020) places a hard, theoretical limit on the core predictive product: creating bounded-length, distribution-free confidence intervals for binary conditional probabilities is mathematically impossible without introducing underlying structural assumptions.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Because the entire foundational product relies on binary conditional probabilities—predicting which team will secure victory—any per-pick uncertainty band shipped to an operator or client is either infinitely unbounded or heavily assumption-laden. The architecture respects this absolute limit through two distinct, uncompromising protocols. First, it dictates the explicit naming of the underlying assumption—specifically, the assumption of data exchangeability—directly on the product surface. This transitions a known mathematical vulnerability into a brand asset defined by total methodological transparency, differentiating the engine from opaque competitors.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Second, the engine entirely abandons single point estimates for binary sides in favor of deploying Generalized Venn-Abers calibration. Venn-Abers calibration non-parametrically computes exact multiprobability bounds by fitting dual monotonic isotonic regressions to the calibration set. Utilizing the Pool Adjacent Violators Algorithm (PAVA), the system evaluates the calibration data augmented with hypothetical test labels representing both possible binary outcomes. This dual-pass regression produces a precise epistemic interval, defined as [p </w:t>
      </w:r>
    </w:p>
    <w:p w:rsidR="00000000" w:rsidDel="00000000" w:rsidP="00000000" w:rsidRDefault="00000000" w:rsidRPr="00000000" w14:paraId="0000004C">
      <w:pPr>
        <w:rPr/>
      </w:pPr>
      <w:r w:rsidDel="00000000" w:rsidR="00000000" w:rsidRPr="00000000">
        <w:rPr>
          <w:rtl w:val="0"/>
        </w:rPr>
        <w:t xml:space="preserve">0</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,p </w:t>
      </w:r>
    </w:p>
    <w:p w:rsidR="00000000" w:rsidDel="00000000" w:rsidP="00000000" w:rsidRDefault="00000000" w:rsidRPr="00000000" w14:paraId="0000004F">
      <w:pPr>
        <w:rPr/>
      </w:pPr>
      <w:r w:rsidDel="00000000" w:rsidR="00000000" w:rsidRPr="00000000">
        <w:rPr>
          <w:rtl w:val="0"/>
        </w:rPr>
        <w:t xml:space="preserve">1</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width of this interval, denoted as Δp, serves as a direct, quantifiable measurement of the model's epistemic doubt stemming from data paucity and algorithmic uncertainty. This interval feeds directly into the master execution orchestrator: if the epistemic spread exceeds a strict safety threshold of 0.20, the model's uncertainty is deemed mathematically excessive, the market is flagged as unpriceable, and the engine fails closed, refusing to issue a position.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Dynamic Adaptation via Adaptive Conformal Inference (ACI)</w:t>
      </w:r>
    </w:p>
    <w:p w:rsidR="00000000" w:rsidDel="00000000" w:rsidP="00000000" w:rsidRDefault="00000000" w:rsidRPr="00000000" w14:paraId="00000056">
      <w:pPr>
        <w:rPr/>
      </w:pPr>
      <w:r w:rsidDel="00000000" w:rsidR="00000000" w:rsidRPr="00000000">
        <w:rPr>
          <w:rtl w:val="0"/>
        </w:rPr>
        <w:t xml:space="preserve">Sports forecasting environments continuously and inherently violate the assumption of strict data exchangeability due to seasonal weather transitions, roster churn, coaching adaptations, and strategic evolution over the course of a long campaign. To maintain valid statistical coverage across non-exchangeable distribution drift without relying on computationally expensive full-model retraining, the calibration layer integrates Adaptive Conformal Inference (ACI).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ACI operates by monitoring the empirical coverage error in a strict online fashion, dynamically updating the nominal miscoverage level α </w:t>
      </w:r>
    </w:p>
    <w:p w:rsidR="00000000" w:rsidDel="00000000" w:rsidP="00000000" w:rsidRDefault="00000000" w:rsidRPr="00000000" w14:paraId="00000059">
      <w:pPr>
        <w:rPr/>
      </w:pPr>
      <w:r w:rsidDel="00000000" w:rsidR="00000000" w:rsidRPr="00000000">
        <w:rPr>
          <w:rtl w:val="0"/>
        </w:rPr>
        <w:t xml:space="preserve">t</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immediately after every resolved event. The update mechanism relies on an online step-error formula, adjusting the subsequent alpha target based on whether the previous true outcome fell within the predicted conformal interval. The magnitude of this adjustment is governed by a tuning parameter γ, which controls the responsiveness of the adaptation.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the system detects sequential under-coverage—indicating that the underlying distribution of the sport has shifted beyond the model's current static parameterization—the step-error mechanism automatically increases the target quantile, widening the subsequent intervals until the nominal coverage rate is fully restored. This online adaptation guarantees asymptotic coverage without requiring manual intervention, insulating the probability engine against mid-season regime changes and ensuring robust performance across diverse, shifting sporting environments.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Market Microstructure, Devigging, and B-Spline Steam Detection</w:t>
      </w:r>
    </w:p>
    <w:p w:rsidR="00000000" w:rsidDel="00000000" w:rsidP="00000000" w:rsidRDefault="00000000" w:rsidRPr="00000000" w14:paraId="00000060">
      <w:pPr>
        <w:rPr/>
      </w:pPr>
      <w:r w:rsidDel="00000000" w:rsidR="00000000" w:rsidRPr="00000000">
        <w:rPr>
          <w:rtl w:val="0"/>
        </w:rPr>
        <w:t xml:space="preserve">The isolation of pure athletic performance forecasting from market pricing is a fundamental architectural doctrine designed explicitly to prevent target leakage. Incorporating betting market closing lines as input features into team strength models induces circular confirmation bias, where the model merely learns to parrot the consensus oddsmaker rather than discovering true structural athletic edges. However, tracking the microstructure of the betting market itself provides a distinct, uncorrelated alpha stream. The objective is to detect clustered, informed betting pressure—commonly referred to as sharp liquidity or steam—and execute against the market before global equilibrium is restored.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Extracting True Probabilities via the Shin Method</w:t>
      </w:r>
    </w:p>
    <w:p w:rsidR="00000000" w:rsidDel="00000000" w:rsidP="00000000" w:rsidRDefault="00000000" w:rsidRPr="00000000" w14:paraId="00000063">
      <w:pPr>
        <w:rPr/>
      </w:pPr>
      <w:r w:rsidDel="00000000" w:rsidR="00000000" w:rsidRPr="00000000">
        <w:rPr>
          <w:rtl w:val="0"/>
        </w:rPr>
        <w:t xml:space="preserve">To accurately assess market efficiency and isolate the true implied probabilities from raw American or decimal odds, the engine must systematically remove the sportsbook's vigorish. Naive proportional normalization—which simply divides each implied probability by the total overround—systematically overweights favorites as lines become extreme, misrepresenting the bookmaker's true internal risk assessment.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architecture strictly utilizes Shin devigging for this extraction. The Shin model operates on the rigorous academic assumption that the sportsbook's overround is not merely a uniform profit margin, but a deliberate asymmetric defense mechanism protecting against a specific, modeled fraction of insider trading or sharp money within the market.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By solving a complex quadratic to identify the insider-trading parameter z, the Shin method disproportionately removes vig from the longshot outcomes, shading the fair probabilities slightly back toward the midpoint. This non-linear, mathematically grounded correction provides the most accurate reflection of the market's true belief, forming the precise, unpolluted baseline against which the decoupled performance model must prove its theoretical edge.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Devigging Methodology</w:t>
        <w:tab/>
        <w:t xml:space="preserve">Algorithmic Mechanism</w:t>
        <w:tab/>
        <w:t xml:space="preserve">Optimal Application Domain</w:t>
        <w:tab/>
        <w:t xml:space="preserve">Systematic Bias / Vulnerability</w:t>
      </w:r>
    </w:p>
    <w:p w:rsidR="00000000" w:rsidDel="00000000" w:rsidP="00000000" w:rsidRDefault="00000000" w:rsidRPr="00000000" w14:paraId="0000006A">
      <w:pPr>
        <w:rPr/>
      </w:pPr>
      <w:r w:rsidDel="00000000" w:rsidR="00000000" w:rsidRPr="00000000">
        <w:rPr>
          <w:rtl w:val="0"/>
        </w:rPr>
        <w:t xml:space="preserve">Proportional Normalization</w:t>
        <w:tab/>
        <w:t xml:space="preserve">Divides implied probability evenly by the total market overround.</w:t>
        <w:tab/>
        <w:t xml:space="preserve">Perfectly balanced, low-vig markets (e.g., standard -110 spreads).</w:t>
        <w:tab/>
        <w:t xml:space="preserve">Severely overweights heavy favorites in extreme, asymmetric markets.</w:t>
      </w:r>
    </w:p>
    <w:p w:rsidR="00000000" w:rsidDel="00000000" w:rsidP="00000000" w:rsidRDefault="00000000" w:rsidRPr="00000000" w14:paraId="0000006B">
      <w:pPr>
        <w:rPr/>
      </w:pPr>
      <w:r w:rsidDel="00000000" w:rsidR="00000000" w:rsidRPr="00000000">
        <w:rPr>
          <w:rtl w:val="0"/>
        </w:rPr>
        <w:t xml:space="preserve">Power Method</w:t>
        <w:tab/>
        <w:t xml:space="preserve">Iteratively solves for exponent k where the sum of probabilities equals 1.</w:t>
        <w:tab/>
        <w:t xml:space="preserve">General two-way spreads and totals requiring moderate correction.</w:t>
        <w:tab/>
        <w:t xml:space="preserve">Mildly dampens the favorite-longshot bias, lacking a theoretical foundation.</w:t>
      </w:r>
    </w:p>
    <w:p w:rsidR="00000000" w:rsidDel="00000000" w:rsidP="00000000" w:rsidRDefault="00000000" w:rsidRPr="00000000" w14:paraId="0000006C">
      <w:pPr>
        <w:rPr/>
      </w:pPr>
      <w:r w:rsidDel="00000000" w:rsidR="00000000" w:rsidRPr="00000000">
        <w:rPr>
          <w:rtl w:val="0"/>
        </w:rPr>
        <w:t xml:space="preserve">Shin Method</w:t>
        <w:tab/>
        <w:t xml:space="preserve">Solves quadratic for insider trading parameter z, redistributing based on risk.</w:t>
        <w:tab/>
        <w:t xml:space="preserve">Heavy favorites, futures, niche markets highly susceptible to sharp money.</w:t>
        <w:tab/>
        <w:t xml:space="preserve">Computationally heavier; represents the most accurate reflection of true bookmaker liability.</w:t>
      </w:r>
    </w:p>
    <w:p w:rsidR="00000000" w:rsidDel="00000000" w:rsidP="00000000" w:rsidRDefault="00000000" w:rsidRPr="00000000" w14:paraId="0000006D">
      <w:pPr>
        <w:rPr/>
      </w:pPr>
      <w:r w:rsidDel="00000000" w:rsidR="00000000" w:rsidRPr="00000000">
        <w:rPr>
          <w:rtl w:val="0"/>
        </w:rPr>
        <w:t xml:space="preserve">B-Spline Curvature for Parameter-Free Steam Detection</w:t>
      </w:r>
    </w:p>
    <w:p w:rsidR="00000000" w:rsidDel="00000000" w:rsidP="00000000" w:rsidRDefault="00000000" w:rsidRPr="00000000" w14:paraId="0000006E">
      <w:pPr>
        <w:rPr/>
      </w:pPr>
      <w:r w:rsidDel="00000000" w:rsidR="00000000" w:rsidRPr="00000000">
        <w:rPr>
          <w:rtl w:val="0"/>
        </w:rPr>
        <w:t xml:space="preserve">Legacy approaches to steam detection frequently attempt to fit Hawkes self-exciting point processes to order arrivals or line movements, aiming to isolate the background intensity of organic volatility from cross-excited sharp action. The architectural audit definitively rejects the Hawkes process for this specific application. Fitting a self-exciting intensity parameter requires extensive, stationary historical horizons. Applied to a live odds archive spanning only weeks rather than full seasons, the Hawkes model invariably overfits to high-frequency noise, resulting in rampant false-positive steam alerts and degraded execution performance.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superior, parameter-free alternative relies on geometric trajectory analysis applied directly to the odds time series. Treating the chronological sequence of odds movements as a geometric path, the system applies B-spline curvature mathematics. A cubic B-spline parameterization provides a continuous, twice-differentiable representation of the discrete odds shifts, effectively bridging the gap between discrete market events and continuous mathematical analysis.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 prevent the extreme amplification of micro-volatility inherent in taking second derivatives on noisy financial data, the raw odds sequence is first passed through a Rauch-Tung-Striebel (RTS) Kalman smoother. This forward-backward smoothing step optimally isolates the true macroeconomic trajectory of the market from transient bid-ask bounce and retail noise.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 the smoothed B-spline trajectory firmly established, the engine calculates the instantaneous curvature κ(t) at every point along the market timeline. An authentic steam move—driven by sudden, high-volume informed capital—exhibits a highly distinct geometric signature: an extreme global maximum in the curvature tensor, accompanied immediately by a localized deceleration dip in the trajectory's velocity as the market maker absorbs the liquidity shock and halts the line movement. By gating steam detection purely on these objective geometric curvature spikes rather than fitted historical intensities, the system achieves highly robust, parameter-free detection that operates flawlessly on thin, short-horizon data.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State-Transition Cost Principle and Latency Arbitrage</w:t>
      </w:r>
    </w:p>
    <w:p w:rsidR="00000000" w:rsidDel="00000000" w:rsidP="00000000" w:rsidRDefault="00000000" w:rsidRPr="00000000" w14:paraId="00000077">
      <w:pPr>
        <w:rPr/>
      </w:pPr>
      <w:r w:rsidDel="00000000" w:rsidR="00000000" w:rsidRPr="00000000">
        <w:rPr>
          <w:rtl w:val="0"/>
        </w:rPr>
        <w:t xml:space="preserve">The detection of steam via B-spline curvature immediately feeds into the execution logic through the deployment of the state-transition cost principle. In the realm of fluid dynamics and physical player tracking, sudden directional changes exact a heavy biomechanical toll; a defensive cornerback forced to react to a sudden route break incurs a 200 to 400-millisecond transition penalty as they physically flip their hips, dropping their forward acceleration to zero and creating a predictable, exploitable separation window for the receiver.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exact physical principle translates perfectly into the digital infrastructure of market microstructure. When a sharp betting syndicate forces a massive line movement, the global sportsbooks do not update their APIs and trading boards simultaneously. The forced transition exacts an infrastructural and risk-management cost on the bookmakers. Following genuine steam, different market makers must process the new reality, hedge liabilities, and reprice their boards at varying speeds based on their internal liquidity algorithms and data feed latencies.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During this brief 200 to 400-millisecond repricing window, stale prices persist across slower secondary books. The latency arbitrage strategy deployed by the engine does not merely attempt to measure the absolute magnitude of the odds gap; instead, utilizing an analog of the Expected Separation Over Expected (ESOE) metric originally designed for route running, the engine precisely measures the specific time-delay gap created by the forced infrastructural transition. By executing trades against the stale book exclusively within this verified deceleration window, the architecture secures risk-free closing line value immediately before the slower market maker completes its state transition, transforming a physical tracking concept into pure financial arbitrage.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Tiered Architectural Roadmap</w:t>
      </w:r>
    </w:p>
    <w:p w:rsidR="00000000" w:rsidDel="00000000" w:rsidP="00000000" w:rsidRDefault="00000000" w:rsidRPr="00000000" w14:paraId="0000007E">
      <w:pPr>
        <w:rPr/>
      </w:pPr>
      <w:r w:rsidDel="00000000" w:rsidR="00000000" w:rsidRPr="00000000">
        <w:rPr>
          <w:rtl w:val="0"/>
        </w:rPr>
        <w:t xml:space="preserve">The synthesis of these advanced calibration matrices, distribution-free uncertainty parameters, and market microstructure theories results in a strict, three-tiered implementation roadmap. This ladder ensures that no deep learning architectures or financial execution algorithms are deployed until the underlying data geometry and finite-sample guarantees are mathematically absolute, bypassing the dead ends that plague legacy systems.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Rung 1: Descriptive Analytics and Integrity Plausibility</w:t>
      </w:r>
    </w:p>
    <w:p w:rsidR="00000000" w:rsidDel="00000000" w:rsidP="00000000" w:rsidRDefault="00000000" w:rsidRPr="00000000" w14:paraId="00000081">
      <w:pPr>
        <w:rPr/>
      </w:pPr>
      <w:r w:rsidDel="00000000" w:rsidR="00000000" w:rsidRPr="00000000">
        <w:rPr>
          <w:rtl w:val="0"/>
        </w:rPr>
        <w:t xml:space="preserve">The foundational tier is completely restricted to data hygiene, descriptive baseline generation, and legal compliance, ensuring the raw material feeding the engine is fundamentally sound.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primary directive is the establishment of the physical-plausibility gates. The system must implement VERSA-style state-transition validation on all ingested data, explicitly defining hard upper bounds for telemetry (e.g., banning 13 m/s velocities) and structural market parameters (e.g., flagging non-finite timestamps and pinned consensus percentages). Every violation must be logged to map the true corruption rate of the data providers, anticipating a failure rate exceeding 5%.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Simultaneously, the engine must secure rights-clean validation pathways. The architecture mandates the cessation of all commercial deployment of CC BY-NC data such as the NFL Big Data Bowl. Non-commercial tracking datasets are to be utilized strictly for offline method validation and expected-points curve generation. Subsequently, the learned mathematical architectures and network weights must be refitted entirely onto owned, open-source event data such as nflverse. Finally, the system initiates density logging, terminating the storage of isolated point probabilities and beginning the generation of full Gaussian margin densities using historical residual variance, establishing the required dataset for future CRPS evaluation.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Rung 2: Predictive Calibration and Epistemic Bounding</w:t>
      </w:r>
    </w:p>
    <w:p w:rsidR="00000000" w:rsidDel="00000000" w:rsidP="00000000" w:rsidRDefault="00000000" w:rsidRPr="00000000" w14:paraId="00000088">
      <w:pPr>
        <w:rPr/>
      </w:pPr>
      <w:r w:rsidDel="00000000" w:rsidR="00000000" w:rsidRPr="00000000">
        <w:rPr>
          <w:rtl w:val="0"/>
        </w:rPr>
        <w:t xml:space="preserve">The second tier introduces distribution-free uncertainty quantification, enforcing the fail-closed operational policies necessary to survive in sparse data environments.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CRPS evaluation protocol becomes the absolute standard. The system replaces all Brier score tracking for continuous margins with the closed-form Gaussian Continuous Ranked Probability Score. The engine establishes a hard baseline: any new density-based model must demonstrably beat the widened point-estimate CRPS on 150+ settled spreads prior to graduation to the live environment.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binary predictions, Venn-Abers epistemic gating is activated. The architecture implements the dual PAVA isotonic regressions for all binary moneyline predictions, explicitly surfacing the exchangeability assumption on the front end to comply with the Barber (2020) limits. The live orchestrator is wired to immediately fail-closed and issue a No-Bet pass if the epistemic spread Δp exceeds 0.20.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Simultaneously, the system strips all heuristic quantile clamping from the CQR codebase to eradicate fake tightness. For small sample size regimes such as NFL head-to-head data (n&lt;70), the engine deploys the Jackknife+ leave-one-out residual methodology, strictly enforcing and reporting the true 1−2α coverage bounds rather than falsely claiming nominal coverage. Finally, Adaptive Conformal Inference (ACI) is engaged to continuously update target quantiles against empirical step errors, safeguarding the calibration layer against intra-season distribution drift.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Rung 3: Priceable Execution and Market Microstructure</w:t>
      </w:r>
    </w:p>
    <w:p w:rsidR="00000000" w:rsidDel="00000000" w:rsidP="00000000" w:rsidRDefault="00000000" w:rsidRPr="00000000" w14:paraId="00000091">
      <w:pPr>
        <w:rPr/>
      </w:pPr>
      <w:r w:rsidDel="00000000" w:rsidR="00000000" w:rsidRPr="00000000">
        <w:rPr>
          <w:rtl w:val="0"/>
        </w:rPr>
        <w:t xml:space="preserve">The final tier activates the financial execution mechanisms, leveraging the decoupled, fully calibrated performance models against the Shin-devigged market consensus.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B-Spline steam orchestration replaces legacy models. The engine deprecates the Hawkes self-exciting process for short-horizon odds data, implementing the Rauch-Tung-Striebel smoother and cubic B-spline parameterization over the live odds series. Steam-detection alerts are calibrated to trigger exclusively on mathematical maximums in the curvature tensor κ(t) combined with localized deceleration dips.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detection feeds directly into state-transition latency arbitrage. The execution engine is wired to exploit the 200-400ms repricing lag in secondary sportsbooks immediately following a B-spline curvature steam alert. By utilizing the time-delay gap principle, the engine locks in risk-free closing line value during the bookmakers' forced state transition.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Before any capital is risked, the entire system is subject to Forecast-Skill E-Process verification. The architecture deploys an anytime-valid sequential likelihood-ratio martingale, rooted in Ville's inequality, to continuously test the engine's probabilistic edge against the Shin-devigged market consensus. Only upon the E-process martingale definitively breaching the predefined confidence boundary does the system unlock capital deployment, sizing all ensuing wagers using a worst-case robust Kelly optimization calculated safely over the bounds of the Venn-Abers epistemic confidence sets.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mail.google.com</w:t>
      </w:r>
    </w:p>
    <w:p w:rsidR="00000000" w:rsidDel="00000000" w:rsidP="00000000" w:rsidRDefault="00000000" w:rsidRPr="00000000" w14:paraId="0000009B">
      <w:pPr>
        <w:rPr/>
      </w:pPr>
      <w:r w:rsidDel="00000000" w:rsidR="00000000" w:rsidRPr="00000000">
        <w:rPr>
          <w:rtl w:val="0"/>
        </w:rPr>
        <w:t xml:space="preserve">[Beexly/Sports] Model-accuracy leaderboard — rank our own model versions by calibrated accuracy (founder-gated) (PR #96)</w:t>
      </w:r>
    </w:p>
    <w:p w:rsidR="00000000" w:rsidDel="00000000" w:rsidP="00000000" w:rsidRDefault="00000000" w:rsidRPr="00000000" w14:paraId="0000009C">
      <w:pPr>
        <w:rPr/>
      </w:pPr>
      <w:r w:rsidDel="00000000" w:rsidR="00000000" w:rsidRPr="00000000">
        <w:rPr>
          <w:rtl w:val="0"/>
        </w:rPr>
        <w:t xml:space="preserve">Opens in a new window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Galaxy Sports Edge Research Audit.docx</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World-Class Sports Probability Engine Corpus Audit.docx</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GSE_58_independent_research.md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Institutional Integration of 10Hz NFL Spatial Tracking .pdf</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mail.google.com</w:t>
      </w:r>
    </w:p>
    <w:p w:rsidR="00000000" w:rsidDel="00000000" w:rsidP="00000000" w:rsidRDefault="00000000" w:rsidRPr="00000000" w14:paraId="000000AB">
      <w:pPr>
        <w:rPr/>
      </w:pPr>
      <w:r w:rsidDel="00000000" w:rsidR="00000000" w:rsidRPr="00000000">
        <w:rPr>
          <w:rtl w:val="0"/>
        </w:rPr>
        <w:t xml:space="preserve">[Beexly/Sports] feat: shadow prediction engine (persistent, shadow-only) + ops scheduler-liveness diagnostics (PR #412)</w:t>
      </w:r>
    </w:p>
    <w:p w:rsidR="00000000" w:rsidDel="00000000" w:rsidP="00000000" w:rsidRDefault="00000000" w:rsidRPr="00000000" w14:paraId="000000AC">
      <w:pPr>
        <w:rPr/>
      </w:pPr>
      <w:r w:rsidDel="00000000" w:rsidR="00000000" w:rsidRPr="00000000">
        <w:rPr>
          <w:rtl w:val="0"/>
        </w:rPr>
        <w:t xml:space="preserve">Opens in a new window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Auditing Conformal Prediction, Small-Sample Calibration, and Sports Market Probabilities for GSE.docx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CQR Research</w:t>
      </w:r>
    </w:p>
    <w:p w:rsidR="00000000" w:rsidDel="00000000" w:rsidP="00000000" w:rsidRDefault="00000000" w:rsidRPr="00000000" w14:paraId="000000B2">
      <w:pPr>
        <w:rPr/>
      </w:pPr>
      <w:r w:rsidDel="00000000" w:rsidR="00000000" w:rsidRPr="00000000">
        <w:rPr>
          <w:rtl w:val="0"/>
        </w:rPr>
        <w:t xml:space="preserve">Opens in a new window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firecrawl_activity_logs (3).csv</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towardsdatascience.com</w:t>
      </w:r>
    </w:p>
    <w:p w:rsidR="00000000" w:rsidDel="00000000" w:rsidP="00000000" w:rsidRDefault="00000000" w:rsidRPr="00000000" w14:paraId="000000B8">
      <w:pPr>
        <w:rPr/>
      </w:pPr>
      <w:r w:rsidDel="00000000" w:rsidR="00000000" w:rsidRPr="00000000">
        <w:rPr>
          <w:rtl w:val="0"/>
        </w:rPr>
        <w:t xml:space="preserve">Essential Guide to Continuous Ranked Probability Score (CRPS) for</w:t>
      </w:r>
    </w:p>
    <w:p w:rsidR="00000000" w:rsidDel="00000000" w:rsidP="00000000" w:rsidRDefault="00000000" w:rsidRPr="00000000" w14:paraId="000000B9">
      <w:pPr>
        <w:rPr/>
      </w:pPr>
      <w:r w:rsidDel="00000000" w:rsidR="00000000" w:rsidRPr="00000000">
        <w:rPr>
          <w:rtl w:val="0"/>
        </w:rPr>
        <w:t xml:space="preserve">Opens in a new window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metricgate.com</w:t>
      </w:r>
    </w:p>
    <w:p w:rsidR="00000000" w:rsidDel="00000000" w:rsidP="00000000" w:rsidRDefault="00000000" w:rsidRPr="00000000" w14:paraId="000000BC">
      <w:pPr>
        <w:rPr/>
      </w:pPr>
      <w:r w:rsidDel="00000000" w:rsidR="00000000" w:rsidRPr="00000000">
        <w:rPr>
          <w:rtl w:val="0"/>
        </w:rPr>
        <w:t xml:space="preserve">CRPS: Continuous Ranked Probability Score Calculator - MetricGate</w:t>
      </w:r>
    </w:p>
    <w:p w:rsidR="00000000" w:rsidDel="00000000" w:rsidP="00000000" w:rsidRDefault="00000000" w:rsidRPr="00000000" w14:paraId="000000BD">
      <w:pPr>
        <w:rPr/>
      </w:pPr>
      <w:r w:rsidDel="00000000" w:rsidR="00000000" w:rsidRPr="00000000">
        <w:rPr>
          <w:rtl w:val="0"/>
        </w:rPr>
        <w:t xml:space="preserve">Opens in a new window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tidyecology.com</w:t>
      </w:r>
    </w:p>
    <w:p w:rsidR="00000000" w:rsidDel="00000000" w:rsidP="00000000" w:rsidRDefault="00000000" w:rsidRPr="00000000" w14:paraId="000000C0">
      <w:pPr>
        <w:rPr/>
      </w:pPr>
      <w:r w:rsidDel="00000000" w:rsidR="00000000" w:rsidRPr="00000000">
        <w:rPr>
          <w:rtl w:val="0"/>
        </w:rPr>
        <w:t xml:space="preserve">The CRPS and the Brier score - Tidy Ecology</w:t>
      </w:r>
    </w:p>
    <w:p w:rsidR="00000000" w:rsidDel="00000000" w:rsidP="00000000" w:rsidRDefault="00000000" w:rsidRPr="00000000" w14:paraId="000000C1">
      <w:pPr>
        <w:rPr/>
      </w:pPr>
      <w:r w:rsidDel="00000000" w:rsidR="00000000" w:rsidRPr="00000000">
        <w:rPr>
          <w:rtl w:val="0"/>
        </w:rPr>
        <w:t xml:space="preserve">Opens in a new window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emergentmind.com</w:t>
      </w:r>
    </w:p>
    <w:p w:rsidR="00000000" w:rsidDel="00000000" w:rsidP="00000000" w:rsidRDefault="00000000" w:rsidRPr="00000000" w14:paraId="000000C4">
      <w:pPr>
        <w:rPr/>
      </w:pPr>
      <w:r w:rsidDel="00000000" w:rsidR="00000000" w:rsidRPr="00000000">
        <w:rPr>
          <w:rtl w:val="0"/>
        </w:rPr>
        <w:t xml:space="preserve">Continuous Ranked Probability Score (CRPS) - Emergent Mind</w:t>
      </w:r>
    </w:p>
    <w:p w:rsidR="00000000" w:rsidDel="00000000" w:rsidP="00000000" w:rsidRDefault="00000000" w:rsidRPr="00000000" w14:paraId="000000C5">
      <w:pPr>
        <w:rPr/>
      </w:pPr>
      <w:r w:rsidDel="00000000" w:rsidR="00000000" w:rsidRPr="00000000">
        <w:rPr>
          <w:rtl w:val="0"/>
        </w:rPr>
        <w:t xml:space="preserve">Opens in a new window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arxiv.org</w:t>
      </w:r>
    </w:p>
    <w:p w:rsidR="00000000" w:rsidDel="00000000" w:rsidP="00000000" w:rsidRDefault="00000000" w:rsidRPr="00000000" w14:paraId="000000C8">
      <w:pPr>
        <w:rPr/>
      </w:pPr>
      <w:r w:rsidDel="00000000" w:rsidR="00000000" w:rsidRPr="00000000">
        <w:rPr>
          <w:rtl w:val="0"/>
        </w:rPr>
        <w:t xml:space="preserve">Decompositions of the mean continuous ranked probability score</w:t>
      </w:r>
    </w:p>
    <w:p w:rsidR="00000000" w:rsidDel="00000000" w:rsidP="00000000" w:rsidRDefault="00000000" w:rsidRPr="00000000" w14:paraId="000000C9">
      <w:pPr>
        <w:rPr/>
      </w:pPr>
      <w:r w:rsidDel="00000000" w:rsidR="00000000" w:rsidRPr="00000000">
        <w:rPr>
          <w:rtl w:val="0"/>
        </w:rPr>
        <w:t xml:space="preserve">Opens in a new window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github.com</w:t>
      </w:r>
    </w:p>
    <w:p w:rsidR="00000000" w:rsidDel="00000000" w:rsidP="00000000" w:rsidRDefault="00000000" w:rsidRPr="00000000" w14:paraId="000000CC">
      <w:pPr>
        <w:rPr/>
      </w:pPr>
      <w:r w:rsidDel="00000000" w:rsidR="00000000" w:rsidRPr="00000000">
        <w:rPr>
          <w:rtl w:val="0"/>
        </w:rPr>
        <w:t xml:space="preserve">ENH: stats: Gaussian Continuous Ranked Probability Score (CRPS)</w:t>
      </w:r>
    </w:p>
    <w:p w:rsidR="00000000" w:rsidDel="00000000" w:rsidP="00000000" w:rsidRDefault="00000000" w:rsidRPr="00000000" w14:paraId="000000CD">
      <w:pPr>
        <w:rPr/>
      </w:pPr>
      <w:r w:rsidDel="00000000" w:rsidR="00000000" w:rsidRPr="00000000">
        <w:rPr>
          <w:rtl w:val="0"/>
        </w:rPr>
        <w:t xml:space="preserve">Opens in a new window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betherosports.com</w:t>
      </w:r>
    </w:p>
    <w:p w:rsidR="00000000" w:rsidDel="00000000" w:rsidP="00000000" w:rsidRDefault="00000000" w:rsidRPr="00000000" w14:paraId="000000D0">
      <w:pPr>
        <w:rPr/>
      </w:pPr>
      <w:r w:rsidDel="00000000" w:rsidR="00000000" w:rsidRPr="00000000">
        <w:rPr>
          <w:rtl w:val="0"/>
        </w:rPr>
        <w:t xml:space="preserve">Devigging Methods: Power, Shin, Additive, Multiplicative | Bet Hero</w:t>
      </w:r>
    </w:p>
    <w:p w:rsidR="00000000" w:rsidDel="00000000" w:rsidP="00000000" w:rsidRDefault="00000000" w:rsidRPr="00000000" w14:paraId="000000D1">
      <w:pPr>
        <w:rPr/>
      </w:pPr>
      <w:r w:rsidDel="00000000" w:rsidR="00000000" w:rsidRPr="00000000">
        <w:rPr>
          <w:rtl w:val="0"/>
        </w:rPr>
        <w:t xml:space="preserve">Opens in a new window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clawarbs.com</w:t>
      </w:r>
    </w:p>
    <w:p w:rsidR="00000000" w:rsidDel="00000000" w:rsidP="00000000" w:rsidRDefault="00000000" w:rsidRPr="00000000" w14:paraId="000000D4">
      <w:pPr>
        <w:rPr/>
      </w:pPr>
      <w:r w:rsidDel="00000000" w:rsidR="00000000" w:rsidRPr="00000000">
        <w:rPr>
          <w:rtl w:val="0"/>
        </w:rPr>
        <w:t xml:space="preserve">Devig Prediction Markets: Kalshi &amp; Polymarket Fair Odds - Claw Arbs</w:t>
      </w:r>
    </w:p>
    <w:p w:rsidR="00000000" w:rsidDel="00000000" w:rsidP="00000000" w:rsidRDefault="00000000" w:rsidRPr="00000000" w14:paraId="000000D5">
      <w:pPr>
        <w:rPr/>
      </w:pPr>
      <w:r w:rsidDel="00000000" w:rsidR="00000000" w:rsidRPr="00000000">
        <w:rPr>
          <w:rtl w:val="0"/>
        </w:rPr>
        <w:t xml:space="preserve">Opens in a new window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arxiv.org</w:t>
      </w:r>
    </w:p>
    <w:p w:rsidR="00000000" w:rsidDel="00000000" w:rsidP="00000000" w:rsidRDefault="00000000" w:rsidRPr="00000000" w14:paraId="000000D8">
      <w:pPr>
        <w:rPr/>
      </w:pPr>
      <w:r w:rsidDel="00000000" w:rsidR="00000000" w:rsidRPr="00000000">
        <w:rPr>
          <w:rtl w:val="0"/>
        </w:rPr>
        <w:t xml:space="preserve">the profit–bias identity in sports betting: bookmaker - arXiv</w:t>
      </w:r>
    </w:p>
    <w:p w:rsidR="00000000" w:rsidDel="00000000" w:rsidP="00000000" w:rsidRDefault="00000000" w:rsidRPr="00000000" w14:paraId="000000D9">
      <w:pPr>
        <w:rPr/>
      </w:pPr>
      <w:r w:rsidDel="00000000" w:rsidR="00000000" w:rsidRPr="00000000">
        <w:rPr>
          <w:rtl w:val="0"/>
        </w:rPr>
        <w:t xml:space="preserve">Opens in a new window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teachersbet.com</w:t>
      </w:r>
    </w:p>
    <w:p w:rsidR="00000000" w:rsidDel="00000000" w:rsidP="00000000" w:rsidRDefault="00000000" w:rsidRPr="00000000" w14:paraId="000000DC">
      <w:pPr>
        <w:rPr/>
      </w:pPr>
      <w:r w:rsidDel="00000000" w:rsidR="00000000" w:rsidRPr="00000000">
        <w:rPr>
          <w:rtl w:val="0"/>
        </w:rPr>
        <w:t xml:space="preserve">Sports Betting Formulas: Every Equation | Teacher's Bet</w:t>
      </w:r>
    </w:p>
    <w:p w:rsidR="00000000" w:rsidDel="00000000" w:rsidP="00000000" w:rsidRDefault="00000000" w:rsidRPr="00000000" w14:paraId="000000DD">
      <w:pPr>
        <w:rPr/>
      </w:pPr>
      <w:r w:rsidDel="00000000" w:rsidR="00000000" w:rsidRPr="00000000">
        <w:rPr>
          <w:rtl w:val="0"/>
        </w:rPr>
        <w:t xml:space="preserve">Opens in a new window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wiwi.uni-muenster.de</w:t>
      </w:r>
    </w:p>
    <w:p w:rsidR="00000000" w:rsidDel="00000000" w:rsidP="00000000" w:rsidRDefault="00000000" w:rsidRPr="00000000" w14:paraId="000000E0">
      <w:pPr>
        <w:rPr/>
      </w:pPr>
      <w:r w:rsidDel="00000000" w:rsidR="00000000" w:rsidRPr="00000000">
        <w:rPr>
          <w:rtl w:val="0"/>
        </w:rPr>
        <w:t xml:space="preserve">Inter-market Arbitrage in Betting - wiwi.uni-muenster.de</w:t>
      </w:r>
    </w:p>
    <w:p w:rsidR="00000000" w:rsidDel="00000000" w:rsidP="00000000" w:rsidRDefault="00000000" w:rsidRPr="00000000" w14:paraId="000000E1">
      <w:pPr>
        <w:rPr/>
      </w:pPr>
      <w:r w:rsidDel="00000000" w:rsidR="00000000" w:rsidRPr="00000000">
        <w:rPr>
          <w:rtl w:val="0"/>
        </w:rPr>
        <w:t xml:space="preserve">Opens in a new window</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repositum.tuwien.at</w:t>
      </w:r>
    </w:p>
    <w:p w:rsidR="00000000" w:rsidDel="00000000" w:rsidP="00000000" w:rsidRDefault="00000000" w:rsidRPr="00000000" w14:paraId="000000E4">
      <w:pPr>
        <w:rPr/>
      </w:pPr>
      <w:r w:rsidDel="00000000" w:rsidR="00000000" w:rsidRPr="00000000">
        <w:rPr>
          <w:rtl w:val="0"/>
        </w:rPr>
        <w:t xml:space="preserve">Integration of Satellite and Inertial Navigation with Laser Scanning</w:t>
      </w:r>
    </w:p>
    <w:p w:rsidR="00000000" w:rsidDel="00000000" w:rsidP="00000000" w:rsidRDefault="00000000" w:rsidRPr="00000000" w14:paraId="000000E5">
      <w:pPr>
        <w:rPr/>
      </w:pPr>
      <w:r w:rsidDel="00000000" w:rsidR="00000000" w:rsidRPr="00000000">
        <w:rPr>
          <w:rtl w:val="0"/>
        </w:rPr>
        <w:t xml:space="preserve">Opens in a new window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oro.open.ac.uk</w:t>
      </w:r>
    </w:p>
    <w:p w:rsidR="00000000" w:rsidDel="00000000" w:rsidP="00000000" w:rsidRDefault="00000000" w:rsidRPr="00000000" w14:paraId="000000E8">
      <w:pPr>
        <w:rPr/>
      </w:pPr>
      <w:r w:rsidDel="00000000" w:rsidR="00000000" w:rsidRPr="00000000">
        <w:rPr>
          <w:rtl w:val="0"/>
        </w:rPr>
        <w:t xml:space="preserve">Thesis for Repository.pdf - Open Research Online</w:t>
      </w:r>
    </w:p>
    <w:p w:rsidR="00000000" w:rsidDel="00000000" w:rsidP="00000000" w:rsidRDefault="00000000" w:rsidRPr="00000000" w14:paraId="000000E9">
      <w:pPr>
        <w:rPr/>
      </w:pPr>
      <w:r w:rsidDel="00000000" w:rsidR="00000000" w:rsidRPr="00000000">
        <w:rPr>
          <w:rtl w:val="0"/>
        </w:rPr>
        <w:t xml:space="preserve">Opens in a new window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arxiv.org</w:t>
      </w:r>
    </w:p>
    <w:p w:rsidR="00000000" w:rsidDel="00000000" w:rsidP="00000000" w:rsidRDefault="00000000" w:rsidRPr="00000000" w14:paraId="000000EC">
      <w:pPr>
        <w:rPr/>
      </w:pPr>
      <w:r w:rsidDel="00000000" w:rsidR="00000000" w:rsidRPr="00000000">
        <w:rPr>
          <w:rtl w:val="0"/>
        </w:rPr>
        <w:t xml:space="preserve">Continuous-Time State Estimation Methods in Robotics: A Survey</w:t>
      </w:r>
    </w:p>
    <w:p w:rsidR="00000000" w:rsidDel="00000000" w:rsidP="00000000" w:rsidRDefault="00000000" w:rsidRPr="00000000" w14:paraId="000000ED">
      <w:pPr>
        <w:rPr/>
      </w:pPr>
      <w:r w:rsidDel="00000000" w:rsidR="00000000" w:rsidRPr="00000000">
        <w:rPr>
          <w:rtl w:val="0"/>
        </w:rPr>
        <w:t xml:space="preserve">Opens in a new window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rt.isy.liu.se</w:t>
      </w:r>
    </w:p>
    <w:p w:rsidR="00000000" w:rsidDel="00000000" w:rsidP="00000000" w:rsidRDefault="00000000" w:rsidRPr="00000000" w14:paraId="000000F0">
      <w:pPr>
        <w:rPr/>
      </w:pPr>
      <w:r w:rsidDel="00000000" w:rsidR="00000000" w:rsidRPr="00000000">
        <w:rPr>
          <w:rtl w:val="0"/>
        </w:rPr>
        <w:t xml:space="preserve">Estimation of Nonlinear Dynamic Systems - Automatic Control</w:t>
      </w:r>
    </w:p>
    <w:p w:rsidR="00000000" w:rsidDel="00000000" w:rsidP="00000000" w:rsidRDefault="00000000" w:rsidRPr="00000000" w14:paraId="000000F1">
      <w:pPr>
        <w:rPr/>
      </w:pPr>
      <w:r w:rsidDel="00000000" w:rsidR="00000000" w:rsidRPr="00000000">
        <w:rPr>
          <w:rtl w:val="0"/>
        </w:rPr>
        <w:t xml:space="preserve">Opens in a new window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mdpi.com</w:t>
      </w:r>
    </w:p>
    <w:p w:rsidR="00000000" w:rsidDel="00000000" w:rsidP="00000000" w:rsidRDefault="00000000" w:rsidRPr="00000000" w14:paraId="000000F4">
      <w:pPr>
        <w:rPr/>
      </w:pPr>
      <w:r w:rsidDel="00000000" w:rsidR="00000000" w:rsidRPr="00000000">
        <w:rPr>
          <w:rtl w:val="0"/>
        </w:rPr>
        <w:t xml:space="preserve">Extracting Vehicle Trajectories from Partially Overlapping Roadside</w:t>
      </w:r>
    </w:p>
    <w:p w:rsidR="00000000" w:rsidDel="00000000" w:rsidP="00000000" w:rsidRDefault="00000000" w:rsidRPr="00000000" w14:paraId="000000F5">
      <w:pPr>
        <w:rPr/>
      </w:pPr>
      <w:r w:rsidDel="00000000" w:rsidR="00000000" w:rsidRPr="00000000">
        <w:rPr>
          <w:rtl w:val="0"/>
        </w:rPr>
        <w:t xml:space="preserve">Opens in a new window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researchgate.net</w:t>
      </w:r>
    </w:p>
    <w:p w:rsidR="00000000" w:rsidDel="00000000" w:rsidP="00000000" w:rsidRDefault="00000000" w:rsidRPr="00000000" w14:paraId="000000F8">
      <w:pPr>
        <w:rPr/>
      </w:pPr>
      <w:r w:rsidDel="00000000" w:rsidR="00000000" w:rsidRPr="00000000">
        <w:rPr>
          <w:rtl w:val="0"/>
        </w:rPr>
        <w:t xml:space="preserve">Coordinate measuring experiment of turbine guide vane.</w:t>
      </w:r>
    </w:p>
    <w:p w:rsidR="00000000" w:rsidDel="00000000" w:rsidP="00000000" w:rsidRDefault="00000000" w:rsidRPr="00000000" w14:paraId="000000F9">
      <w:pPr>
        <w:rPr/>
      </w:pPr>
      <w:r w:rsidDel="00000000" w:rsidR="00000000" w:rsidRPr="00000000">
        <w:rPr>
          <w:rtl w:val="0"/>
        </w:rPr>
        <w:t xml:space="preserve">Opens in a new window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unityhealth.info</w:t>
      </w:r>
    </w:p>
    <w:p w:rsidR="00000000" w:rsidDel="00000000" w:rsidP="00000000" w:rsidRDefault="00000000" w:rsidRPr="00000000" w14:paraId="000000FC">
      <w:pPr>
        <w:rPr/>
      </w:pPr>
      <w:r w:rsidDel="00000000" w:rsidR="00000000" w:rsidRPr="00000000">
        <w:rPr>
          <w:rtl w:val="0"/>
        </w:rPr>
        <w:t xml:space="preserve">Courtsiding Detection: Latency Arbitrage Risk Management</w:t>
      </w:r>
    </w:p>
    <w:p w:rsidR="00000000" w:rsidDel="00000000" w:rsidP="00000000" w:rsidRDefault="00000000" w:rsidRPr="00000000" w14:paraId="000000FD">
      <w:pPr>
        <w:rPr/>
      </w:pPr>
      <w:r w:rsidDel="00000000" w:rsidR="00000000" w:rsidRPr="00000000">
        <w:rPr>
          <w:rtl w:val="0"/>
        </w:rPr>
        <w:t xml:space="preserve">Opens in a new window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onprediction.xyz</w:t>
      </w:r>
    </w:p>
    <w:p w:rsidR="00000000" w:rsidDel="00000000" w:rsidP="00000000" w:rsidRDefault="00000000" w:rsidRPr="00000000" w14:paraId="00000100">
      <w:pPr>
        <w:rPr/>
      </w:pPr>
      <w:r w:rsidDel="00000000" w:rsidR="00000000" w:rsidRPr="00000000">
        <w:rPr>
          <w:rtl w:val="0"/>
        </w:rPr>
        <w:t xml:space="preserve">On Prediction — The Knowledge Hub for Prediction Markets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