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Autonomous High-Leverage Algorithmic Trading Architecture: Feasibility and Implementation for Small-Capital Accounts</w:t>
      </w:r>
    </w:p>
    <w:p w:rsidR="00000000" w:rsidDel="00000000" w:rsidP="00000000" w:rsidRDefault="00000000" w:rsidRPr="00000000" w14:paraId="00000002">
      <w:pPr>
        <w:rPr/>
      </w:pPr>
      <w:r w:rsidDel="00000000" w:rsidR="00000000" w:rsidRPr="00000000">
        <w:rPr>
          <w:rtl w:val="0"/>
        </w:rPr>
        <w:t xml:space="preserve">The engineering of a fully autonomous algorithmic trading system targeting extreme capital appreciation—specifically, generating a minimum of $300 in daily net profit from an initial principal base of $200 over a consecutive 365-day period—represents a highly complex intersection of quantitative finance, high-performance software engineering, and strict regulatory compliance. Achieving a sustained 150% daily return profile necessitates a sophisticated technological stack capable of processing high-frequency data, executing complex non-linear derivatives transactions, and navigating the microstructural frictions of modern electronic markets.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comprehensive report provides an exhaustive architectural blueprint for such a system, synthesizing a diverse array of specialized codebases into a cohesive, event-driven trading apparatus. Furthermore, the analysis rigorously evaluates the mathematical viability of the target return profile under the constraints of the Kelly criterion, the probability of ruin, market microstructure, and the modernized 2026 United States brokerage regulatory framework.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Regulatory Framework and Capital Constraints</w:t>
      </w:r>
    </w:p>
    <w:p w:rsidR="00000000" w:rsidDel="00000000" w:rsidP="00000000" w:rsidRDefault="00000000" w:rsidRPr="00000000" w14:paraId="00000007">
      <w:pPr>
        <w:rPr/>
      </w:pPr>
      <w:r w:rsidDel="00000000" w:rsidR="00000000" w:rsidRPr="00000000">
        <w:rPr>
          <w:rtl w:val="0"/>
        </w:rPr>
        <w:t xml:space="preserve">The regulatory environment governing retail algorithmic trading in the United States underwent a profound transformation in 2026, fundamentally altering the constraints applied to low-capital accounts. For a trading system operating out of Houston, Texas, these federal regulations strictly dictate the allowable operational parameters and instrument selections available to the autonomous agent.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Elimination of the Pattern Day Trader (PDT) Rule</w:t>
      </w:r>
    </w:p>
    <w:p w:rsidR="00000000" w:rsidDel="00000000" w:rsidP="00000000" w:rsidRDefault="00000000" w:rsidRPr="00000000" w14:paraId="0000000A">
      <w:pPr>
        <w:rPr/>
      </w:pPr>
      <w:r w:rsidDel="00000000" w:rsidR="00000000" w:rsidRPr="00000000">
        <w:rPr>
          <w:rtl w:val="0"/>
        </w:rPr>
        <w:t xml:space="preserve">For over two decades, the Financial Industry Regulatory Authority (FINRA) enforced the Pattern Day Trader (PDT) rule under Rule 4210, which mandated that any margin account executing four or more day trades within a rolling five-business-day period maintain a minimum equity balance of $25,000. This regulatory barrier severely restricted the frequency at which small-capital accounts could deploy autonomous, high-frequency algorithms, essentially locking undercapitalized participants out of active intraday speculation.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However, on April 14, 2026, the Securities and Exchange Commission (SEC) approved sweeping amendments to FINRA Rule 4210, effectively eliminating the $25,000 minimum equity requirement and abolishing the "pattern day trader" classification entirely. As established by FINRA Regulatory Notice 26-10, the new rules took effect on June 4, 2026, with an 18-month phase-in period extending through October 20, 2027, for broker-dealers requiring infrastructural and software upgrades.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Under the modernized regulatory framework, the archaic trade-counting mechanism has been replaced by a risk-based Intraday Margin Level (IML) and Intraday Margin Deficit (IMD) system. Broker-dealers are now required to evaluate the intraday risk of an account continuously, measuring the largest shortfall between the required maintenance margin and the account's equity following any margin-reducing transaction. If an account incurs an intraday margin deficit, the trader is subject to margin calls, and repeated failures to satisfy these deficits prompt a 90-day freeze on creating or increasing debit balances. Furthermore, the special "day-trading buying power" calculation, which previously provided PDT accounts with 4x intraday leverage, was eliminated, reverting accounts to standard Regulation T margin requirements.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Regulatory Element</w:t>
        <w:tab/>
        <w:t xml:space="preserve">Pre-2026 Framework (Legacy)</w:t>
        <w:tab/>
        <w:t xml:space="preserve">Post-June 2026 Framework (Active)</w:t>
      </w:r>
    </w:p>
    <w:p w:rsidR="00000000" w:rsidDel="00000000" w:rsidP="00000000" w:rsidRDefault="00000000" w:rsidRPr="00000000" w14:paraId="00000011">
      <w:pPr>
        <w:rPr/>
      </w:pPr>
      <w:r w:rsidDel="00000000" w:rsidR="00000000" w:rsidRPr="00000000">
        <w:rPr>
          <w:rtl w:val="0"/>
        </w:rPr>
        <w:t xml:space="preserve">Day Trade Designation</w:t>
        <w:tab/>
        <w:t xml:space="preserve">"Pattern Day Trader" flagged after 4 trades in 5 days.</w:t>
        <w:tab/>
        <w:t xml:space="preserve">Classification entirely abolished. No trade limits.</w:t>
      </w:r>
    </w:p>
    <w:p w:rsidR="00000000" w:rsidDel="00000000" w:rsidP="00000000" w:rsidRDefault="00000000" w:rsidRPr="00000000" w14:paraId="00000012">
      <w:pPr>
        <w:rPr/>
      </w:pPr>
      <w:r w:rsidDel="00000000" w:rsidR="00000000" w:rsidRPr="00000000">
        <w:rPr>
          <w:rtl w:val="0"/>
        </w:rPr>
        <w:t xml:space="preserve">Minimum Equity</w:t>
        <w:tab/>
        <w:t xml:space="preserve">$25,000 flat minimum to avoid trading restrictions.</w:t>
        <w:tab/>
        <w:t xml:space="preserve">$2,000 standard margin minimum; equity proportional to intraday exposure.</w:t>
      </w:r>
    </w:p>
    <w:p w:rsidR="00000000" w:rsidDel="00000000" w:rsidP="00000000" w:rsidRDefault="00000000" w:rsidRPr="00000000" w14:paraId="00000013">
      <w:pPr>
        <w:rPr/>
      </w:pPr>
      <w:r w:rsidDel="00000000" w:rsidR="00000000" w:rsidRPr="00000000">
        <w:rPr>
          <w:rtl w:val="0"/>
        </w:rPr>
        <w:t xml:space="preserve">Leverage Limit</w:t>
        <w:tab/>
        <w:t xml:space="preserve">4x intraday day-trading buying power.</w:t>
        <w:tab/>
        <w:t xml:space="preserve">Standard Regulation T margin requirements (2x overnight/intraday).</w:t>
      </w:r>
    </w:p>
    <w:p w:rsidR="00000000" w:rsidDel="00000000" w:rsidP="00000000" w:rsidRDefault="00000000" w:rsidRPr="00000000" w14:paraId="00000014">
      <w:pPr>
        <w:rPr/>
      </w:pPr>
      <w:r w:rsidDel="00000000" w:rsidR="00000000" w:rsidRPr="00000000">
        <w:rPr>
          <w:rtl w:val="0"/>
        </w:rPr>
        <w:t xml:space="preserve">Risk Monitoring</w:t>
        <w:tab/>
        <w:t xml:space="preserve">End-of-day balance checks.</w:t>
        <w:tab/>
        <w:t xml:space="preserve">Real-time Intraday Margin Deficit (IMD) monitoring.</w:t>
      </w:r>
    </w:p>
    <w:p w:rsidR="00000000" w:rsidDel="00000000" w:rsidP="00000000" w:rsidRDefault="00000000" w:rsidRPr="00000000" w14:paraId="00000015">
      <w:pPr>
        <w:rPr/>
      </w:pPr>
      <w:r w:rsidDel="00000000" w:rsidR="00000000" w:rsidRPr="00000000">
        <w:rPr>
          <w:rtl w:val="0"/>
        </w:rPr>
        <w:t xml:space="preserve">Violation Penalty</w:t>
        <w:tab/>
        <w:t xml:space="preserve">90-day restriction to liquidation-only trades.</w:t>
        <w:tab/>
        <w:t xml:space="preserve">90-day freeze on creating new debit balances for repeated IMD failures.</w:t>
      </w:r>
    </w:p>
    <w:p w:rsidR="00000000" w:rsidDel="00000000" w:rsidP="00000000" w:rsidRDefault="00000000" w:rsidRPr="00000000" w14:paraId="00000016">
      <w:pPr>
        <w:rPr/>
      </w:pPr>
      <w:r w:rsidDel="00000000" w:rsidR="00000000" w:rsidRPr="00000000">
        <w:rPr>
          <w:rtl w:val="0"/>
        </w:rPr>
        <w:t xml:space="preserve">Cash Account Limitations and T+1 Settlement</w:t>
      </w:r>
    </w:p>
    <w:p w:rsidR="00000000" w:rsidDel="00000000" w:rsidP="00000000" w:rsidRDefault="00000000" w:rsidRPr="00000000" w14:paraId="00000017">
      <w:pPr>
        <w:rPr/>
      </w:pPr>
      <w:r w:rsidDel="00000000" w:rsidR="00000000" w:rsidRPr="00000000">
        <w:rPr>
          <w:rtl w:val="0"/>
        </w:rPr>
        <w:t xml:space="preserve">While the $25,000 PDT rule has been abolished, FINRA regulations still mandate a minimum equity balance of $2,000 to open and operate a margin account. Given the strict constraint of a $200 initial capital base outlined for this system, the autonomous trading algorithm cannot legally operate within a margin framework. Consequently, the system is relegated to operating exclusively within a cash account.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Cash accounts are entirely exempt from margin rules, including the new intraday margin deficit calculations, but they are governed by strict settlement regulations. Under the SEC's T+1 settlement cycle, which was fully implemented in May 2024, the proceeds from the sale of securities settle one business day after the trade date. Operating an autonomous trading agent in a cash account means the system can only trade with settled funds. If the algorithm deploys the entire $200 capital base into a position and subsequently closes that position, the principal and any accrued profits remain unsettled and inaccessible until the following business day.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Attempting to deploy those unsettled funds for subsequent intraday trades constitutes a Good Faith Violation (GFV), which can lead to severe account restrictions, up to a complete 90-day trading freeze. Therefore, the autonomous system is structurally limited to a single total-capital deployment per day (or multiple smaller deployments summing to exactly $200). To generate $300 in net profit from a single $200 daily deployment, the underlying strategy must capture a 150% return on investment in a single intraday holding period.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Instrument Selection: Zero Days to Expiration (0DTE) Options</w:t>
      </w:r>
    </w:p>
    <w:p w:rsidR="00000000" w:rsidDel="00000000" w:rsidP="00000000" w:rsidRDefault="00000000" w:rsidRPr="00000000" w14:paraId="0000001E">
      <w:pPr>
        <w:rPr/>
      </w:pPr>
      <w:r w:rsidDel="00000000" w:rsidR="00000000" w:rsidRPr="00000000">
        <w:rPr>
          <w:rtl w:val="0"/>
        </w:rPr>
        <w:t xml:space="preserve">Generating a 150% intraday return without the use of margin leverage eliminates the viability of trading standard equities, futures, or exchange-traded funds (ETFs). Even the most volatile micro-cap equities rarely exhibit unleveraged intraday price swings of that magnitude, and those that do suffer from extreme illiquidity. To achieve the requisite asymmetric payoff profile within a cash account, the system must trade highly leveraged, non-linear derivative instruments.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Given the regulatory cash account constraints—which strictly prohibit short selling, naked options writing, and complex multi-leg margin spreads—the algorithm is restricted to purchasing long options (calls and puts). Specifically, Zero Days to Expiration (0DTE) options provide the precise mathematical characteristics necessary to attempt this objective. 0DTE options are derivative contracts that expire on the exact same trading day they are opened, meaning their pricing consists entirely of intrinsic value and rapidly decaying extrinsic (time) value.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gamma profile of 0DTE options allows for explosive, non-linear price appreciation. As the underlying asset approaches the strike price of the option on the day of expiration, the delta of the option accelerates rapidly, creating massive percentage gains from relatively small directional movements in the underlying index (e.g., the S&amp;P 500 or Nasdaq-100). This makes them highly attractive for day traders seeking rapid profit potential and lower capital requirements, fulfilling the mathematical necessity of turning $200 into $500 (principal plus profit) within a single session.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However, the aggressive decay of theta (time decay) and the heightened sensitivity to implied volatility (vega) mean that 0DTE options represent a binary outcome: the options either multiply in value due to a swift directional move, or they expire worthless, resulting in a 100% loss of the deployed capital.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Market Microstructure Frictions and Deep Hedging</w:t>
      </w:r>
    </w:p>
    <w:p w:rsidR="00000000" w:rsidDel="00000000" w:rsidP="00000000" w:rsidRDefault="00000000" w:rsidRPr="00000000" w14:paraId="00000027">
      <w:pPr>
        <w:rPr/>
      </w:pPr>
      <w:r w:rsidDel="00000000" w:rsidR="00000000" w:rsidRPr="00000000">
        <w:rPr>
          <w:rtl w:val="0"/>
        </w:rPr>
        <w:t xml:space="preserve">Executing 0DTE options successfully requires overcoming severe market microstructure frictions. Financial markets are not frictionless environments; they are governed by liquidity providers and market makers who extract value through the bid-ask spread.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Cost of Illiquidity and Slippage</w:t>
      </w:r>
    </w:p>
    <w:p w:rsidR="00000000" w:rsidDel="00000000" w:rsidP="00000000" w:rsidRDefault="00000000" w:rsidRPr="00000000" w14:paraId="0000002A">
      <w:pPr>
        <w:rPr/>
      </w:pPr>
      <w:r w:rsidDel="00000000" w:rsidR="00000000" w:rsidRPr="00000000">
        <w:rPr>
          <w:rtl w:val="0"/>
        </w:rPr>
        <w:t xml:space="preserve">0DTE options exhibit higher realized volatility than standard 1–7 DTE contracts, leading market makers to widen the bid-ask spread to compensate for inventory risk and adverse selection. When an algorithmic system crosses the spread to execute a market order, the immediate transaction cost creates a severe performance drag. In academic reviews of options pricing, transaction costs for out-of-the-money (OTM) options can reach between 4% and 6% of the premium simply due to the spread.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For a $200 account attempting a 150% return, paying a 5% friction tax on entry and a 5% friction tax on exit requires the underlying instrument to appreciate by over 160% just to hit the net $300 profit target. Furthermore, the act of buying the option introduces market impact. Buying pressure can inadvertently create a feedback loop that increases the option's value over time, especially in inefficient or illiquid environments. As the stock price rises, the call option's delta increases, requiring market makers to buy additional shares of the underlying to maintain a delta-neutral position, which introduces further slippage.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Limit Order Books and Deep Hawkes Processes</w:t>
      </w:r>
    </w:p>
    <w:p w:rsidR="00000000" w:rsidDel="00000000" w:rsidP="00000000" w:rsidRDefault="00000000" w:rsidRPr="00000000" w14:paraId="0000002F">
      <w:pPr>
        <w:rPr/>
      </w:pPr>
      <w:r w:rsidDel="00000000" w:rsidR="00000000" w:rsidRPr="00000000">
        <w:rPr>
          <w:rtl w:val="0"/>
        </w:rPr>
        <w:t xml:space="preserve">To combat these microstructural frictions, the autonomous system must avoid market orders entirely and interact directly with the Limit Order Book (LOB) using advanced, low-latency quoting strategies. High-Frequency Trading (HFT) and market-making strategies rely on predicting the micro-trends of the LOB to post limit orders at the optimal price, order type, and execution time.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system architecture utilizes a Deep Hawkes Process (DHP) to model the LOB dynamics. Hawkes processes are self-exciting point processes that capture the temporal clustering of events in high-frequency data. In the context of the LOB, a massive influx of buy market orders increases the probability (intensity) of subsequent buy orders arriving.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multivariate DHP models the cross-excitation between buy and sell orders, allowing the system to create a feedback loop between order arrival and the state of the limit order book. By predicting the intensity of incoming orders, the autonomous agent can accurately anticipate the next directional micro-trend. This enables the system to adjust its quoting prices milliseconds before the wider market reacts, allowing the algorithm to capture the bid-ask spread rather than paying it, thereby mitigating immediate execution slippage.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Mathematical Optimization, Leverage, and the Probability of Ruin</w:t>
      </w:r>
    </w:p>
    <w:p w:rsidR="00000000" w:rsidDel="00000000" w:rsidP="00000000" w:rsidRDefault="00000000" w:rsidRPr="00000000" w14:paraId="00000036">
      <w:pPr>
        <w:rPr/>
      </w:pPr>
      <w:r w:rsidDel="00000000" w:rsidR="00000000" w:rsidRPr="00000000">
        <w:rPr>
          <w:rtl w:val="0"/>
        </w:rPr>
        <w:t xml:space="preserve">While 0DTE options provide the theoretical vehicle for 150% daily returns, and Deep Hawkes Processes mitigate the entry frictions, evaluating the long-term viability of this goal requires a rigorous application of statistical mechanics, specifically the Kelly criterion, fat-tailed distribution modeling, and ruin probability.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Kelly Criterion and Optimal Leverage</w:t>
      </w:r>
    </w:p>
    <w:p w:rsidR="00000000" w:rsidDel="00000000" w:rsidP="00000000" w:rsidRDefault="00000000" w:rsidRPr="00000000" w14:paraId="00000039">
      <w:pPr>
        <w:rPr/>
      </w:pPr>
      <w:r w:rsidDel="00000000" w:rsidR="00000000" w:rsidRPr="00000000">
        <w:rPr>
          <w:rtl w:val="0"/>
        </w:rPr>
        <w:t xml:space="preserve">The Kelly criterion is a fundamental mathematical formula utilized in quantitative finance for optimal risk allocation, designed to maximize the long-term expected geometric growth rate of wealth (which is mathematically equivalent to maximizing the expected value of the logarithm of wealth).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a simplified binary outcome scenario, the Kelly fraction f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rPr/>
      </w:pPr>
      <w:r w:rsidDel="00000000" w:rsidR="00000000" w:rsidRPr="00000000">
        <w:rPr>
          <w:rtl w:val="0"/>
        </w:rPr>
        <w:t xml:space="preserve">  dictates the optimal percentage of capital to risk: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1">
      <w:pPr>
        <w:rPr/>
      </w:pPr>
      <w:r w:rsidDel="00000000" w:rsidR="00000000" w:rsidRPr="00000000">
        <w:rPr>
          <w:rtl w:val="0"/>
        </w:rPr>
        <w:t xml:space="preserve"> = </w:t>
      </w:r>
    </w:p>
    <w:p w:rsidR="00000000" w:rsidDel="00000000" w:rsidP="00000000" w:rsidRDefault="00000000" w:rsidRPr="00000000" w14:paraId="00000042">
      <w:pPr>
        <w:rPr/>
      </w:pPr>
      <w:r w:rsidDel="00000000" w:rsidR="00000000" w:rsidRPr="00000000">
        <w:rPr>
          <w:rtl w:val="0"/>
        </w:rPr>
        <w:t xml:space="preserve">b</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p⋅b−q</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Where p is the probability of a winning trade, q is the probability of a losing trade (1−p), and b is the ratio of the average profit to the average loss. For continuous financial asset returns, the Kelly fraction is often approximated by maximizing the expected growth rate coefficient, yielding: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A">
      <w:pPr>
        <w:rPr/>
      </w:pPr>
      <w:r w:rsidDel="00000000" w:rsidR="00000000" w:rsidRPr="00000000">
        <w:rPr>
          <w:rtl w:val="0"/>
        </w:rPr>
        <w:t xml:space="preserve"> = </w:t>
      </w:r>
    </w:p>
    <w:p w:rsidR="00000000" w:rsidDel="00000000" w:rsidP="00000000" w:rsidRDefault="00000000" w:rsidRPr="00000000" w14:paraId="0000004B">
      <w:pPr>
        <w:rPr/>
      </w:pPr>
      <w:r w:rsidDel="00000000" w:rsidR="00000000" w:rsidRPr="00000000">
        <w:rPr>
          <w:rtl w:val="0"/>
        </w:rPr>
        <w:t xml:space="preserve">σ </w:t>
      </w:r>
    </w:p>
    <w:p w:rsidR="00000000" w:rsidDel="00000000" w:rsidP="00000000" w:rsidRDefault="00000000" w:rsidRPr="00000000" w14:paraId="0000004C">
      <w:pPr>
        <w:rPr/>
      </w:pPr>
      <w:r w:rsidDel="00000000" w:rsidR="00000000" w:rsidRPr="00000000">
        <w:rPr>
          <w:rtl w:val="0"/>
        </w:rPr>
        <w:t xml:space="preserve">2</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μ−r</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Where μ is the expected return, r is the risk-free rate, and σ </w:t>
      </w:r>
    </w:p>
    <w:p w:rsidR="00000000" w:rsidDel="00000000" w:rsidP="00000000" w:rsidRDefault="00000000" w:rsidRPr="00000000" w14:paraId="00000052">
      <w:pPr>
        <w:rPr/>
      </w:pPr>
      <w:r w:rsidDel="00000000" w:rsidR="00000000" w:rsidRPr="00000000">
        <w:rPr>
          <w:rtl w:val="0"/>
        </w:rPr>
        <w:t xml:space="preserve">2</w:t>
      </w:r>
    </w:p>
    <w:p w:rsidR="00000000" w:rsidDel="00000000" w:rsidP="00000000" w:rsidRDefault="00000000" w:rsidRPr="00000000" w14:paraId="00000053">
      <w:pPr>
        <w:rPr/>
      </w:pPr>
      <w:r w:rsidDel="00000000" w:rsidR="00000000" w:rsidRPr="00000000">
        <w:rPr>
          <w:rtl w:val="0"/>
        </w:rPr>
        <w:t xml:space="preserve">  represents the variance of the returns.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Kelly criterion demonstrates that an optimal portfolio balances expected returns against volatility. However, the objective of generating a 150% daily return implies an astronomically high expected growth rate target. To achieve this through continuous daily execution (turning $200 into $500 on Day 1, and doing so repeatedly for 365 days), the algorithm is forced to deploy leverage far exceeding the optimal Kelly fraction.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When an algorithmic system wagers a fraction of wealth greater than the Kelly optimal size, the mathematical expectation of the geometric growth rate turns negative, dramatically increasing the probability of ruin. Most professional quantitative systems utilize a "fractional Kelly" approach (e.g., half-Kelly or quarter-Kelly) to reduce the chance of ruin and account for model error and parameter uncertainty. The rigid constraint of this project—deploying 100% of the $200 account daily to hit a fixed $300 target—violates the proportional risk scaling inherent to the Kelly criterion.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Variance Drag and the Probability of Ruin</w:t>
      </w:r>
    </w:p>
    <w:p w:rsidR="00000000" w:rsidDel="00000000" w:rsidP="00000000" w:rsidRDefault="00000000" w:rsidRPr="00000000" w14:paraId="0000005A">
      <w:pPr>
        <w:rPr/>
      </w:pPr>
      <w:r w:rsidDel="00000000" w:rsidR="00000000" w:rsidRPr="00000000">
        <w:rPr>
          <w:rtl w:val="0"/>
        </w:rPr>
        <w:t xml:space="preserve">The disparity between the geometric expectation of wealth and the target return highlights the concept of variance drag. The Kelly criterion's objective function is mathematically expressed as: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E[logW </w:t>
      </w:r>
    </w:p>
    <w:p w:rsidR="00000000" w:rsidDel="00000000" w:rsidP="00000000" w:rsidRDefault="00000000" w:rsidRPr="00000000" w14:paraId="0000005D">
      <w:pPr>
        <w:rPr/>
      </w:pPr>
      <w:r w:rsidDel="00000000" w:rsidR="00000000" w:rsidRPr="00000000">
        <w:rPr>
          <w:rtl w:val="0"/>
        </w:rPr>
        <w:t xml:space="preserve">T</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]=∫logw⋅dF </w:t>
      </w:r>
    </w:p>
    <w:p w:rsidR="00000000" w:rsidDel="00000000" w:rsidP="00000000" w:rsidRDefault="00000000" w:rsidRPr="00000000" w14:paraId="00000060">
      <w:pPr>
        <w:rPr/>
      </w:pPr>
      <w:r w:rsidDel="00000000" w:rsidR="00000000" w:rsidRPr="00000000">
        <w:rPr>
          <w:rtl w:val="0"/>
        </w:rPr>
        <w:t xml:space="preserve">T</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 (w)</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This logarithmic utility imposes an infinite penalty on reaching zero wealth (ln0=−∞), meaning an optimal Kelly strategy will systematically avoid total capital loss. However, forcing the algorithm to target a 150% return daily with a binary instrument like 0DTE options alters the utility function to a first-passage objective, significantly amplifying the risk.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Empirical evidence and quantitative simulations of retail trader ruin show that attempting to sustain such high-velocity, high-leverage growth over 365 days yields a probability of ruin approaching absolute certainty. Specifically, aggressive long-premium options strategies suffer from a terminal total loss probability ranging from 55% to 92% over horizons much shorter than a year, due to the high frequency of 100% drawdowns on individual trades. Because the algorithm is confined to a $200 cash account, a single 100% loss (a 0DTE option expiring worthless) reduces the capital to zero, permanently terminating the autonomous operation.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Fat Tails and Subjective Uncertainty</w:t>
      </w:r>
    </w:p>
    <w:p w:rsidR="00000000" w:rsidDel="00000000" w:rsidP="00000000" w:rsidRDefault="00000000" w:rsidRPr="00000000" w14:paraId="00000068">
      <w:pPr>
        <w:rPr/>
      </w:pPr>
      <w:r w:rsidDel="00000000" w:rsidR="00000000" w:rsidRPr="00000000">
        <w:rPr>
          <w:rtl w:val="0"/>
        </w:rPr>
        <w:t xml:space="preserve">The theoretical mathematics are further constrained by the reality of financial distributions. Financial asset returns are notoriously non-Gaussian, exhibiting skewness and fat tails (leptokurtic distributions) governed by power laws. While fat tails imply that massive outliers (huge profitable moves) are more common than a normal distribution predicts, they also guarantee the presence of catastrophic negative shocks.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Uncertainty and risk constrain the allocation size, which would otherwise amplify premium returns in an unlimited way. The Kelly criterion must be adjusted for these fat tails, as the traditional mean-variance optimization underestimates the likelihood of an extreme adverse movement that would instantly wipe out the $200 principal.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Comprehensive System Architecture</w:t>
      </w:r>
    </w:p>
    <w:p w:rsidR="00000000" w:rsidDel="00000000" w:rsidP="00000000" w:rsidRDefault="00000000" w:rsidRPr="00000000" w14:paraId="0000006D">
      <w:pPr>
        <w:rPr/>
      </w:pPr>
      <w:r w:rsidDel="00000000" w:rsidR="00000000" w:rsidRPr="00000000">
        <w:rPr>
          <w:rtl w:val="0"/>
        </w:rPr>
        <w:t xml:space="preserve">To combat the overwhelming mathematical odds, structural frictions, and regulatory hurdles, the autonomous trading system must be engineered with flawless execution, robust orchestration, and advanced predictive capabilities. The provided repositories constitute a formidable technological stack, ranging from low-latency execution and distributed workflow orchestration to advanced deep learning and alpha generation.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system architecture is structurally divided into five functional layers: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Workflow Orchestration &amp; Event Processing (nofx-dev)</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Alpha Generation &amp; Quantitative Modeling (Vibe-Trading, Stock-Prediction-Models)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Autonomous Semantic Evaluation (TradingAgents, AI-Trader)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High-Frequency Execution &amp; Order Management (StockSharp, QuantDinger)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Data Ingestion &amp; Telemetry Dashboard (daily_stock_analysis, OpenStock)</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Architectural Layer</w:t>
        <w:tab/>
        <w:t xml:space="preserve">Assigned Repository</w:t>
        <w:tab/>
        <w:t xml:space="preserve">Primary Technologies</w:t>
        <w:tab/>
        <w:t xml:space="preserve">Core Function</w:t>
      </w:r>
    </w:p>
    <w:p w:rsidR="00000000" w:rsidDel="00000000" w:rsidP="00000000" w:rsidRDefault="00000000" w:rsidRPr="00000000" w14:paraId="0000007C">
      <w:pPr>
        <w:rPr/>
      </w:pPr>
      <w:r w:rsidDel="00000000" w:rsidR="00000000" w:rsidRPr="00000000">
        <w:rPr>
          <w:rtl w:val="0"/>
        </w:rPr>
        <w:t xml:space="preserve">Orchestration</w:t>
        <w:tab/>
        <w:t xml:space="preserve">nofx-dev</w:t>
        <w:tab/>
        <w:t xml:space="preserve">Node.js, TypeScript, Inngest</w:t>
        <w:tab/>
        <w:t xml:space="preserve">Durable event-driven job execution, retry mechanisms.</w:t>
      </w:r>
    </w:p>
    <w:p w:rsidR="00000000" w:rsidDel="00000000" w:rsidP="00000000" w:rsidRDefault="00000000" w:rsidRPr="00000000" w14:paraId="0000007D">
      <w:pPr>
        <w:rPr/>
      </w:pPr>
      <w:r w:rsidDel="00000000" w:rsidR="00000000" w:rsidRPr="00000000">
        <w:rPr>
          <w:rtl w:val="0"/>
        </w:rPr>
        <w:t xml:space="preserve">Alpha Generation</w:t>
        <w:tab/>
        <w:t xml:space="preserve">Vibe-Trading, Stock-Prediction-Models</w:t>
        <w:tab/>
        <w:t xml:space="preserve">Python, LSTM, GRU, Factor Zoo</w:t>
        <w:tab/>
        <w:t xml:space="preserve">Predictive time-series modeling and quantitative signals.</w:t>
      </w:r>
    </w:p>
    <w:p w:rsidR="00000000" w:rsidDel="00000000" w:rsidP="00000000" w:rsidRDefault="00000000" w:rsidRPr="00000000" w14:paraId="0000007E">
      <w:pPr>
        <w:rPr/>
      </w:pPr>
      <w:r w:rsidDel="00000000" w:rsidR="00000000" w:rsidRPr="00000000">
        <w:rPr>
          <w:rtl w:val="0"/>
        </w:rPr>
        <w:t xml:space="preserve">Semantic Evaluation</w:t>
        <w:tab/>
        <w:t xml:space="preserve">TradingAgents, AI-Trader</w:t>
        <w:tab/>
        <w:t xml:space="preserve">Python, F#, LLMs, MCP</w:t>
        <w:tab/>
        <w:t xml:space="preserve">Macro-regime detection and narrative analysis.</w:t>
      </w:r>
    </w:p>
    <w:p w:rsidR="00000000" w:rsidDel="00000000" w:rsidP="00000000" w:rsidRDefault="00000000" w:rsidRPr="00000000" w14:paraId="0000007F">
      <w:pPr>
        <w:rPr/>
      </w:pPr>
      <w:r w:rsidDel="00000000" w:rsidR="00000000" w:rsidRPr="00000000">
        <w:rPr>
          <w:rtl w:val="0"/>
        </w:rPr>
        <w:t xml:space="preserve">Execution Engine</w:t>
        <w:tab/>
        <w:t xml:space="preserve">StockSharp, QuantDinger</w:t>
        <w:tab/>
        <w:t xml:space="preserve">C#, Python, REST/WebSockets</w:t>
        <w:tab/>
        <w:t xml:space="preserve">Order routing, limit price safety, dynamic quoting.</w:t>
      </w:r>
    </w:p>
    <w:p w:rsidR="00000000" w:rsidDel="00000000" w:rsidP="00000000" w:rsidRDefault="00000000" w:rsidRPr="00000000" w14:paraId="00000080">
      <w:pPr>
        <w:rPr/>
      </w:pPr>
      <w:r w:rsidDel="00000000" w:rsidR="00000000" w:rsidRPr="00000000">
        <w:rPr>
          <w:rtl w:val="0"/>
        </w:rPr>
        <w:t xml:space="preserve">Data &amp; Analytics</w:t>
        <w:tab/>
        <w:t xml:space="preserve">daily_stock_analysis, OpenStock</w:t>
        <w:tab/>
        <w:t xml:space="preserve">Python, Next.js, React</w:t>
        <w:tab/>
        <w:t xml:space="preserve">Market data parsing, frontend telemetry, database management.</w:t>
      </w:r>
    </w:p>
    <w:p w:rsidR="00000000" w:rsidDel="00000000" w:rsidP="00000000" w:rsidRDefault="00000000" w:rsidRPr="00000000" w14:paraId="00000081">
      <w:pPr>
        <w:rPr/>
      </w:pPr>
      <w:r w:rsidDel="00000000" w:rsidR="00000000" w:rsidRPr="00000000">
        <w:rPr>
          <w:rtl w:val="0"/>
        </w:rPr>
        <w:t xml:space="preserve">1. Workflow Orchestration and Durable Execution</w:t>
      </w:r>
    </w:p>
    <w:p w:rsidR="00000000" w:rsidDel="00000000" w:rsidP="00000000" w:rsidRDefault="00000000" w:rsidRPr="00000000" w14:paraId="00000082">
      <w:pPr>
        <w:rPr/>
      </w:pPr>
      <w:r w:rsidDel="00000000" w:rsidR="00000000" w:rsidRPr="00000000">
        <w:rPr>
          <w:rtl w:val="0"/>
        </w:rPr>
        <w:t xml:space="preserve">Given the requirement that the system run autonomously 365 days a year, the reliability of background processes is paramount. Traditional architectures utilizing manual queues (e.g., Redis, RabbitMQ, SQS) introduce points of failure where a crashed process or a serverless timeout can result in lost state and duplicate executions.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To solve this, the system relies on Inngest, an event-driven durable execution platform built into the Node.js/TypeScript environments found in the nofx-dev repository. Inngest bypasses traditional message brokers by utilizing durable functions invoked via HTTP.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If a failure occurs during the trading sequence (due to API rate limits, network latency, or exchange downtime), the Inngest platform automatically retries the function from the exact step of failure without restarting the entire sequence, leveraging strict state persistence and idempotency. This provides "at-least-once" delivery guarantees while avoiding duplicate trade executions through transactional outbox patterns.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orchestration layer manages the lifecycle of the daily trading routine. A master schedule triggers a market event. The Inngest engine catches this event and fans out multiple concurrent steps: fetching the pre-market data, spinning up the quantitative models, and waking the execution APIs. The built-in flow control—including concurrency limits, rate limiting, and exponential backoff with jitter—prevents the system from overwhelming external brokerage APIs and ensures execution continues seamlessly across serverless environments like Next.js.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2. Alpha Generation and Quantitative Modeling</w:t>
      </w:r>
    </w:p>
    <w:p w:rsidR="00000000" w:rsidDel="00000000" w:rsidP="00000000" w:rsidRDefault="00000000" w:rsidRPr="00000000" w14:paraId="0000008B">
      <w:pPr>
        <w:rPr/>
      </w:pPr>
      <w:r w:rsidDel="00000000" w:rsidR="00000000" w:rsidRPr="00000000">
        <w:rPr>
          <w:rtl w:val="0"/>
        </w:rPr>
        <w:t xml:space="preserve">The generation of highly accurate, high-confidence trading signals is the primary determinant of whether the $200 account survives the variance drag. The predictive pipeline integrates multiple sophisticated paradigms across two primary repositories.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Factor Engineering and Statistical Anomalies</w:t>
      </w:r>
    </w:p>
    <w:p w:rsidR="00000000" w:rsidDel="00000000" w:rsidP="00000000" w:rsidRDefault="00000000" w:rsidRPr="00000000" w14:paraId="0000008E">
      <w:pPr>
        <w:rPr/>
      </w:pPr>
      <w:r w:rsidDel="00000000" w:rsidR="00000000" w:rsidRPr="00000000">
        <w:rPr>
          <w:rtl w:val="0"/>
        </w:rPr>
        <w:t xml:space="preserve">The Vibe-Trading repository provides a massive architecture of pre-calculated quantitative alpha factors, structurally organized into a "Factor Zoo" (incorporating academic models like Alpha101, GTJA191, and QLib158). Files such as alpha_001.py through alpha_059.py contain complex cross-sectional and time-series momentum, mean-reversion, and volatility metrics calculated on raw price-volume data. These factors serve as the raw input vectors for the machine learning models, mathematically isolating statistically significant market anomalies.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Deep Learning and Reinforcement Learning</w:t>
      </w:r>
    </w:p>
    <w:p w:rsidR="00000000" w:rsidDel="00000000" w:rsidP="00000000" w:rsidRDefault="00000000" w:rsidRPr="00000000" w14:paraId="00000091">
      <w:pPr>
        <w:rPr/>
      </w:pPr>
      <w:r w:rsidDel="00000000" w:rsidR="00000000" w:rsidRPr="00000000">
        <w:rPr>
          <w:rtl w:val="0"/>
        </w:rPr>
        <w:t xml:space="preserve">The Stock-Prediction-Models repository houses the deep learning architectures required to process the factor data. Standard recurrent neural networks, specifically Long Short-Term Memory (LSTM) and Gated Recurrent Unit (GRU) networks (e.g., 1.lstm.ipynb, 6.gru-2path.ipynb), are deployed to predict short-term directional price movements based on historical sequence data.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More critically, the repository contains frameworks for Deep Reinforcement Learning (DRL), specifically Actor-Critic models (referenced in actor-critic.png). In DRL, the trading agent interacts with a simulated market environment. The "Actor" network decides which action to take (e.g., buy call, buy put, hold), while the "Critic" network evaluates the value of the action taken. This paradigm is exceptionally well-suited for trading 0DTE options under strict constraints, as the reward function can be strictly tailored to heavily penalize drawdowns (to avoid the probability of ruin) while seeking the requisite geometric growth rate.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Autonomous Semantic Evaluation</w:t>
      </w:r>
    </w:p>
    <w:p w:rsidR="00000000" w:rsidDel="00000000" w:rsidP="00000000" w:rsidRDefault="00000000" w:rsidRPr="00000000" w14:paraId="00000096">
      <w:pPr>
        <w:rPr/>
      </w:pPr>
      <w:r w:rsidDel="00000000" w:rsidR="00000000" w:rsidRPr="00000000">
        <w:rPr>
          <w:rtl w:val="0"/>
        </w:rPr>
        <w:t xml:space="preserve">Quantitative models excel at pattern recognition in numerical data but struggle to parse complex, unstructured macroeconomic events. The TradingAgents and AI-Trader repositories inject Large Language Model (LLM) processing into the trading loop to act as a cognitive safeguard.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Using the Model Context Protocol (MCP) integrations found in nofx-dev (with providers configured for Claude, Gemini, OpenAI, DeepSeek, and Grok), the system dynamically feeds real-time financial news, central bank announcements, and macroeconomic indicators into the LLM agents.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agents execute semantic evaluation to classify the market regime. For example, if the quantitative DRL models detect a bullish setup based on momentum factors, but the LLM agent parses breaking news regarding unexpected regulatory crackdowns or geopolitical escalation, the agent can enact a "hard gate" (as seen in test_strategy_discovery_hard_gates.py in TradingAgents) to block the execution. This overrides the neural network, protecting the fragile $200 principal from exogenous shocks. Furthermore, the architecture implements checkpointing (test_checkpoint_lifecycle.py), allowing the AI's contextual state to be saved and resumed across trading sessions without requiring a full context window recalculation.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4. High-Frequency Execution and Risk Controllers</w:t>
      </w:r>
    </w:p>
    <w:p w:rsidR="00000000" w:rsidDel="00000000" w:rsidP="00000000" w:rsidRDefault="00000000" w:rsidRPr="00000000" w14:paraId="0000009D">
      <w:pPr>
        <w:rPr/>
      </w:pPr>
      <w:r w:rsidDel="00000000" w:rsidR="00000000" w:rsidRPr="00000000">
        <w:rPr>
          <w:rtl w:val="0"/>
        </w:rPr>
        <w:t xml:space="preserve">Once a signal is generated by the deep learning models and approved by the LLM oversight layer, execution must be precise. Because the system is targeting high returns with minimal capital, slippage of even a few cents on a 0DTE option can destroy the mathematical expectation of the trade.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C# Order Management System</w:t>
      </w:r>
    </w:p>
    <w:p w:rsidR="00000000" w:rsidDel="00000000" w:rsidP="00000000" w:rsidRDefault="00000000" w:rsidRPr="00000000" w14:paraId="000000A0">
      <w:pPr>
        <w:rPr/>
      </w:pPr>
      <w:r w:rsidDel="00000000" w:rsidR="00000000" w:rsidRPr="00000000">
        <w:rPr>
          <w:rtl w:val="0"/>
        </w:rPr>
        <w:t xml:space="preserve">The StockSharp repository provides an ultra-low-latency C# execution engine. The engine is designed to interact directly with Limit Order Books via the IOrderBookSource.cs interface. It utilizes advanced quoting behaviors to minimize the spread paid by the algorithm: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BestByPriceQuotingStrategy.cs and BestByVolumeQuotingStrategy.cs actively manage limit orders, pegging them to the optimal bid or ask to capture liquidity rebates and avoid crossing the spread.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VolatilityQuotingStrategy.cs adjusts the aggressiveness of the quoting behavior based on real-time market turbulence.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ProtectiveController.cs and ProtectiveProcessor.cs implement hard stop-losses and dynamic trailing stops. Given the $200 account limit, the protective controller must be configured to instantly liquidate positions if the underlying asset moves contra to the option's delta, acting as a strict circuit breaker against total capital loss.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Live Trading Adapters and Python Middleware</w:t>
      </w:r>
    </w:p>
    <w:p w:rsidR="00000000" w:rsidDel="00000000" w:rsidP="00000000" w:rsidRDefault="00000000" w:rsidRPr="00000000" w14:paraId="000000A9">
      <w:pPr>
        <w:rPr/>
      </w:pPr>
      <w:r w:rsidDel="00000000" w:rsidR="00000000" w:rsidRPr="00000000">
        <w:rPr>
          <w:rtl w:val="0"/>
        </w:rPr>
        <w:t xml:space="preserve">The QuantDinger repository serves as the vital middleware connecting the Python-based AI models to the C# execution engine and the external brokerages. It contains robust live trading adapters (htx.py, okx.py) and native safety modules. The limit_price_safety.py algorithm ensures that limit orders are not placed at erroneous price levels during sudden market gaps or flash crashes, while the spot_close_balance_guard.py continuously audits the account equity to ensure the $200 principal is actively tracked against transaction costs and exchange fees.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5. Data Ingestion and Telemetry</w:t>
      </w:r>
    </w:p>
    <w:p w:rsidR="00000000" w:rsidDel="00000000" w:rsidP="00000000" w:rsidRDefault="00000000" w:rsidRPr="00000000" w14:paraId="000000AC">
      <w:pPr>
        <w:rPr/>
      </w:pPr>
      <w:r w:rsidDel="00000000" w:rsidR="00000000" w:rsidRPr="00000000">
        <w:rPr>
          <w:rtl w:val="0"/>
        </w:rPr>
        <w:t xml:space="preserve">The final layer ensures the system possesses the requisite data to function and provides observability to the operator. The daily_stock_analysis repository contains data fetchers (akshare_fetcher.py, futu_fetcher.py, pytdx_fetcher.py) that pull end-of-day and real-time tick data from various global providers.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data is fed into the OpenStock repository, which operates a full-stack Next.js and React application. OpenStock maintains the database models (watchlist.model.ts, alert.model.ts) and provides a comprehensive dashboard (TradingViewWatchlist.tsx, AlertsPanel.tsx) for the user to monitor the autonomous agent's activity. Through the integration with Inngest, every step of the workflow is observable, allowing the user to trace exactly why a trade was executed, blocked, or liquidated without manually sifting through raw server logs.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Operational Trading Loop</w:t>
      </w:r>
    </w:p>
    <w:p w:rsidR="00000000" w:rsidDel="00000000" w:rsidP="00000000" w:rsidRDefault="00000000" w:rsidRPr="00000000" w14:paraId="000000B1">
      <w:pPr>
        <w:rPr/>
      </w:pPr>
      <w:r w:rsidDel="00000000" w:rsidR="00000000" w:rsidRPr="00000000">
        <w:rPr>
          <w:rtl w:val="0"/>
        </w:rPr>
        <w:t xml:space="preserve">To synthesize the $200 to $300 daily objective using the established architecture, the daily workflow of the autonomous trader follows a strict, unyielding protocol coordinated by Inngest.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Pre-Market Initialization (08:00 AM EST): The Inngest orchestrator wakes the daily_stock_analysis fetchers to aggregate overnight global market data and macroeconomic calendars. The TradingAgents digest this data via MCP protocols, establishing a daily market thesis (e.g., Risk-On, Risk-Off).</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Signal Generation (09:30 AM - 10:30 AM EST): The market opens, and the StockSharp engine ingests the raw LOB data stream. The Vibe-Trading factor models calculate real-time momentum metrics. The DRL models evaluate the factor data against historical patterns.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Instrument Selection &amp; Validation: Because the account only possesses $200 in cash, the system cannot scale into multiple positions. The AI agent must identify a singular, high-conviction 0DTE option trade on a highly liquid index (e.g., SPY or QQQ). The LLM agent validates this selection against real-time news to ensure no impending macroeconomic events threaten the position.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Execution and Hedging (10:30 AM - 15:50 PM EST): The StockSharp engine utilizes the Deep Hawkes Process to predict LOB flow, deploying the BestByPriceQuotingStrategy.cs to capture the bid-ask spread upon entry. Upon a successful fill, the QuantDinger ProtectiveController.cs takes over, managing a dynamic trailing stop.</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Liquidation and Settlement (15:50 PM EST): If the trade hits the 150% target ($500 gross balance, $300 profit), the StockSharp engine executes an aggressive limit sell to liquidate the position. The cash account now holds $500 in unsettled funds. Due to T+1 settlement rules, the system halts all trading operations for the remainder of the day to avoid Good Faith Violations.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Telemetry Logging: The Inngest orchestrator logs the trade data into the OpenStock database models for user review on the Next.js dashboard. The system then hibernates until the next business day when the funds settle.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Conclusion</w:t>
      </w:r>
    </w:p>
    <w:p w:rsidR="00000000" w:rsidDel="00000000" w:rsidP="00000000" w:rsidRDefault="00000000" w:rsidRPr="00000000" w14:paraId="000000C0">
      <w:pPr>
        <w:rPr/>
      </w:pPr>
      <w:r w:rsidDel="00000000" w:rsidR="00000000" w:rsidRPr="00000000">
        <w:rPr>
          <w:rtl w:val="0"/>
        </w:rPr>
        <w:t xml:space="preserve">The architecture detailed herein—leveraging Inngest for durable orchestration, LLM agents via MCP for semantic oversight, Deep Reinforcement Learning for signal generation, and C# quoting engines for low-latency LOB execution—represents a state-of-the-art autonomous trading system. The integration of StockSharp, QuantDinger, TradingAgents, Vibe-Trading, and OpenStock provides the necessary technological infrastructure to compete in modern, algorithmically dominated markets.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However, the financial objective of reliably scaling a $200 cash account to generate $300 in daily profit over 365 days presents an insurmountable mathematical paradox. Regulatory realities force the system into a cash account restricted by T+1 settlement, meaning the system can only execute one capital cycle per day. This forces the use of highly volatile 0DTE options to achieve the required 150% daily return. Under the Kelly criterion, adjustments for fat-tailed distributions, and established ruin probability theory, sustaining an expected geometric growth rate of this magnitude requires assuming a risk of ruin that approaches absolute certainty. While the codebase is flawlessly engineered to execute the strategy, the laws of quantitative finance and variance drag dictate that the $200 principal will inevitably succumb to a 100% drawdown event.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bullsonwallstreet.com</w:t>
      </w:r>
    </w:p>
    <w:p w:rsidR="00000000" w:rsidDel="00000000" w:rsidP="00000000" w:rsidRDefault="00000000" w:rsidRPr="00000000" w14:paraId="000000C6">
      <w:pPr>
        <w:rPr/>
      </w:pPr>
      <w:r w:rsidDel="00000000" w:rsidR="00000000" w:rsidRPr="00000000">
        <w:rPr>
          <w:rtl w:val="0"/>
        </w:rPr>
        <w:t xml:space="preserve">Pattern Day Trader (PDT) Rule Eliminated in 2026</w:t>
      </w:r>
    </w:p>
    <w:p w:rsidR="00000000" w:rsidDel="00000000" w:rsidP="00000000" w:rsidRDefault="00000000" w:rsidRPr="00000000" w14:paraId="000000C7">
      <w:pPr>
        <w:rPr/>
      </w:pPr>
      <w:r w:rsidDel="00000000" w:rsidR="00000000" w:rsidRPr="00000000">
        <w:rPr>
          <w:rtl w:val="0"/>
        </w:rPr>
        <w:t xml:space="preserve">Opens in a new window</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thinkcapital.com</w:t>
      </w:r>
    </w:p>
    <w:p w:rsidR="00000000" w:rsidDel="00000000" w:rsidP="00000000" w:rsidRDefault="00000000" w:rsidRPr="00000000" w14:paraId="000000CA">
      <w:pPr>
        <w:rPr/>
      </w:pPr>
      <w:r w:rsidDel="00000000" w:rsidR="00000000" w:rsidRPr="00000000">
        <w:rPr>
          <w:rtl w:val="0"/>
        </w:rPr>
        <w:t xml:space="preserve">How to Day Trade Without $25k: The Complete 2026 Guide</w:t>
      </w:r>
    </w:p>
    <w:p w:rsidR="00000000" w:rsidDel="00000000" w:rsidP="00000000" w:rsidRDefault="00000000" w:rsidRPr="00000000" w14:paraId="000000CB">
      <w:pPr>
        <w:rPr/>
      </w:pPr>
      <w:r w:rsidDel="00000000" w:rsidR="00000000" w:rsidRPr="00000000">
        <w:rPr>
          <w:rtl w:val="0"/>
        </w:rPr>
        <w:t xml:space="preserve">Opens in a new window</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federalregister.gov</w:t>
      </w:r>
    </w:p>
    <w:p w:rsidR="00000000" w:rsidDel="00000000" w:rsidP="00000000" w:rsidRDefault="00000000" w:rsidRPr="00000000" w14:paraId="000000CE">
      <w:pPr>
        <w:rPr/>
      </w:pPr>
      <w:r w:rsidDel="00000000" w:rsidR="00000000" w:rsidRPr="00000000">
        <w:rPr>
          <w:rtl w:val="0"/>
        </w:rPr>
        <w:t xml:space="preserve">Notice of Filing of a Proposed Rule Change To Amend FINRA Rule</w:t>
      </w:r>
    </w:p>
    <w:p w:rsidR="00000000" w:rsidDel="00000000" w:rsidP="00000000" w:rsidRDefault="00000000" w:rsidRPr="00000000" w14:paraId="000000CF">
      <w:pPr>
        <w:rPr/>
      </w:pPr>
      <w:r w:rsidDel="00000000" w:rsidR="00000000" w:rsidRPr="00000000">
        <w:rPr>
          <w:rtl w:val="0"/>
        </w:rPr>
        <w:t xml:space="preserve">Opens in a new window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optionalpha.com</w:t>
      </w:r>
    </w:p>
    <w:p w:rsidR="00000000" w:rsidDel="00000000" w:rsidP="00000000" w:rsidRDefault="00000000" w:rsidRPr="00000000" w14:paraId="000000D2">
      <w:pPr>
        <w:rPr/>
      </w:pPr>
      <w:r w:rsidDel="00000000" w:rsidR="00000000" w:rsidRPr="00000000">
        <w:rPr>
          <w:rtl w:val="0"/>
        </w:rPr>
        <w:t xml:space="preserve">PDT Rule Change: What it Means for Options Traders</w:t>
      </w:r>
    </w:p>
    <w:p w:rsidR="00000000" w:rsidDel="00000000" w:rsidP="00000000" w:rsidRDefault="00000000" w:rsidRPr="00000000" w14:paraId="000000D3">
      <w:pPr>
        <w:rPr/>
      </w:pPr>
      <w:r w:rsidDel="00000000" w:rsidR="00000000" w:rsidRPr="00000000">
        <w:rPr>
          <w:rtl w:val="0"/>
        </w:rPr>
        <w:t xml:space="preserve">Opens in a new window</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stocktitan.net</w:t>
      </w:r>
    </w:p>
    <w:p w:rsidR="00000000" w:rsidDel="00000000" w:rsidP="00000000" w:rsidRDefault="00000000" w:rsidRPr="00000000" w14:paraId="000000D6">
      <w:pPr>
        <w:rPr/>
      </w:pPr>
      <w:r w:rsidDel="00000000" w:rsidR="00000000" w:rsidRPr="00000000">
        <w:rPr>
          <w:rtl w:val="0"/>
        </w:rPr>
        <w:t xml:space="preserve">Pattern Day Trader Rule Gone in 2026: $25K Eliminated - Stock Titan</w:t>
      </w:r>
    </w:p>
    <w:p w:rsidR="00000000" w:rsidDel="00000000" w:rsidP="00000000" w:rsidRDefault="00000000" w:rsidRPr="00000000" w14:paraId="000000D7">
      <w:pPr>
        <w:rPr/>
      </w:pPr>
      <w:r w:rsidDel="00000000" w:rsidR="00000000" w:rsidRPr="00000000">
        <w:rPr>
          <w:rtl w:val="0"/>
        </w:rPr>
        <w:t xml:space="preserve">Opens in a new window</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kslaw.com</w:t>
      </w:r>
    </w:p>
    <w:p w:rsidR="00000000" w:rsidDel="00000000" w:rsidP="00000000" w:rsidRDefault="00000000" w:rsidRPr="00000000" w14:paraId="000000DA">
      <w:pPr>
        <w:rPr/>
      </w:pPr>
      <w:r w:rsidDel="00000000" w:rsidR="00000000" w:rsidRPr="00000000">
        <w:rPr>
          <w:rtl w:val="0"/>
        </w:rPr>
        <w:t xml:space="preserve">FINRA Adopts Sweeping Changes to Margin Requirements for Day</w:t>
      </w:r>
    </w:p>
    <w:p w:rsidR="00000000" w:rsidDel="00000000" w:rsidP="00000000" w:rsidRDefault="00000000" w:rsidRPr="00000000" w14:paraId="000000DB">
      <w:pPr>
        <w:rPr/>
      </w:pPr>
      <w:r w:rsidDel="00000000" w:rsidR="00000000" w:rsidRPr="00000000">
        <w:rPr>
          <w:rtl w:val="0"/>
        </w:rPr>
        <w:t xml:space="preserve">Opens in a new window</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sec.gov</w:t>
      </w:r>
    </w:p>
    <w:p w:rsidR="00000000" w:rsidDel="00000000" w:rsidP="00000000" w:rsidRDefault="00000000" w:rsidRPr="00000000" w14:paraId="000000DE">
      <w:pPr>
        <w:rPr/>
      </w:pPr>
      <w:r w:rsidDel="00000000" w:rsidR="00000000" w:rsidRPr="00000000">
        <w:rPr>
          <w:rtl w:val="0"/>
        </w:rPr>
        <w:t xml:space="preserve">FINRA Rule 4210 Margin Requirements - Exhibit 5</w:t>
      </w:r>
    </w:p>
    <w:p w:rsidR="00000000" w:rsidDel="00000000" w:rsidP="00000000" w:rsidRDefault="00000000" w:rsidRPr="00000000" w14:paraId="000000DF">
      <w:pPr>
        <w:rPr/>
      </w:pPr>
      <w:r w:rsidDel="00000000" w:rsidR="00000000" w:rsidRPr="00000000">
        <w:rPr>
          <w:rtl w:val="0"/>
        </w:rPr>
        <w:t xml:space="preserve">Opens in a new window</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federalregister.gov</w:t>
      </w:r>
    </w:p>
    <w:p w:rsidR="00000000" w:rsidDel="00000000" w:rsidP="00000000" w:rsidRDefault="00000000" w:rsidRPr="00000000" w14:paraId="000000E2">
      <w:pPr>
        <w:rPr/>
      </w:pPr>
      <w:r w:rsidDel="00000000" w:rsidR="00000000" w:rsidRPr="00000000">
        <w:rPr>
          <w:rtl w:val="0"/>
        </w:rPr>
        <w:t xml:space="preserve">Notice - Federal Register</w:t>
      </w:r>
    </w:p>
    <w:p w:rsidR="00000000" w:rsidDel="00000000" w:rsidP="00000000" w:rsidRDefault="00000000" w:rsidRPr="00000000" w14:paraId="000000E3">
      <w:pPr>
        <w:rPr/>
      </w:pPr>
      <w:r w:rsidDel="00000000" w:rsidR="00000000" w:rsidRPr="00000000">
        <w:rPr>
          <w:rtl w:val="0"/>
        </w:rPr>
        <w:t xml:space="preserve">Opens in a new window</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quantinsti.com</w:t>
      </w:r>
    </w:p>
    <w:p w:rsidR="00000000" w:rsidDel="00000000" w:rsidP="00000000" w:rsidRDefault="00000000" w:rsidRPr="00000000" w14:paraId="000000E6">
      <w:pPr>
        <w:rPr/>
      </w:pPr>
      <w:r w:rsidDel="00000000" w:rsidR="00000000" w:rsidRPr="00000000">
        <w:rPr>
          <w:rtl w:val="0"/>
        </w:rPr>
        <w:t xml:space="preserve">FINRA PDT Rule Removal 2026: What US Traders Need to Know</w:t>
      </w:r>
    </w:p>
    <w:p w:rsidR="00000000" w:rsidDel="00000000" w:rsidP="00000000" w:rsidRDefault="00000000" w:rsidRPr="00000000" w14:paraId="000000E7">
      <w:pPr>
        <w:rPr/>
      </w:pPr>
      <w:r w:rsidDel="00000000" w:rsidR="00000000" w:rsidRPr="00000000">
        <w:rPr>
          <w:rtl w:val="0"/>
        </w:rPr>
        <w:t xml:space="preserve">Opens in a new window</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chase.com</w:t>
      </w:r>
    </w:p>
    <w:p w:rsidR="00000000" w:rsidDel="00000000" w:rsidP="00000000" w:rsidRDefault="00000000" w:rsidRPr="00000000" w14:paraId="000000EA">
      <w:pPr>
        <w:rPr/>
      </w:pPr>
      <w:r w:rsidDel="00000000" w:rsidR="00000000" w:rsidRPr="00000000">
        <w:rPr>
          <w:rtl w:val="0"/>
        </w:rPr>
        <w:t xml:space="preserve">Understanding Day Trading and the Pattern Day Trading Designation</w:t>
      </w:r>
    </w:p>
    <w:p w:rsidR="00000000" w:rsidDel="00000000" w:rsidP="00000000" w:rsidRDefault="00000000" w:rsidRPr="00000000" w14:paraId="000000EB">
      <w:pPr>
        <w:rPr/>
      </w:pPr>
      <w:r w:rsidDel="00000000" w:rsidR="00000000" w:rsidRPr="00000000">
        <w:rPr>
          <w:rtl w:val="0"/>
        </w:rPr>
        <w:t xml:space="preserve">Opens in a new window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christopherspenn.com</w:t>
      </w:r>
    </w:p>
    <w:p w:rsidR="00000000" w:rsidDel="00000000" w:rsidP="00000000" w:rsidRDefault="00000000" w:rsidRPr="00000000" w14:paraId="000000EE">
      <w:pPr>
        <w:rPr/>
      </w:pPr>
      <w:r w:rsidDel="00000000" w:rsidR="00000000" w:rsidRPr="00000000">
        <w:rPr>
          <w:rtl w:val="0"/>
        </w:rPr>
        <w:t xml:space="preserve">Doubling USD 100 in 90 Days — Merged Research Report</w:t>
      </w:r>
    </w:p>
    <w:p w:rsidR="00000000" w:rsidDel="00000000" w:rsidP="00000000" w:rsidRDefault="00000000" w:rsidRPr="00000000" w14:paraId="000000EF">
      <w:pPr>
        <w:rPr/>
      </w:pPr>
      <w:r w:rsidDel="00000000" w:rsidR="00000000" w:rsidRPr="00000000">
        <w:rPr>
          <w:rtl w:val="0"/>
        </w:rPr>
        <w:t xml:space="preserve">Opens in a new window</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arno.uvt.nl</w:t>
      </w:r>
    </w:p>
    <w:p w:rsidR="00000000" w:rsidDel="00000000" w:rsidP="00000000" w:rsidRDefault="00000000" w:rsidRPr="00000000" w14:paraId="000000F2">
      <w:pPr>
        <w:rPr/>
      </w:pPr>
      <w:r w:rsidDel="00000000" w:rsidR="00000000" w:rsidRPr="00000000">
        <w:rPr>
          <w:rtl w:val="0"/>
        </w:rPr>
        <w:t xml:space="preserve">Are Options Overpriced? An Empirical Analysis of European ... - arno</w:t>
      </w:r>
    </w:p>
    <w:p w:rsidR="00000000" w:rsidDel="00000000" w:rsidP="00000000" w:rsidRDefault="00000000" w:rsidRPr="00000000" w14:paraId="000000F3">
      <w:pPr>
        <w:rPr/>
      </w:pPr>
      <w:r w:rsidDel="00000000" w:rsidR="00000000" w:rsidRPr="00000000">
        <w:rPr>
          <w:rtl w:val="0"/>
        </w:rPr>
        <w:t xml:space="preserve">Opens in a new window</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researchgate.net</w:t>
      </w:r>
    </w:p>
    <w:p w:rsidR="00000000" w:rsidDel="00000000" w:rsidP="00000000" w:rsidRDefault="00000000" w:rsidRPr="00000000" w14:paraId="000000F6">
      <w:pPr>
        <w:rPr/>
      </w:pPr>
      <w:r w:rsidDel="00000000" w:rsidR="00000000" w:rsidRPr="00000000">
        <w:rPr>
          <w:rtl w:val="0"/>
        </w:rPr>
        <w:t xml:space="preserve">(PDF) Deep Hedging Under Market Frictions: A Comparison of DRL</w:t>
      </w:r>
    </w:p>
    <w:p w:rsidR="00000000" w:rsidDel="00000000" w:rsidP="00000000" w:rsidRDefault="00000000" w:rsidRPr="00000000" w14:paraId="000000F7">
      <w:pPr>
        <w:rPr/>
      </w:pPr>
      <w:r w:rsidDel="00000000" w:rsidR="00000000" w:rsidRPr="00000000">
        <w:rPr>
          <w:rtl w:val="0"/>
        </w:rPr>
        <w:t xml:space="preserve">Opens in a new window</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arxiv.org</w:t>
      </w:r>
    </w:p>
    <w:p w:rsidR="00000000" w:rsidDel="00000000" w:rsidP="00000000" w:rsidRDefault="00000000" w:rsidRPr="00000000" w14:paraId="000000FA">
      <w:pPr>
        <w:rPr/>
      </w:pPr>
      <w:r w:rsidDel="00000000" w:rsidR="00000000" w:rsidRPr="00000000">
        <w:rPr>
          <w:rtl w:val="0"/>
        </w:rPr>
        <w:t xml:space="preserve">Deep Hawkes Process for High-Frequency Market Making - arXiv</w:t>
      </w:r>
    </w:p>
    <w:p w:rsidR="00000000" w:rsidDel="00000000" w:rsidP="00000000" w:rsidRDefault="00000000" w:rsidRPr="00000000" w14:paraId="000000FB">
      <w:pPr>
        <w:rPr/>
      </w:pPr>
      <w:r w:rsidDel="00000000" w:rsidR="00000000" w:rsidRPr="00000000">
        <w:rPr>
          <w:rtl w:val="0"/>
        </w:rPr>
        <w:t xml:space="preserve">Opens in a new window</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arxiv.org</w:t>
      </w:r>
    </w:p>
    <w:p w:rsidR="00000000" w:rsidDel="00000000" w:rsidP="00000000" w:rsidRDefault="00000000" w:rsidRPr="00000000" w14:paraId="000000FE">
      <w:pPr>
        <w:rPr/>
      </w:pPr>
      <w:r w:rsidDel="00000000" w:rsidR="00000000" w:rsidRPr="00000000">
        <w:rPr>
          <w:rtl w:val="0"/>
        </w:rPr>
        <w:t xml:space="preserve">Deep Hawkes Process for High-Frequency Market Making - arXiv</w:t>
      </w:r>
    </w:p>
    <w:p w:rsidR="00000000" w:rsidDel="00000000" w:rsidP="00000000" w:rsidRDefault="00000000" w:rsidRPr="00000000" w14:paraId="000000FF">
      <w:pPr>
        <w:rPr/>
      </w:pPr>
      <w:r w:rsidDel="00000000" w:rsidR="00000000" w:rsidRPr="00000000">
        <w:rPr>
          <w:rtl w:val="0"/>
        </w:rPr>
        <w:t xml:space="preserve">Opens in a new window</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arxiv.org</w:t>
      </w:r>
    </w:p>
    <w:p w:rsidR="00000000" w:rsidDel="00000000" w:rsidP="00000000" w:rsidRDefault="00000000" w:rsidRPr="00000000" w14:paraId="00000102">
      <w:pPr>
        <w:rPr/>
      </w:pPr>
      <w:r w:rsidDel="00000000" w:rsidR="00000000" w:rsidRPr="00000000">
        <w:rPr>
          <w:rtl w:val="0"/>
        </w:rPr>
        <w:t xml:space="preserve">Hawkes Processes in High-Frequency Trading - arXiv</w:t>
      </w:r>
    </w:p>
    <w:p w:rsidR="00000000" w:rsidDel="00000000" w:rsidP="00000000" w:rsidRDefault="00000000" w:rsidRPr="00000000" w14:paraId="00000103">
      <w:pPr>
        <w:rPr/>
      </w:pPr>
      <w:r w:rsidDel="00000000" w:rsidR="00000000" w:rsidRPr="00000000">
        <w:rPr>
          <w:rtl w:val="0"/>
        </w:rPr>
        <w:t xml:space="preserve">Opens in a new window</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arxiv.org</w:t>
      </w:r>
    </w:p>
    <w:p w:rsidR="00000000" w:rsidDel="00000000" w:rsidP="00000000" w:rsidRDefault="00000000" w:rsidRPr="00000000" w14:paraId="00000106">
      <w:pPr>
        <w:rPr/>
      </w:pPr>
      <w:r w:rsidDel="00000000" w:rsidR="00000000" w:rsidRPr="00000000">
        <w:rPr>
          <w:rtl w:val="0"/>
        </w:rPr>
        <w:t xml:space="preserve">Resolving Latency and Inventory Risk in Market Making with ... - arXiv</w:t>
      </w:r>
    </w:p>
    <w:p w:rsidR="00000000" w:rsidDel="00000000" w:rsidP="00000000" w:rsidRDefault="00000000" w:rsidRPr="00000000" w14:paraId="00000107">
      <w:pPr>
        <w:rPr/>
      </w:pPr>
      <w:r w:rsidDel="00000000" w:rsidR="00000000" w:rsidRPr="00000000">
        <w:rPr>
          <w:rtl w:val="0"/>
        </w:rPr>
        <w:t xml:space="preserve">Opens in a new window</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en.wikipedia.org</w:t>
      </w:r>
    </w:p>
    <w:p w:rsidR="00000000" w:rsidDel="00000000" w:rsidP="00000000" w:rsidRDefault="00000000" w:rsidRPr="00000000" w14:paraId="0000010A">
      <w:pPr>
        <w:rPr/>
      </w:pPr>
      <w:r w:rsidDel="00000000" w:rsidR="00000000" w:rsidRPr="00000000">
        <w:rPr>
          <w:rtl w:val="0"/>
        </w:rPr>
        <w:t xml:space="preserve">Kelly criterion - Wikipedia</w:t>
      </w:r>
    </w:p>
    <w:p w:rsidR="00000000" w:rsidDel="00000000" w:rsidP="00000000" w:rsidRDefault="00000000" w:rsidRPr="00000000" w14:paraId="0000010B">
      <w:pPr>
        <w:rPr/>
      </w:pPr>
      <w:r w:rsidDel="00000000" w:rsidR="00000000" w:rsidRPr="00000000">
        <w:rPr>
          <w:rtl w:val="0"/>
        </w:rPr>
        <w:t xml:space="preserve">Opens in a new window</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frontiersin.org</w:t>
      </w:r>
    </w:p>
    <w:p w:rsidR="00000000" w:rsidDel="00000000" w:rsidP="00000000" w:rsidRDefault="00000000" w:rsidRPr="00000000" w14:paraId="0000010E">
      <w:pPr>
        <w:rPr/>
      </w:pPr>
      <w:r w:rsidDel="00000000" w:rsidR="00000000" w:rsidRPr="00000000">
        <w:rPr>
          <w:rtl w:val="0"/>
        </w:rPr>
        <w:t xml:space="preserve">Practical Implementation of the Kelly Criterion: Optimal Growth Rate</w:t>
      </w:r>
    </w:p>
    <w:p w:rsidR="00000000" w:rsidDel="00000000" w:rsidP="00000000" w:rsidRDefault="00000000" w:rsidRPr="00000000" w14:paraId="0000010F">
      <w:pPr>
        <w:rPr/>
      </w:pPr>
      <w:r w:rsidDel="00000000" w:rsidR="00000000" w:rsidRPr="00000000">
        <w:rPr>
          <w:rtl w:val="0"/>
        </w:rPr>
        <w:t xml:space="preserve">Opens in a new window</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medium.com</w:t>
      </w:r>
    </w:p>
    <w:p w:rsidR="00000000" w:rsidDel="00000000" w:rsidP="00000000" w:rsidRDefault="00000000" w:rsidRPr="00000000" w14:paraId="00000112">
      <w:pPr>
        <w:rPr/>
      </w:pPr>
      <w:r w:rsidDel="00000000" w:rsidR="00000000" w:rsidRPr="00000000">
        <w:rPr>
          <w:rtl w:val="0"/>
        </w:rPr>
        <w:t xml:space="preserve">Risk Management 101: Protect Your Account from Blow-Ups - Medium</w:t>
      </w:r>
    </w:p>
    <w:p w:rsidR="00000000" w:rsidDel="00000000" w:rsidP="00000000" w:rsidRDefault="00000000" w:rsidRPr="00000000" w14:paraId="00000113">
      <w:pPr>
        <w:rPr/>
      </w:pPr>
      <w:r w:rsidDel="00000000" w:rsidR="00000000" w:rsidRPr="00000000">
        <w:rPr>
          <w:rtl w:val="0"/>
        </w:rPr>
        <w:t xml:space="preserve">Opens in a new window</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arxiv.org</w:t>
      </w:r>
    </w:p>
    <w:p w:rsidR="00000000" w:rsidDel="00000000" w:rsidP="00000000" w:rsidRDefault="00000000" w:rsidRPr="00000000" w14:paraId="00000116">
      <w:pPr>
        <w:rPr/>
      </w:pPr>
      <w:r w:rsidDel="00000000" w:rsidR="00000000" w:rsidRPr="00000000">
        <w:rPr>
          <w:rtl w:val="0"/>
        </w:rPr>
        <w:t xml:space="preserve">Retail Trader's Ruin: An Anatomy of Popular Signal Failure - arXiv</w:t>
      </w:r>
    </w:p>
    <w:p w:rsidR="00000000" w:rsidDel="00000000" w:rsidP="00000000" w:rsidRDefault="00000000" w:rsidRPr="00000000" w14:paraId="00000117">
      <w:pPr>
        <w:rPr/>
      </w:pPr>
      <w:r w:rsidDel="00000000" w:rsidR="00000000" w:rsidRPr="00000000">
        <w:rPr>
          <w:rtl w:val="0"/>
        </w:rPr>
        <w:t xml:space="preserve">Opens in a new window</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researchgate.net</w:t>
      </w:r>
    </w:p>
    <w:p w:rsidR="00000000" w:rsidDel="00000000" w:rsidP="00000000" w:rsidRDefault="00000000" w:rsidRPr="00000000" w14:paraId="0000011A">
      <w:pPr>
        <w:rPr/>
      </w:pPr>
      <w:r w:rsidDel="00000000" w:rsidR="00000000" w:rsidRPr="00000000">
        <w:rPr>
          <w:rtl w:val="0"/>
        </w:rPr>
        <w:t xml:space="preserve">(PDF) Leverage and Uncertainty - ResearchGate</w:t>
      </w:r>
    </w:p>
    <w:p w:rsidR="00000000" w:rsidDel="00000000" w:rsidP="00000000" w:rsidRDefault="00000000" w:rsidRPr="00000000" w14:paraId="0000011B">
      <w:pPr>
        <w:rPr/>
      </w:pPr>
      <w:r w:rsidDel="00000000" w:rsidR="00000000" w:rsidRPr="00000000">
        <w:rPr>
          <w:rtl w:val="0"/>
        </w:rPr>
        <w:t xml:space="preserve">Opens in a new window</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arxiv.org</w:t>
      </w:r>
    </w:p>
    <w:p w:rsidR="00000000" w:rsidDel="00000000" w:rsidP="00000000" w:rsidRDefault="00000000" w:rsidRPr="00000000" w14:paraId="0000011E">
      <w:pPr>
        <w:rPr/>
      </w:pPr>
      <w:r w:rsidDel="00000000" w:rsidR="00000000" w:rsidRPr="00000000">
        <w:rPr>
          <w:rtl w:val="0"/>
        </w:rPr>
        <w:t xml:space="preserve">Investing Is Compression - arXiv</w:t>
      </w:r>
    </w:p>
    <w:p w:rsidR="00000000" w:rsidDel="00000000" w:rsidP="00000000" w:rsidRDefault="00000000" w:rsidRPr="00000000" w14:paraId="0000011F">
      <w:pPr>
        <w:rPr/>
      </w:pPr>
      <w:r w:rsidDel="00000000" w:rsidR="00000000" w:rsidRPr="00000000">
        <w:rPr>
          <w:rtl w:val="0"/>
        </w:rPr>
        <w:t xml:space="preserve">Opens in a new window</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repository.upenn.edu</w:t>
      </w:r>
    </w:p>
    <w:p w:rsidR="00000000" w:rsidDel="00000000" w:rsidP="00000000" w:rsidRDefault="00000000" w:rsidRPr="00000000" w14:paraId="00000122">
      <w:pPr>
        <w:rPr/>
      </w:pPr>
      <w:r w:rsidDel="00000000" w:rsidR="00000000" w:rsidRPr="00000000">
        <w:rPr>
          <w:rtl w:val="0"/>
        </w:rPr>
        <w:t xml:space="preserve">ERGODICITY AND YOU: - University of Pennsylvania</w:t>
      </w:r>
    </w:p>
    <w:p w:rsidR="00000000" w:rsidDel="00000000" w:rsidP="00000000" w:rsidRDefault="00000000" w:rsidRPr="00000000" w14:paraId="00000123">
      <w:pPr>
        <w:rPr/>
      </w:pPr>
      <w:r w:rsidDel="00000000" w:rsidR="00000000" w:rsidRPr="00000000">
        <w:rPr>
          <w:rtl w:val="0"/>
        </w:rPr>
        <w:t xml:space="preserve">Opens in a new window</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arxiv.org</w:t>
      </w:r>
    </w:p>
    <w:p w:rsidR="00000000" w:rsidDel="00000000" w:rsidP="00000000" w:rsidRDefault="00000000" w:rsidRPr="00000000" w14:paraId="00000126">
      <w:pPr>
        <w:rPr/>
      </w:pPr>
      <w:r w:rsidDel="00000000" w:rsidR="00000000" w:rsidRPr="00000000">
        <w:rPr>
          <w:rtl w:val="0"/>
        </w:rPr>
        <w:t xml:space="preserve">Portfolio Optimization Rules beyond the Mean-Variance Approach</w:t>
      </w:r>
    </w:p>
    <w:p w:rsidR="00000000" w:rsidDel="00000000" w:rsidP="00000000" w:rsidRDefault="00000000" w:rsidRPr="00000000" w14:paraId="00000127">
      <w:pPr>
        <w:rPr/>
      </w:pPr>
      <w:r w:rsidDel="00000000" w:rsidR="00000000" w:rsidRPr="00000000">
        <w:rPr>
          <w:rtl w:val="0"/>
        </w:rPr>
        <w:t xml:space="preserve">Opens in a new window</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arxiv.org</w:t>
      </w:r>
    </w:p>
    <w:p w:rsidR="00000000" w:rsidDel="00000000" w:rsidP="00000000" w:rsidRDefault="00000000" w:rsidRPr="00000000" w14:paraId="0000012A">
      <w:pPr>
        <w:rPr/>
      </w:pPr>
      <w:r w:rsidDel="00000000" w:rsidR="00000000" w:rsidRPr="00000000">
        <w:rPr>
          <w:rtl w:val="0"/>
        </w:rPr>
        <w:t xml:space="preserve">Tail Risk Constraints and Maximum Entropy - arXiv</w:t>
      </w:r>
    </w:p>
    <w:p w:rsidR="00000000" w:rsidDel="00000000" w:rsidP="00000000" w:rsidRDefault="00000000" w:rsidRPr="00000000" w14:paraId="0000012B">
      <w:pPr>
        <w:rPr/>
      </w:pPr>
      <w:r w:rsidDel="00000000" w:rsidR="00000000" w:rsidRPr="00000000">
        <w:rPr>
          <w:rtl w:val="0"/>
        </w:rPr>
        <w:t xml:space="preserve">Opens in a new window</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javascript.plainenglish.io</w:t>
      </w:r>
    </w:p>
    <w:p w:rsidR="00000000" w:rsidDel="00000000" w:rsidP="00000000" w:rsidRDefault="00000000" w:rsidRPr="00000000" w14:paraId="0000012E">
      <w:pPr>
        <w:rPr/>
      </w:pPr>
      <w:r w:rsidDel="00000000" w:rsidR="00000000" w:rsidRPr="00000000">
        <w:rPr>
          <w:rtl w:val="0"/>
        </w:rPr>
        <w:t xml:space="preserve">Inngest: The Event-Driven Platform for Reliable Workflows and AI</w:t>
      </w:r>
    </w:p>
    <w:p w:rsidR="00000000" w:rsidDel="00000000" w:rsidP="00000000" w:rsidRDefault="00000000" w:rsidRPr="00000000" w14:paraId="0000012F">
      <w:pPr>
        <w:rPr/>
      </w:pPr>
      <w:r w:rsidDel="00000000" w:rsidR="00000000" w:rsidRPr="00000000">
        <w:rPr>
          <w:rtl w:val="0"/>
        </w:rPr>
        <w:t xml:space="preserve">Opens in a new window</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digitalapplied.com</w:t>
      </w:r>
    </w:p>
    <w:p w:rsidR="00000000" w:rsidDel="00000000" w:rsidP="00000000" w:rsidRDefault="00000000" w:rsidRPr="00000000" w14:paraId="00000132">
      <w:pPr>
        <w:rPr/>
      </w:pPr>
      <w:r w:rsidDel="00000000" w:rsidR="00000000" w:rsidRPr="00000000">
        <w:rPr>
          <w:rtl w:val="0"/>
        </w:rPr>
        <w:t xml:space="preserve">Background Jobs and Queues: 2026 Engineering Reference</w:t>
      </w:r>
    </w:p>
    <w:p w:rsidR="00000000" w:rsidDel="00000000" w:rsidP="00000000" w:rsidRDefault="00000000" w:rsidRPr="00000000" w14:paraId="00000133">
      <w:pPr>
        <w:rPr/>
      </w:pPr>
      <w:r w:rsidDel="00000000" w:rsidR="00000000" w:rsidRPr="00000000">
        <w:rPr>
          <w:rtl w:val="0"/>
        </w:rPr>
        <w:t xml:space="preserve">Opens in a new window</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daily.dev</w:t>
      </w:r>
    </w:p>
    <w:p w:rsidR="00000000" w:rsidDel="00000000" w:rsidP="00000000" w:rsidRDefault="00000000" w:rsidRPr="00000000" w14:paraId="00000136">
      <w:pPr>
        <w:rPr/>
      </w:pPr>
      <w:r w:rsidDel="00000000" w:rsidR="00000000" w:rsidRPr="00000000">
        <w:rPr>
          <w:rtl w:val="0"/>
        </w:rPr>
        <w:t xml:space="preserve">Simple background jobs with Node and Express | daily.dev</w:t>
      </w:r>
    </w:p>
    <w:p w:rsidR="00000000" w:rsidDel="00000000" w:rsidP="00000000" w:rsidRDefault="00000000" w:rsidRPr="00000000" w14:paraId="00000137">
      <w:pPr>
        <w:rPr/>
      </w:pPr>
      <w:r w:rsidDel="00000000" w:rsidR="00000000" w:rsidRPr="00000000">
        <w:rPr>
          <w:rtl w:val="0"/>
        </w:rPr>
        <w:t xml:space="preserve">Opens in a new window</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nofx-dev.zip</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vikash000x.hashnode.dev</w:t>
      </w:r>
    </w:p>
    <w:p w:rsidR="00000000" w:rsidDel="00000000" w:rsidP="00000000" w:rsidRDefault="00000000" w:rsidRPr="00000000" w14:paraId="0000013D">
      <w:pPr>
        <w:rPr/>
      </w:pPr>
      <w:r w:rsidDel="00000000" w:rsidR="00000000" w:rsidRPr="00000000">
        <w:rPr>
          <w:rtl w:val="0"/>
        </w:rPr>
        <w:t xml:space="preserve">Durable Workflows, AI Orchestration &amp; Real-World Use Cases</w:t>
      </w:r>
    </w:p>
    <w:p w:rsidR="00000000" w:rsidDel="00000000" w:rsidP="00000000" w:rsidRDefault="00000000" w:rsidRPr="00000000" w14:paraId="0000013E">
      <w:pPr>
        <w:rPr/>
      </w:pPr>
      <w:r w:rsidDel="00000000" w:rsidR="00000000" w:rsidRPr="00000000">
        <w:rPr>
          <w:rtl w:val="0"/>
        </w:rPr>
        <w:t xml:space="preserve">Opens in a new window</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codecudos.com</w:t>
      </w:r>
    </w:p>
    <w:p w:rsidR="00000000" w:rsidDel="00000000" w:rsidP="00000000" w:rsidRDefault="00000000" w:rsidRPr="00000000" w14:paraId="00000141">
      <w:pPr>
        <w:rPr/>
      </w:pPr>
      <w:r w:rsidDel="00000000" w:rsidR="00000000" w:rsidRPr="00000000">
        <w:rPr>
          <w:rtl w:val="0"/>
        </w:rPr>
        <w:t xml:space="preserve">Inngest vs Trigger.dev vs BullMQ in 2026: Which Background Job</w:t>
      </w:r>
    </w:p>
    <w:p w:rsidR="00000000" w:rsidDel="00000000" w:rsidP="00000000" w:rsidRDefault="00000000" w:rsidRPr="00000000" w14:paraId="00000142">
      <w:pPr>
        <w:rPr/>
      </w:pPr>
      <w:r w:rsidDel="00000000" w:rsidR="00000000" w:rsidRPr="00000000">
        <w:rPr>
          <w:rtl w:val="0"/>
        </w:rPr>
        <w:t xml:space="preserve">Opens in a new window</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inngest.com</w:t>
      </w:r>
    </w:p>
    <w:p w:rsidR="00000000" w:rsidDel="00000000" w:rsidP="00000000" w:rsidRDefault="00000000" w:rsidRPr="00000000" w14:paraId="00000145">
      <w:pPr>
        <w:rPr/>
      </w:pPr>
      <w:r w:rsidDel="00000000" w:rsidR="00000000" w:rsidRPr="00000000">
        <w:rPr>
          <w:rtl w:val="0"/>
        </w:rPr>
        <w:t xml:space="preserve">Inngest: Durable Execution for Workflows &amp; AI</w:t>
      </w:r>
    </w:p>
    <w:p w:rsidR="00000000" w:rsidDel="00000000" w:rsidP="00000000" w:rsidRDefault="00000000" w:rsidRPr="00000000" w14:paraId="00000146">
      <w:pPr>
        <w:rPr/>
      </w:pPr>
      <w:r w:rsidDel="00000000" w:rsidR="00000000" w:rsidRPr="00000000">
        <w:rPr>
          <w:rtl w:val="0"/>
        </w:rPr>
        <w:t xml:space="preserve">Opens in a new window</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medium.com</w:t>
      </w:r>
    </w:p>
    <w:p w:rsidR="00000000" w:rsidDel="00000000" w:rsidP="00000000" w:rsidRDefault="00000000" w:rsidRPr="00000000" w14:paraId="00000149">
      <w:pPr>
        <w:rPr/>
      </w:pPr>
      <w:r w:rsidDel="00000000" w:rsidR="00000000" w:rsidRPr="00000000">
        <w:rPr>
          <w:rtl w:val="0"/>
        </w:rPr>
        <w:t xml:space="preserve">Using Inngest with Next.js: Event-Driven Workflows for Large-Scale</w:t>
      </w:r>
    </w:p>
    <w:p w:rsidR="00000000" w:rsidDel="00000000" w:rsidP="00000000" w:rsidRDefault="00000000" w:rsidRPr="00000000" w14:paraId="0000014A">
      <w:pPr>
        <w:rPr/>
      </w:pPr>
      <w:r w:rsidDel="00000000" w:rsidR="00000000" w:rsidRPr="00000000">
        <w:rPr>
          <w:rtl w:val="0"/>
        </w:rPr>
        <w:t xml:space="preserve">Opens in a new window</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Vibe-Trading-main.zip</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Stock-Prediction-Models-master.zip</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researchgate.net</w:t>
      </w:r>
    </w:p>
    <w:p w:rsidR="00000000" w:rsidDel="00000000" w:rsidP="00000000" w:rsidRDefault="00000000" w:rsidRPr="00000000" w14:paraId="00000153">
      <w:pPr>
        <w:rPr/>
      </w:pPr>
      <w:r w:rsidDel="00000000" w:rsidR="00000000" w:rsidRPr="00000000">
        <w:rPr>
          <w:rtl w:val="0"/>
        </w:rPr>
        <w:t xml:space="preserve">Deep Reinforcement Learning for Dynamic Stock Option Hedging</w:t>
      </w:r>
    </w:p>
    <w:p w:rsidR="00000000" w:rsidDel="00000000" w:rsidP="00000000" w:rsidRDefault="00000000" w:rsidRPr="00000000" w14:paraId="00000154">
      <w:pPr>
        <w:rPr/>
      </w:pPr>
      <w:r w:rsidDel="00000000" w:rsidR="00000000" w:rsidRPr="00000000">
        <w:rPr>
          <w:rtl w:val="0"/>
        </w:rPr>
        <w:t xml:space="preserve">Opens in a new window</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arxiv.org</w:t>
      </w:r>
    </w:p>
    <w:p w:rsidR="00000000" w:rsidDel="00000000" w:rsidP="00000000" w:rsidRDefault="00000000" w:rsidRPr="00000000" w14:paraId="00000157">
      <w:pPr>
        <w:rPr/>
      </w:pPr>
      <w:r w:rsidDel="00000000" w:rsidR="00000000" w:rsidRPr="00000000">
        <w:rPr>
          <w:rtl w:val="0"/>
        </w:rPr>
        <w:t xml:space="preserve">151 Estrategias de Trading - arXiv</w:t>
      </w:r>
    </w:p>
    <w:p w:rsidR="00000000" w:rsidDel="00000000" w:rsidP="00000000" w:rsidRDefault="00000000" w:rsidRPr="00000000" w14:paraId="00000158">
      <w:pPr>
        <w:rPr/>
      </w:pPr>
      <w:r w:rsidDel="00000000" w:rsidR="00000000" w:rsidRPr="00000000">
        <w:rPr>
          <w:rtl w:val="0"/>
        </w:rPr>
        <w:t xml:space="preserve">Opens in a new window</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AI-Trader-main.zip</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TradingAgents-main.zip</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StockSharp-master.zip</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QuantDinger-main.zip</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daily_stock_analysis-main.zip</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OpenStock-main.zip</w:t>
      </w:r>
    </w:p>
    <w:p w:rsidR="00000000" w:rsidDel="00000000" w:rsidP="00000000" w:rsidRDefault="00000000" w:rsidRPr="00000000" w14:paraId="000001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