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CTS LoneStar ER / Operating-Model Context</w:t>
      </w:r>
    </w:p>
    <w:p>
      <w:pPr>
        <w:jc w:val="center"/>
      </w:pPr>
      <w:r>
        <w:rPr>
          <w:rFonts w:ascii="Arial" w:hAnsi="Arial"/>
          <w:i/>
          <w:sz w:val="20"/>
        </w:rPr>
        <w:t>Personal record summary based on the uploaded memo and already-captured chat context. Not a legal analysis.</w:t>
      </w:r>
    </w:p>
    <w:p>
      <w:pPr>
        <w:spacing w:after="120" w:line="252" w:lineRule="auto"/>
      </w:pPr>
      <w:r>
        <w:rPr>
          <w:rFonts w:ascii="Arial" w:hAnsi="Arial"/>
          <w:sz w:val="20"/>
        </w:rPr>
        <w:t>Prepared for: Garrett Baxley</w:t>
      </w:r>
    </w:p>
    <w:p>
      <w:pPr>
        <w:spacing w:after="120" w:line="252" w:lineRule="auto"/>
      </w:pPr>
      <w:r>
        <w:rPr>
          <w:rFonts w:ascii="Arial" w:hAnsi="Arial"/>
          <w:sz w:val="20"/>
        </w:rPr>
        <w:t>Date: May 19, 2026</w:t>
      </w:r>
    </w:p>
    <w:p>
      <w:pPr>
        <w:spacing w:after="120" w:line="252" w:lineRule="auto"/>
      </w:pPr>
      <w:r>
        <w:rPr>
          <w:rFonts w:ascii="Arial" w:hAnsi="Arial"/>
          <w:sz w:val="20"/>
        </w:rPr>
        <w:t>Spelling note: the source materials use Jordyn Waters and Corina Murguia. Those spellings are used throughout this document.</w:t>
      </w:r>
    </w:p>
    <w:tbl>
      <w:tblPr>
        <w:tblW w:type="auto" w:w="0"/>
        <w:jc w:val="center"/>
        <w:tblLook w:firstColumn="1" w:firstRow="1" w:lastColumn="0" w:lastRow="0" w:noHBand="0" w:noVBand="1" w:val="04A0"/>
      </w:tblPr>
      <w:tblGrid>
        <w:gridCol w:w="10080"/>
      </w:tblGrid>
      <w:tr>
        <w:tc>
          <w:tcPr>
            <w:tcW w:type="dxa" w:w="10080"/>
            <w:shd w:fill="EAF2F8"/>
            <w:vAlign w:val="top"/>
          </w:tcPr>
          <w:p>
            <w:pPr>
              <w:spacing w:after="0" w:line="252" w:lineRule="auto"/>
              <w:ind w:left="72" w:right="72"/>
              <w:jc w:val="left"/>
            </w:pPr>
            <w:r/>
            <w:r>
              <w:rPr>
                <w:rFonts w:ascii="Arial" w:hAnsi="Arial"/>
                <w:b w:val="0"/>
                <w:sz w:val="20"/>
              </w:rPr>
              <w:t>Important scope: This document intentionally de-emphasizes staffing/headcount. The relevant thread for this purpose is ER, communication routing, manager alignment, role authority/accountability, and the people tied to those issues. It does not assume bad faith, make legal conclusions, or claim that any one person caused the full situation.</w:t>
            </w:r>
          </w:p>
        </w:tc>
      </w:tr>
    </w:tbl>
    <w:p/>
    <w:p>
      <w:pPr>
        <w:pStyle w:val="Heading1"/>
      </w:pPr>
      <w:r>
        <w:t>A. Executive Summary</w:t>
      </w:r>
    </w:p>
    <w:p>
      <w:pPr>
        <w:spacing w:after="120" w:line="252" w:lineRule="auto"/>
      </w:pPr>
      <w:r>
        <w:rPr>
          <w:rFonts w:ascii="Arial" w:hAnsi="Arial"/>
          <w:sz w:val="20"/>
        </w:rPr>
        <w:t>The central concern is not staffing. The central concern is an ER and operating-model breakdown involving communication routing, manager alignment, role authority, and performance framing. The uploaded memo presents the issue as a request for a reset, not a request for discipline, removal, or formal action against anyone.</w:t>
      </w:r>
    </w:p>
    <w:p>
      <w:pPr>
        <w:spacing w:after="120" w:line="252" w:lineRule="auto"/>
      </w:pPr>
      <w:r>
        <w:rPr>
          <w:rFonts w:ascii="Arial" w:hAnsi="Arial"/>
          <w:sz w:val="20"/>
        </w:rPr>
        <w:t>The strongest factual storyline is this: Garrett says he repeatedly raised a structural concern with Corina Murguia that HR-scope and ER-sensitive work was being framed, routed, or controlled outside the on-site HR Manager role. In several direct conversations, those communication concerns were allegedly redirected into performance concerns about Garrett. That created a loop: he raised routing issues, the response became performance, and the original operating-model issue did not get resolved.</w:t>
      </w:r>
    </w:p>
    <w:p>
      <w:pPr>
        <w:spacing w:after="120" w:line="252" w:lineRule="auto"/>
      </w:pPr>
      <w:r>
        <w:rPr>
          <w:rFonts w:ascii="Arial" w:hAnsi="Arial"/>
          <w:sz w:val="20"/>
        </w:rPr>
        <w:t>The best posture remains calm and narrow: authority and accountability need to match. The record is strongest when it is framed as a pattern across dates, workstreams, and stakeholders. It is weakest when it sounds like personal conflict, motive attribution, or an attempt to prove that every communication failure was intentional.</w:t>
      </w:r>
    </w:p>
    <w:p>
      <w:pPr>
        <w:pStyle w:val="Heading1"/>
      </w:pPr>
      <w:r>
        <w:t>B. What Changed Over Time</w:t>
      </w:r>
    </w:p>
    <w:tbl>
      <w:tblPr>
        <w:tblStyle w:val="TableGrid"/>
        <w:tblW w:type="auto" w:w="0"/>
        <w:jc w:val="center"/>
        <w:tblLook w:firstColumn="1" w:firstRow="1" w:lastColumn="0" w:lastRow="0" w:noHBand="0" w:noVBand="1" w:val="04A0"/>
      </w:tblPr>
      <w:tblGrid>
        <w:gridCol w:w="5040"/>
        <w:gridCol w:w="5040"/>
      </w:tblGrid>
      <w:tr>
        <w:tc>
          <w:tcPr>
            <w:tcW w:type="dxa" w:w="1800"/>
            <w:shd w:fill="D9EAF7"/>
            <w:vAlign w:val="top"/>
          </w:tcPr>
          <w:p>
            <w:pPr>
              <w:spacing w:after="0" w:line="252" w:lineRule="auto"/>
              <w:jc w:val="left"/>
            </w:pPr>
            <w:r/>
            <w:r>
              <w:rPr>
                <w:rFonts w:ascii="Arial" w:hAnsi="Arial"/>
                <w:b/>
                <w:sz w:val="16"/>
              </w:rPr>
              <w:t>Date</w:t>
            </w:r>
          </w:p>
        </w:tc>
        <w:tc>
          <w:tcPr>
            <w:tcW w:type="dxa" w:w="8280"/>
            <w:shd w:fill="D9EAF7"/>
            <w:vAlign w:val="top"/>
          </w:tcPr>
          <w:p>
            <w:pPr>
              <w:spacing w:after="0" w:line="252" w:lineRule="auto"/>
              <w:jc w:val="left"/>
            </w:pPr>
            <w:r/>
            <w:r>
              <w:rPr>
                <w:rFonts w:ascii="Arial" w:hAnsi="Arial"/>
                <w:b/>
                <w:sz w:val="16"/>
              </w:rPr>
              <w:t>Relevant change / event</w:t>
            </w:r>
          </w:p>
        </w:tc>
      </w:tr>
      <w:tr>
        <w:tc>
          <w:tcPr>
            <w:tcW w:type="dxa" w:w="1800"/>
            <w:vAlign w:val="top"/>
          </w:tcPr>
          <w:p>
            <w:pPr>
              <w:spacing w:after="0" w:line="252" w:lineRule="auto"/>
              <w:jc w:val="left"/>
            </w:pPr>
            <w:r/>
            <w:r>
              <w:rPr>
                <w:rFonts w:ascii="Arial" w:hAnsi="Arial"/>
                <w:b w:val="0"/>
                <w:sz w:val="16"/>
              </w:rPr>
              <w:t>October 2025</w:t>
            </w:r>
          </w:p>
        </w:tc>
        <w:tc>
          <w:tcPr>
            <w:tcW w:type="dxa" w:w="8280"/>
            <w:vAlign w:val="top"/>
          </w:tcPr>
          <w:p>
            <w:pPr>
              <w:spacing w:after="0" w:line="252" w:lineRule="auto"/>
              <w:jc w:val="left"/>
            </w:pPr>
            <w:r/>
            <w:r>
              <w:rPr>
                <w:rFonts w:ascii="Arial" w:hAnsi="Arial"/>
                <w:b w:val="0"/>
                <w:sz w:val="16"/>
              </w:rPr>
              <w:t>Garrett joined CTS LoneStar as on-site Human Resources Manager. Jake Overman was supervisor; Corina Murguia was listed as onboarding buddy. The role was understood as primary on-site HR point of contact for ER, onboarding, compliance, escalation, and workforce matters.</w:t>
            </w:r>
          </w:p>
        </w:tc>
      </w:tr>
      <w:tr>
        <w:tc>
          <w:tcPr>
            <w:tcW w:type="dxa" w:w="1800"/>
            <w:vAlign w:val="top"/>
          </w:tcPr>
          <w:p>
            <w:pPr>
              <w:spacing w:after="0" w:line="252" w:lineRule="auto"/>
              <w:jc w:val="left"/>
            </w:pPr>
            <w:r/>
            <w:r>
              <w:rPr>
                <w:rFonts w:ascii="Arial" w:hAnsi="Arial"/>
                <w:b w:val="0"/>
                <w:sz w:val="16"/>
              </w:rPr>
              <w:t>February 9, 2026</w:t>
            </w:r>
          </w:p>
        </w:tc>
        <w:tc>
          <w:tcPr>
            <w:tcW w:type="dxa" w:w="8280"/>
            <w:vAlign w:val="top"/>
          </w:tcPr>
          <w:p>
            <w:pPr>
              <w:spacing w:after="0" w:line="252" w:lineRule="auto"/>
              <w:jc w:val="left"/>
            </w:pPr>
            <w:r/>
            <w:r>
              <w:rPr>
                <w:rFonts w:ascii="Arial" w:hAnsi="Arial"/>
                <w:b w:val="0"/>
                <w:sz w:val="16"/>
              </w:rPr>
              <w:t>Garrett emailed Corina directly, “Aligning on JV Execution,” naming a shift from owning the work to executing work increasingly framed, validated, or routed elsewhere. He closed with: “I need to reset this.”</w:t>
            </w:r>
          </w:p>
        </w:tc>
      </w:tr>
      <w:tr>
        <w:tc>
          <w:tcPr>
            <w:tcW w:type="dxa" w:w="1800"/>
            <w:vAlign w:val="top"/>
          </w:tcPr>
          <w:p>
            <w:pPr>
              <w:spacing w:after="0" w:line="252" w:lineRule="auto"/>
              <w:jc w:val="left"/>
            </w:pPr>
            <w:r/>
            <w:r>
              <w:rPr>
                <w:rFonts w:ascii="Arial" w:hAnsi="Arial"/>
                <w:b w:val="0"/>
                <w:sz w:val="16"/>
              </w:rPr>
              <w:t>Early March 2026</w:t>
            </w:r>
          </w:p>
        </w:tc>
        <w:tc>
          <w:tcPr>
            <w:tcW w:type="dxa" w:w="8280"/>
            <w:vAlign w:val="top"/>
          </w:tcPr>
          <w:p>
            <w:pPr>
              <w:spacing w:after="0" w:line="252" w:lineRule="auto"/>
              <w:jc w:val="left"/>
            </w:pPr>
            <w:r/>
            <w:r>
              <w:rPr>
                <w:rFonts w:ascii="Arial" w:hAnsi="Arial"/>
                <w:b w:val="0"/>
                <w:sz w:val="16"/>
              </w:rPr>
              <w:t>Garrett distributed Our House, Our Home training materials to initiate rollout. According to the memo, no movement followed, and later ER pressure made the training urgent.</w:t>
            </w:r>
          </w:p>
        </w:tc>
      </w:tr>
      <w:tr>
        <w:tc>
          <w:tcPr>
            <w:tcW w:type="dxa" w:w="1800"/>
            <w:vAlign w:val="top"/>
          </w:tcPr>
          <w:p>
            <w:pPr>
              <w:spacing w:after="0" w:line="252" w:lineRule="auto"/>
              <w:jc w:val="left"/>
            </w:pPr>
            <w:r/>
            <w:r>
              <w:rPr>
                <w:rFonts w:ascii="Arial" w:hAnsi="Arial"/>
                <w:b w:val="0"/>
                <w:sz w:val="16"/>
              </w:rPr>
              <w:t>Late March 2026</w:t>
            </w:r>
          </w:p>
        </w:tc>
        <w:tc>
          <w:tcPr>
            <w:tcW w:type="dxa" w:w="8280"/>
            <w:vAlign w:val="top"/>
          </w:tcPr>
          <w:p>
            <w:pPr>
              <w:spacing w:after="0" w:line="252" w:lineRule="auto"/>
              <w:jc w:val="left"/>
            </w:pPr>
            <w:r/>
            <w:r>
              <w:rPr>
                <w:rFonts w:ascii="Arial" w:hAnsi="Arial"/>
                <w:b w:val="0"/>
                <w:sz w:val="16"/>
              </w:rPr>
              <w:t>BME workstream was discussed without Garrett or Corina present, according to Garrett’s 1:1 Teams message noting that neither of them was present.</w:t>
            </w:r>
          </w:p>
        </w:tc>
      </w:tr>
      <w:tr>
        <w:tc>
          <w:tcPr>
            <w:tcW w:type="dxa" w:w="1800"/>
            <w:vAlign w:val="top"/>
          </w:tcPr>
          <w:p>
            <w:pPr>
              <w:spacing w:after="0" w:line="252" w:lineRule="auto"/>
              <w:jc w:val="left"/>
            </w:pPr>
            <w:r/>
            <w:r>
              <w:rPr>
                <w:rFonts w:ascii="Arial" w:hAnsi="Arial"/>
                <w:b w:val="0"/>
                <w:sz w:val="16"/>
              </w:rPr>
              <w:t>April 9, 2026</w:t>
            </w:r>
          </w:p>
        </w:tc>
        <w:tc>
          <w:tcPr>
            <w:tcW w:type="dxa" w:w="8280"/>
            <w:vAlign w:val="top"/>
          </w:tcPr>
          <w:p>
            <w:pPr>
              <w:spacing w:after="0" w:line="252" w:lineRule="auto"/>
              <w:jc w:val="left"/>
            </w:pPr>
            <w:r/>
            <w:r>
              <w:rPr>
                <w:rFonts w:ascii="Arial" w:hAnsi="Arial"/>
                <w:b w:val="0"/>
                <w:sz w:val="16"/>
              </w:rPr>
              <w:t>Garrett escalated in writing to Jake Overman under “CTS / CMDA / JRN Alignment.” Jake replied; the memo says substance was not disputed.</w:t>
            </w:r>
          </w:p>
        </w:tc>
      </w:tr>
      <w:tr>
        <w:tc>
          <w:tcPr>
            <w:tcW w:type="dxa" w:w="1800"/>
            <w:vAlign w:val="top"/>
          </w:tcPr>
          <w:p>
            <w:pPr>
              <w:spacing w:after="0" w:line="252" w:lineRule="auto"/>
              <w:jc w:val="left"/>
            </w:pPr>
            <w:r/>
            <w:r>
              <w:rPr>
                <w:rFonts w:ascii="Arial" w:hAnsi="Arial"/>
                <w:b w:val="0"/>
                <w:sz w:val="16"/>
              </w:rPr>
              <w:t>April 20, 2026</w:t>
            </w:r>
          </w:p>
        </w:tc>
        <w:tc>
          <w:tcPr>
            <w:tcW w:type="dxa" w:w="8280"/>
            <w:vAlign w:val="top"/>
          </w:tcPr>
          <w:p>
            <w:pPr>
              <w:spacing w:after="0" w:line="252" w:lineRule="auto"/>
              <w:jc w:val="left"/>
            </w:pPr>
            <w:r/>
            <w:r>
              <w:rPr>
                <w:rFonts w:ascii="Arial" w:hAnsi="Arial"/>
                <w:b w:val="0"/>
                <w:sz w:val="16"/>
              </w:rPr>
              <w:t>Corina allegedly relayed that Joe Glowacki said Garrett was “not engaged” and had “tried his best but leadership wanted more.”</w:t>
            </w:r>
          </w:p>
        </w:tc>
      </w:tr>
      <w:tr>
        <w:tc>
          <w:tcPr>
            <w:tcW w:type="dxa" w:w="1800"/>
            <w:vAlign w:val="top"/>
          </w:tcPr>
          <w:p>
            <w:pPr>
              <w:spacing w:after="0" w:line="252" w:lineRule="auto"/>
              <w:jc w:val="left"/>
            </w:pPr>
            <w:r/>
            <w:r>
              <w:rPr>
                <w:rFonts w:ascii="Arial" w:hAnsi="Arial"/>
                <w:b w:val="0"/>
                <w:sz w:val="16"/>
              </w:rPr>
              <w:t>April 22, 2026</w:t>
            </w:r>
          </w:p>
        </w:tc>
        <w:tc>
          <w:tcPr>
            <w:tcW w:type="dxa" w:w="8280"/>
            <w:vAlign w:val="top"/>
          </w:tcPr>
          <w:p>
            <w:pPr>
              <w:spacing w:after="0" w:line="252" w:lineRule="auto"/>
              <w:jc w:val="left"/>
            </w:pPr>
            <w:r/>
            <w:r>
              <w:rPr>
                <w:rFonts w:ascii="Arial" w:hAnsi="Arial"/>
                <w:b w:val="0"/>
                <w:sz w:val="16"/>
              </w:rPr>
              <w:t>Garrett escalated in writing to Kevin Ward and Jeff Dolan under “CTS ER Concern - Alignment.”</w:t>
            </w:r>
          </w:p>
        </w:tc>
      </w:tr>
      <w:tr>
        <w:tc>
          <w:tcPr>
            <w:tcW w:type="dxa" w:w="1800"/>
            <w:vAlign w:val="top"/>
          </w:tcPr>
          <w:p>
            <w:pPr>
              <w:spacing w:after="0" w:line="252" w:lineRule="auto"/>
              <w:jc w:val="left"/>
            </w:pPr>
            <w:r/>
            <w:r>
              <w:rPr>
                <w:rFonts w:ascii="Arial" w:hAnsi="Arial"/>
                <w:b w:val="0"/>
                <w:sz w:val="16"/>
              </w:rPr>
              <w:t>April 27, 2026</w:t>
            </w:r>
          </w:p>
        </w:tc>
        <w:tc>
          <w:tcPr>
            <w:tcW w:type="dxa" w:w="8280"/>
            <w:vAlign w:val="top"/>
          </w:tcPr>
          <w:p>
            <w:pPr>
              <w:spacing w:after="0" w:line="252" w:lineRule="auto"/>
              <w:jc w:val="left"/>
            </w:pPr>
            <w:r/>
            <w:r>
              <w:rPr>
                <w:rFonts w:ascii="Arial" w:hAnsi="Arial"/>
                <w:b w:val="0"/>
                <w:sz w:val="16"/>
              </w:rPr>
              <w:t>Joe Glowacki allegedly told Garrett by phone that the MVP engagement was Google/Alex Salah-driven, not performance-based, and that he had complimented Garrett’s work.</w:t>
            </w:r>
          </w:p>
        </w:tc>
      </w:tr>
      <w:tr>
        <w:tc>
          <w:tcPr>
            <w:tcW w:type="dxa" w:w="1800"/>
            <w:vAlign w:val="top"/>
          </w:tcPr>
          <w:p>
            <w:pPr>
              <w:spacing w:after="0" w:line="252" w:lineRule="auto"/>
              <w:jc w:val="left"/>
            </w:pPr>
            <w:r/>
            <w:r>
              <w:rPr>
                <w:rFonts w:ascii="Arial" w:hAnsi="Arial"/>
                <w:b w:val="0"/>
                <w:sz w:val="16"/>
              </w:rPr>
              <w:t>April 28, 2026</w:t>
            </w:r>
          </w:p>
        </w:tc>
        <w:tc>
          <w:tcPr>
            <w:tcW w:type="dxa" w:w="8280"/>
            <w:vAlign w:val="top"/>
          </w:tcPr>
          <w:p>
            <w:pPr>
              <w:spacing w:after="0" w:line="252" w:lineRule="auto"/>
              <w:jc w:val="left"/>
            </w:pPr>
            <w:r/>
            <w:r>
              <w:rPr>
                <w:rFonts w:ascii="Arial" w:hAnsi="Arial"/>
                <w:b w:val="0"/>
                <w:sz w:val="16"/>
              </w:rPr>
              <w:t>Jordyn Waters organized an HR intern discussion with Garrett and Corina. The Teams language said, “You can join us in the conference room if you’d like,” which Garrett frames as optional positioning on an HR-scope workstream.</w:t>
            </w:r>
          </w:p>
        </w:tc>
      </w:tr>
      <w:tr>
        <w:tc>
          <w:tcPr>
            <w:tcW w:type="dxa" w:w="1800"/>
            <w:vAlign w:val="top"/>
          </w:tcPr>
          <w:p>
            <w:pPr>
              <w:spacing w:after="0" w:line="252" w:lineRule="auto"/>
              <w:jc w:val="left"/>
            </w:pPr>
            <w:r/>
            <w:r>
              <w:rPr>
                <w:rFonts w:ascii="Arial" w:hAnsi="Arial"/>
                <w:b w:val="0"/>
                <w:sz w:val="16"/>
              </w:rPr>
              <w:t>April 28, 2026</w:t>
            </w:r>
          </w:p>
        </w:tc>
        <w:tc>
          <w:tcPr>
            <w:tcW w:type="dxa" w:w="8280"/>
            <w:vAlign w:val="top"/>
          </w:tcPr>
          <w:p>
            <w:pPr>
              <w:spacing w:after="0" w:line="252" w:lineRule="auto"/>
              <w:jc w:val="left"/>
            </w:pPr>
            <w:r/>
            <w:r>
              <w:rPr>
                <w:rFonts w:ascii="Arial" w:hAnsi="Arial"/>
                <w:b w:val="0"/>
                <w:sz w:val="16"/>
              </w:rPr>
              <w:t>Dan Blanton intake: Corina allegedly joined 13 minutes late, did not orient through Garrett, and took over. Dan reportedly said, “well i was just in the middle, but let me start over.”</w:t>
            </w:r>
          </w:p>
        </w:tc>
      </w:tr>
      <w:tr>
        <w:tc>
          <w:tcPr>
            <w:tcW w:type="dxa" w:w="1800"/>
            <w:vAlign w:val="top"/>
          </w:tcPr>
          <w:p>
            <w:pPr>
              <w:spacing w:after="0" w:line="252" w:lineRule="auto"/>
              <w:jc w:val="left"/>
            </w:pPr>
            <w:r/>
            <w:r>
              <w:rPr>
                <w:rFonts w:ascii="Arial" w:hAnsi="Arial"/>
                <w:b w:val="0"/>
                <w:sz w:val="16"/>
              </w:rPr>
              <w:t>April 28, 2026</w:t>
            </w:r>
          </w:p>
        </w:tc>
        <w:tc>
          <w:tcPr>
            <w:tcW w:type="dxa" w:w="8280"/>
            <w:vAlign w:val="top"/>
          </w:tcPr>
          <w:p>
            <w:pPr>
              <w:spacing w:after="0" w:line="252" w:lineRule="auto"/>
              <w:jc w:val="left"/>
            </w:pPr>
            <w:r/>
            <w:r>
              <w:rPr>
                <w:rFonts w:ascii="Arial" w:hAnsi="Arial"/>
                <w:b w:val="0"/>
                <w:sz w:val="16"/>
              </w:rPr>
              <w:t>Corina sent “RE: Shelby Update” to Stephanie Koffsky and Steph Curran, with Garrett on CC only. OHOH training was tied as a next-step action.</w:t>
            </w:r>
          </w:p>
        </w:tc>
      </w:tr>
      <w:tr>
        <w:tc>
          <w:tcPr>
            <w:tcW w:type="dxa" w:w="1800"/>
            <w:vAlign w:val="top"/>
          </w:tcPr>
          <w:p>
            <w:pPr>
              <w:spacing w:after="0" w:line="252" w:lineRule="auto"/>
              <w:jc w:val="left"/>
            </w:pPr>
            <w:r/>
            <w:r>
              <w:rPr>
                <w:rFonts w:ascii="Arial" w:hAnsi="Arial"/>
                <w:b w:val="0"/>
                <w:sz w:val="16"/>
              </w:rPr>
              <w:t>April 29, 2026</w:t>
            </w:r>
          </w:p>
        </w:tc>
        <w:tc>
          <w:tcPr>
            <w:tcW w:type="dxa" w:w="8280"/>
            <w:vAlign w:val="top"/>
          </w:tcPr>
          <w:p>
            <w:pPr>
              <w:spacing w:after="0" w:line="252" w:lineRule="auto"/>
              <w:jc w:val="left"/>
            </w:pPr>
            <w:r/>
            <w:r>
              <w:rPr>
                <w:rFonts w:ascii="Arial" w:hAnsi="Arial"/>
                <w:b w:val="0"/>
                <w:sz w:val="16"/>
              </w:rPr>
              <w:t>Shelby office walk-in: Garrett raised routing/bottleneck concerns; the conversation allegedly pivoted to performance. The memo records Corina’s statement: “Maybe you need to do some reflecting to see why people are coming to me instead of you.”</w:t>
            </w:r>
          </w:p>
        </w:tc>
      </w:tr>
      <w:tr>
        <w:tc>
          <w:tcPr>
            <w:tcW w:type="dxa" w:w="1800"/>
            <w:vAlign w:val="top"/>
          </w:tcPr>
          <w:p>
            <w:pPr>
              <w:spacing w:after="0" w:line="252" w:lineRule="auto"/>
              <w:jc w:val="left"/>
            </w:pPr>
            <w:r/>
            <w:r>
              <w:rPr>
                <w:rFonts w:ascii="Arial" w:hAnsi="Arial"/>
                <w:b w:val="0"/>
                <w:sz w:val="16"/>
              </w:rPr>
              <w:t>April 29, 2026</w:t>
            </w:r>
          </w:p>
        </w:tc>
        <w:tc>
          <w:tcPr>
            <w:tcW w:type="dxa" w:w="8280"/>
            <w:vAlign w:val="top"/>
          </w:tcPr>
          <w:p>
            <w:pPr>
              <w:spacing w:after="0" w:line="252" w:lineRule="auto"/>
              <w:jc w:val="left"/>
            </w:pPr>
            <w:r/>
            <w:r>
              <w:rPr>
                <w:rFonts w:ascii="Arial" w:hAnsi="Arial"/>
                <w:b w:val="0"/>
                <w:sz w:val="16"/>
              </w:rPr>
              <w:t>Joe Glowacki forwarded “MVP Introduction” to Garrett with: “Sorry Garrett. Forgot to copy you.” Garrett treats this as a clean written example of HR-scope routing happening after the fact.</w:t>
            </w:r>
          </w:p>
        </w:tc>
      </w:tr>
      <w:tr>
        <w:tc>
          <w:tcPr>
            <w:tcW w:type="dxa" w:w="1800"/>
            <w:vAlign w:val="top"/>
          </w:tcPr>
          <w:p>
            <w:pPr>
              <w:spacing w:after="0" w:line="252" w:lineRule="auto"/>
              <w:jc w:val="left"/>
            </w:pPr>
            <w:r/>
            <w:r>
              <w:rPr>
                <w:rFonts w:ascii="Arial" w:hAnsi="Arial"/>
                <w:b w:val="0"/>
                <w:sz w:val="16"/>
              </w:rPr>
              <w:t>May 1, 2026</w:t>
            </w:r>
          </w:p>
        </w:tc>
        <w:tc>
          <w:tcPr>
            <w:tcW w:type="dxa" w:w="8280"/>
            <w:vAlign w:val="top"/>
          </w:tcPr>
          <w:p>
            <w:pPr>
              <w:spacing w:after="0" w:line="252" w:lineRule="auto"/>
              <w:jc w:val="left"/>
            </w:pPr>
            <w:r/>
            <w:r>
              <w:rPr>
                <w:rFonts w:ascii="Arial" w:hAnsi="Arial"/>
                <w:b w:val="0"/>
                <w:sz w:val="16"/>
              </w:rPr>
              <w:t>Andy Tandon emailed “Re: Staff at Haskel”: “Yes we are hiring. Copied Corina Murguia as she can grab his resume etc quickly. We will connect w him.” This is one of the clearest written examples of speed-based routing through Corina.</w:t>
            </w:r>
          </w:p>
        </w:tc>
      </w:tr>
      <w:tr>
        <w:tc>
          <w:tcPr>
            <w:tcW w:type="dxa" w:w="1800"/>
            <w:vAlign w:val="top"/>
          </w:tcPr>
          <w:p>
            <w:pPr>
              <w:spacing w:after="0" w:line="252" w:lineRule="auto"/>
              <w:jc w:val="left"/>
            </w:pPr>
            <w:r/>
            <w:r>
              <w:rPr>
                <w:rFonts w:ascii="Arial" w:hAnsi="Arial"/>
                <w:b w:val="0"/>
                <w:sz w:val="16"/>
              </w:rPr>
              <w:t>May 1, 2026</w:t>
            </w:r>
          </w:p>
        </w:tc>
        <w:tc>
          <w:tcPr>
            <w:tcW w:type="dxa" w:w="8280"/>
            <w:vAlign w:val="top"/>
          </w:tcPr>
          <w:p>
            <w:pPr>
              <w:spacing w:after="0" w:line="252" w:lineRule="auto"/>
              <w:jc w:val="left"/>
            </w:pPr>
            <w:r/>
            <w:r>
              <w:rPr>
                <w:rFonts w:ascii="Arial" w:hAnsi="Arial"/>
                <w:b w:val="0"/>
                <w:sz w:val="16"/>
              </w:rPr>
              <w:t>Friday call with Corina: Garrett raised communication; Corina raised “gaps”; Garrett ended the call. Corina is quoted in the memo as saying, “OK fine Garrett goodbye.”</w:t>
            </w:r>
          </w:p>
        </w:tc>
      </w:tr>
      <w:tr>
        <w:tc>
          <w:tcPr>
            <w:tcW w:type="dxa" w:w="1800"/>
            <w:vAlign w:val="top"/>
          </w:tcPr>
          <w:p>
            <w:pPr>
              <w:spacing w:after="0" w:line="252" w:lineRule="auto"/>
              <w:jc w:val="left"/>
            </w:pPr>
            <w:r/>
            <w:r>
              <w:rPr>
                <w:rFonts w:ascii="Arial" w:hAnsi="Arial"/>
                <w:b w:val="0"/>
                <w:sz w:val="16"/>
              </w:rPr>
              <w:t>May 4-5, 2026</w:t>
            </w:r>
          </w:p>
        </w:tc>
        <w:tc>
          <w:tcPr>
            <w:tcW w:type="dxa" w:w="8280"/>
            <w:vAlign w:val="top"/>
          </w:tcPr>
          <w:p>
            <w:pPr>
              <w:spacing w:after="0" w:line="252" w:lineRule="auto"/>
              <w:jc w:val="left"/>
            </w:pPr>
            <w:r/>
            <w:r>
              <w:rPr>
                <w:rFonts w:ascii="Arial" w:hAnsi="Arial"/>
                <w:b w:val="0"/>
                <w:sz w:val="16"/>
              </w:rPr>
              <w:t>Garrett prepared the operating-model reset memo for Kevin Ward before the May 5 meeting.</w:t>
            </w:r>
          </w:p>
        </w:tc>
      </w:tr>
      <w:tr>
        <w:tc>
          <w:tcPr>
            <w:tcW w:type="dxa" w:w="1800"/>
            <w:vAlign w:val="top"/>
          </w:tcPr>
          <w:p>
            <w:pPr>
              <w:spacing w:after="0" w:line="252" w:lineRule="auto"/>
              <w:jc w:val="left"/>
            </w:pPr>
            <w:r/>
            <w:r>
              <w:rPr>
                <w:rFonts w:ascii="Arial" w:hAnsi="Arial"/>
                <w:b w:val="0"/>
                <w:sz w:val="16"/>
              </w:rPr>
              <w:t>May 19, 2026</w:t>
            </w:r>
          </w:p>
        </w:tc>
        <w:tc>
          <w:tcPr>
            <w:tcW w:type="dxa" w:w="8280"/>
            <w:vAlign w:val="top"/>
          </w:tcPr>
          <w:p>
            <w:pPr>
              <w:spacing w:after="0" w:line="252" w:lineRule="auto"/>
              <w:jc w:val="left"/>
            </w:pPr>
            <w:r/>
            <w:r>
              <w:rPr>
                <w:rFonts w:ascii="Arial" w:hAnsi="Arial"/>
                <w:b w:val="0"/>
                <w:sz w:val="16"/>
              </w:rPr>
              <w:t>Current context from Garrett: he reports being terminated and wants the available record condensed around the ER concerns, not staffing.</w:t>
            </w:r>
          </w:p>
        </w:tc>
      </w:tr>
    </w:tbl>
    <w:p/>
    <w:p>
      <w:pPr>
        <w:pStyle w:val="Heading1"/>
      </w:pPr>
      <w:r>
        <w:t>C. Key Stakeholders and Relevant Information</w:t>
      </w:r>
    </w:p>
    <w:tbl>
      <w:tblPr>
        <w:tblStyle w:val="TableGrid"/>
        <w:tblW w:type="auto" w:w="0"/>
        <w:jc w:val="center"/>
        <w:tblLook w:firstColumn="1" w:firstRow="1" w:lastColumn="0" w:lastRow="0" w:noHBand="0" w:noVBand="1" w:val="04A0"/>
      </w:tblPr>
      <w:tblGrid>
        <w:gridCol w:w="5040"/>
        <w:gridCol w:w="5040"/>
      </w:tblGrid>
      <w:tr>
        <w:tc>
          <w:tcPr>
            <w:tcW w:type="dxa" w:w="2088"/>
            <w:shd w:fill="D9EAF7"/>
            <w:vAlign w:val="top"/>
          </w:tcPr>
          <w:p>
            <w:pPr>
              <w:spacing w:after="0" w:line="252" w:lineRule="auto"/>
              <w:jc w:val="left"/>
            </w:pPr>
            <w:r/>
            <w:r>
              <w:rPr>
                <w:rFonts w:ascii="Arial" w:hAnsi="Arial"/>
                <w:b/>
                <w:sz w:val="16"/>
              </w:rPr>
              <w:t>Stakeholder</w:t>
            </w:r>
          </w:p>
        </w:tc>
        <w:tc>
          <w:tcPr>
            <w:tcW w:type="dxa" w:w="7992"/>
            <w:shd w:fill="D9EAF7"/>
            <w:vAlign w:val="top"/>
          </w:tcPr>
          <w:p>
            <w:pPr>
              <w:spacing w:after="0" w:line="252" w:lineRule="auto"/>
              <w:jc w:val="left"/>
            </w:pPr>
            <w:r/>
            <w:r>
              <w:rPr>
                <w:rFonts w:ascii="Arial" w:hAnsi="Arial"/>
                <w:b/>
                <w:sz w:val="16"/>
              </w:rPr>
              <w:t>Relevant information</w:t>
            </w:r>
          </w:p>
        </w:tc>
      </w:tr>
      <w:tr>
        <w:tc>
          <w:tcPr>
            <w:tcW w:type="dxa" w:w="2088"/>
            <w:vAlign w:val="top"/>
          </w:tcPr>
          <w:p>
            <w:pPr>
              <w:spacing w:after="0" w:line="252" w:lineRule="auto"/>
              <w:jc w:val="left"/>
            </w:pPr>
            <w:r/>
            <w:r>
              <w:rPr>
                <w:rFonts w:ascii="Arial" w:hAnsi="Arial"/>
                <w:b w:val="0"/>
                <w:sz w:val="16"/>
              </w:rPr>
              <w:t>Corina Murguia</w:t>
            </w:r>
          </w:p>
        </w:tc>
        <w:tc>
          <w:tcPr>
            <w:tcW w:type="dxa" w:w="7992"/>
            <w:vAlign w:val="top"/>
          </w:tcPr>
          <w:p>
            <w:pPr>
              <w:spacing w:after="0" w:line="252" w:lineRule="auto"/>
              <w:jc w:val="left"/>
            </w:pPr>
            <w:r/>
            <w:r>
              <w:rPr>
                <w:rFonts w:ascii="Arial" w:hAnsi="Arial"/>
                <w:b w:val="0"/>
                <w:sz w:val="16"/>
              </w:rPr>
              <w:t>Central manager/HR leader in the record. Listed as onboarding buddy at start. Involved in the alleged routing/performance loop, OHOH handling, Dan Blanton intake, Shelby update, intern pay/holiday HR direction, Teams/status feedback, and communications with leadership. The strongest Corina-related point is not “bad faith”; it is that communication concerns were allegedly redirected into performance concerns repeatedly.</w:t>
            </w:r>
          </w:p>
        </w:tc>
      </w:tr>
      <w:tr>
        <w:tc>
          <w:tcPr>
            <w:tcW w:type="dxa" w:w="2088"/>
            <w:vAlign w:val="top"/>
          </w:tcPr>
          <w:p>
            <w:pPr>
              <w:spacing w:after="0" w:line="252" w:lineRule="auto"/>
              <w:jc w:val="left"/>
            </w:pPr>
            <w:r/>
            <w:r>
              <w:rPr>
                <w:rFonts w:ascii="Arial" w:hAnsi="Arial"/>
                <w:b w:val="0"/>
                <w:sz w:val="16"/>
              </w:rPr>
              <w:t>Jordyn Waters</w:t>
            </w:r>
          </w:p>
        </w:tc>
        <w:tc>
          <w:tcPr>
            <w:tcW w:type="dxa" w:w="7992"/>
            <w:vAlign w:val="top"/>
          </w:tcPr>
          <w:p>
            <w:pPr>
              <w:spacing w:after="0" w:line="252" w:lineRule="auto"/>
              <w:jc w:val="left"/>
            </w:pPr>
            <w:r/>
            <w:r>
              <w:rPr>
                <w:rFonts w:ascii="Arial" w:hAnsi="Arial"/>
                <w:b w:val="0"/>
                <w:sz w:val="16"/>
              </w:rPr>
              <w:t>Garrett’s direct report in the record. Organized the April 28 Intern Discussion (HR). The Teams phrasing “You can join us…” can be framed as making the on-site HR Manager optional on an HR-scope item. Jordyn also reportedly used a different spreadsheet because Garrett’s tracker felt overwhelming, and was active in intern/housing/onboarding details. A front-desk report says Jordyn and Tristin were overheard speaking about Garrett within earshot of new hires; treat that as a witness report, not a proven broader fact.</w:t>
            </w:r>
          </w:p>
        </w:tc>
      </w:tr>
      <w:tr>
        <w:tc>
          <w:tcPr>
            <w:tcW w:type="dxa" w:w="2088"/>
            <w:vAlign w:val="top"/>
          </w:tcPr>
          <w:p>
            <w:pPr>
              <w:spacing w:after="0" w:line="252" w:lineRule="auto"/>
              <w:jc w:val="left"/>
            </w:pPr>
            <w:r/>
            <w:r>
              <w:rPr>
                <w:rFonts w:ascii="Arial" w:hAnsi="Arial"/>
                <w:b w:val="0"/>
                <w:sz w:val="16"/>
              </w:rPr>
              <w:t>Kevin Ward</w:t>
            </w:r>
          </w:p>
        </w:tc>
        <w:tc>
          <w:tcPr>
            <w:tcW w:type="dxa" w:w="7992"/>
            <w:vAlign w:val="top"/>
          </w:tcPr>
          <w:p>
            <w:pPr>
              <w:spacing w:after="0" w:line="252" w:lineRule="auto"/>
              <w:jc w:val="left"/>
            </w:pPr>
            <w:r/>
            <w:r>
              <w:rPr>
                <w:rFonts w:ascii="Arial" w:hAnsi="Arial"/>
                <w:b w:val="0"/>
                <w:sz w:val="16"/>
              </w:rPr>
              <w:t>Senior Vice President, Human Resources. Recipient of the April 22 escalation and addressee of the May 4 memo for the May 5 meeting. Kevin is the right audience for the operating-model reset because he sits outside the immediate reporting line and can assess whether authority/accountability/routing need to be reset.</w:t>
            </w:r>
          </w:p>
        </w:tc>
      </w:tr>
      <w:tr>
        <w:tc>
          <w:tcPr>
            <w:tcW w:type="dxa" w:w="2088"/>
            <w:vAlign w:val="top"/>
          </w:tcPr>
          <w:p>
            <w:pPr>
              <w:spacing w:after="0" w:line="252" w:lineRule="auto"/>
              <w:jc w:val="left"/>
            </w:pPr>
            <w:r/>
            <w:r>
              <w:rPr>
                <w:rFonts w:ascii="Arial" w:hAnsi="Arial"/>
                <w:b w:val="0"/>
                <w:sz w:val="16"/>
              </w:rPr>
              <w:t>Jeff Dolan</w:t>
            </w:r>
          </w:p>
        </w:tc>
        <w:tc>
          <w:tcPr>
            <w:tcW w:type="dxa" w:w="7992"/>
            <w:vAlign w:val="top"/>
          </w:tcPr>
          <w:p>
            <w:pPr>
              <w:spacing w:after="0" w:line="252" w:lineRule="auto"/>
              <w:jc w:val="left"/>
            </w:pPr>
            <w:r/>
            <w:r>
              <w:rPr>
                <w:rFonts w:ascii="Arial" w:hAnsi="Arial"/>
                <w:b w:val="0"/>
                <w:sz w:val="16"/>
              </w:rPr>
              <w:t>Recipient of the April 22 escalation with Kevin. Named in the memo as one of the right senior people already in the room to handle the issue. Also appears in broader project discussion context. If Kevin asks what Jeff should understand, the clean answer is: this was raised as a structural reset concern, not a demand for discipline.</w:t>
            </w:r>
          </w:p>
        </w:tc>
      </w:tr>
      <w:tr>
        <w:tc>
          <w:tcPr>
            <w:tcW w:type="dxa" w:w="2088"/>
            <w:vAlign w:val="top"/>
          </w:tcPr>
          <w:p>
            <w:pPr>
              <w:spacing w:after="0" w:line="252" w:lineRule="auto"/>
              <w:jc w:val="left"/>
            </w:pPr>
            <w:r/>
            <w:r>
              <w:rPr>
                <w:rFonts w:ascii="Arial" w:hAnsi="Arial"/>
                <w:b w:val="0"/>
                <w:sz w:val="16"/>
              </w:rPr>
              <w:t>Andy Tandon</w:t>
            </w:r>
          </w:p>
        </w:tc>
        <w:tc>
          <w:tcPr>
            <w:tcW w:type="dxa" w:w="7992"/>
            <w:vAlign w:val="top"/>
          </w:tcPr>
          <w:p>
            <w:pPr>
              <w:spacing w:after="0" w:line="252" w:lineRule="auto"/>
              <w:jc w:val="left"/>
            </w:pPr>
            <w:r/>
            <w:r>
              <w:rPr>
                <w:rFonts w:ascii="Arial" w:hAnsi="Arial"/>
                <w:b w:val="0"/>
                <w:sz w:val="16"/>
              </w:rPr>
              <w:t>Project leadership / operating-decision stakeholder. The memo cites the May 1 hiring email where Andy copied Corina because she could grab the resume quickly. This supports the pattern that speed/convenience sometimes routed HR-scope items outside Garrett. Prior context also ties Andy to project leadership and compliance/operating decisions.</w:t>
            </w:r>
          </w:p>
        </w:tc>
      </w:tr>
      <w:tr>
        <w:tc>
          <w:tcPr>
            <w:tcW w:type="dxa" w:w="2088"/>
            <w:vAlign w:val="top"/>
          </w:tcPr>
          <w:p>
            <w:pPr>
              <w:spacing w:after="0" w:line="252" w:lineRule="auto"/>
              <w:jc w:val="left"/>
            </w:pPr>
            <w:r/>
            <w:r>
              <w:rPr>
                <w:rFonts w:ascii="Arial" w:hAnsi="Arial"/>
                <w:b w:val="0"/>
                <w:sz w:val="16"/>
              </w:rPr>
              <w:t>Joseph “Joe” Glowacki</w:t>
            </w:r>
          </w:p>
        </w:tc>
        <w:tc>
          <w:tcPr>
            <w:tcW w:type="dxa" w:w="7992"/>
            <w:vAlign w:val="top"/>
          </w:tcPr>
          <w:p>
            <w:pPr>
              <w:spacing w:after="0" w:line="252" w:lineRule="auto"/>
              <w:jc w:val="left"/>
            </w:pPr>
            <w:r/>
            <w:r>
              <w:rPr>
                <w:rFonts w:ascii="Arial" w:hAnsi="Arial"/>
                <w:b w:val="0"/>
                <w:sz w:val="16"/>
              </w:rPr>
              <w:t>Senior project leader. Important because he allegedly contradicted performance-related feedback that had been relayed to Garrett. He also sent the April 29 “Sorry Garrett. Forgot to copy you” email. Joseph is a key source for the “source versus relay” inconsistency.</w:t>
            </w:r>
          </w:p>
        </w:tc>
      </w:tr>
      <w:tr>
        <w:tc>
          <w:tcPr>
            <w:tcW w:type="dxa" w:w="2088"/>
            <w:vAlign w:val="top"/>
          </w:tcPr>
          <w:p>
            <w:pPr>
              <w:spacing w:after="0" w:line="252" w:lineRule="auto"/>
              <w:jc w:val="left"/>
            </w:pPr>
            <w:r/>
            <w:r>
              <w:rPr>
                <w:rFonts w:ascii="Arial" w:hAnsi="Arial"/>
                <w:b w:val="0"/>
                <w:sz w:val="16"/>
              </w:rPr>
              <w:t>Jake Overman</w:t>
            </w:r>
          </w:p>
        </w:tc>
        <w:tc>
          <w:tcPr>
            <w:tcW w:type="dxa" w:w="7992"/>
            <w:vAlign w:val="top"/>
          </w:tcPr>
          <w:p>
            <w:pPr>
              <w:spacing w:after="0" w:line="252" w:lineRule="auto"/>
              <w:jc w:val="left"/>
            </w:pPr>
            <w:r/>
            <w:r>
              <w:rPr>
                <w:rFonts w:ascii="Arial" w:hAnsi="Arial"/>
                <w:b w:val="0"/>
                <w:sz w:val="16"/>
              </w:rPr>
              <w:t>Prior manager and recipient of Garrett’s April 9 written escalation. The memo says Jake replied without disputing substance. This matters because it shows Garrett attempted to resolve the concern through the chain of command before escalating to Kevin and Jeff.</w:t>
            </w:r>
          </w:p>
        </w:tc>
      </w:tr>
      <w:tr>
        <w:tc>
          <w:tcPr>
            <w:tcW w:type="dxa" w:w="2088"/>
            <w:vAlign w:val="top"/>
          </w:tcPr>
          <w:p>
            <w:pPr>
              <w:spacing w:after="0" w:line="252" w:lineRule="auto"/>
              <w:jc w:val="left"/>
            </w:pPr>
            <w:r/>
            <w:r>
              <w:rPr>
                <w:rFonts w:ascii="Arial" w:hAnsi="Arial"/>
                <w:b w:val="0"/>
                <w:sz w:val="16"/>
              </w:rPr>
              <w:t>Tandee Butler / front-desk witness</w:t>
            </w:r>
          </w:p>
        </w:tc>
        <w:tc>
          <w:tcPr>
            <w:tcW w:type="dxa" w:w="7992"/>
            <w:vAlign w:val="top"/>
          </w:tcPr>
          <w:p>
            <w:pPr>
              <w:spacing w:after="0" w:line="252" w:lineRule="auto"/>
              <w:jc w:val="left"/>
            </w:pPr>
            <w:r/>
            <w:r>
              <w:rPr>
                <w:rFonts w:ascii="Arial" w:hAnsi="Arial"/>
                <w:b w:val="0"/>
                <w:sz w:val="16"/>
              </w:rPr>
              <w:t>Potential witness to the April 29 office exit. The memo says Tandee walked in after Corina exited and reported that Corina had walked out with hands above her head and said “fuck this.” Use carefully: this supports tone/ending of one conversation, not the entire operating-model concern.</w:t>
            </w:r>
          </w:p>
        </w:tc>
      </w:tr>
      <w:tr>
        <w:tc>
          <w:tcPr>
            <w:tcW w:type="dxa" w:w="2088"/>
            <w:vAlign w:val="top"/>
          </w:tcPr>
          <w:p>
            <w:pPr>
              <w:spacing w:after="0" w:line="252" w:lineRule="auto"/>
              <w:jc w:val="left"/>
            </w:pPr>
            <w:r/>
            <w:r>
              <w:rPr>
                <w:rFonts w:ascii="Arial" w:hAnsi="Arial"/>
                <w:b w:val="0"/>
                <w:sz w:val="16"/>
              </w:rPr>
              <w:t>Dan Blanton</w:t>
            </w:r>
          </w:p>
        </w:tc>
        <w:tc>
          <w:tcPr>
            <w:tcW w:type="dxa" w:w="7992"/>
            <w:vAlign w:val="top"/>
          </w:tcPr>
          <w:p>
            <w:pPr>
              <w:spacing w:after="0" w:line="252" w:lineRule="auto"/>
              <w:jc w:val="left"/>
            </w:pPr>
            <w:r/>
            <w:r>
              <w:rPr>
                <w:rFonts w:ascii="Arial" w:hAnsi="Arial"/>
                <w:b w:val="0"/>
                <w:sz w:val="16"/>
              </w:rPr>
              <w:t>Subject of the April 28 intake meeting. Reportedly acknowledged that Corina’s late entry caused him to restart. Useful only as support for meeting-positioning dynamics; do not overstate it.</w:t>
            </w:r>
          </w:p>
        </w:tc>
      </w:tr>
      <w:tr>
        <w:tc>
          <w:tcPr>
            <w:tcW w:type="dxa" w:w="2088"/>
            <w:vAlign w:val="top"/>
          </w:tcPr>
          <w:p>
            <w:pPr>
              <w:spacing w:after="0" w:line="252" w:lineRule="auto"/>
              <w:jc w:val="left"/>
            </w:pPr>
            <w:r/>
            <w:r>
              <w:rPr>
                <w:rFonts w:ascii="Arial" w:hAnsi="Arial"/>
                <w:b w:val="0"/>
                <w:sz w:val="16"/>
              </w:rPr>
              <w:t>Meghan Davis</w:t>
            </w:r>
          </w:p>
        </w:tc>
        <w:tc>
          <w:tcPr>
            <w:tcW w:type="dxa" w:w="7992"/>
            <w:vAlign w:val="top"/>
          </w:tcPr>
          <w:p>
            <w:pPr>
              <w:spacing w:after="0" w:line="252" w:lineRule="auto"/>
              <w:jc w:val="left"/>
            </w:pPr>
            <w:r/>
            <w:r>
              <w:rPr>
                <w:rFonts w:ascii="Arial" w:hAnsi="Arial"/>
                <w:b w:val="0"/>
                <w:sz w:val="16"/>
              </w:rPr>
              <w:t>Informed Garrett of a domestic-violence-related employee situation about two weeks after Paul Rooney and Lucy Villanueva were reportedly aware. Relevant to HR-scope information reaching on-site HR late.</w:t>
            </w:r>
          </w:p>
        </w:tc>
      </w:tr>
      <w:tr>
        <w:tc>
          <w:tcPr>
            <w:tcW w:type="dxa" w:w="2088"/>
            <w:vAlign w:val="top"/>
          </w:tcPr>
          <w:p>
            <w:pPr>
              <w:spacing w:after="0" w:line="252" w:lineRule="auto"/>
              <w:jc w:val="left"/>
            </w:pPr>
            <w:r/>
            <w:r>
              <w:rPr>
                <w:rFonts w:ascii="Arial" w:hAnsi="Arial"/>
                <w:b w:val="0"/>
                <w:sz w:val="16"/>
              </w:rPr>
              <w:t>Paul Rooney</w:t>
            </w:r>
          </w:p>
        </w:tc>
        <w:tc>
          <w:tcPr>
            <w:tcW w:type="dxa" w:w="7992"/>
            <w:vAlign w:val="top"/>
          </w:tcPr>
          <w:p>
            <w:pPr>
              <w:spacing w:after="0" w:line="252" w:lineRule="auto"/>
              <w:jc w:val="left"/>
            </w:pPr>
            <w:r/>
            <w:r>
              <w:rPr>
                <w:rFonts w:ascii="Arial" w:hAnsi="Arial"/>
                <w:b w:val="0"/>
                <w:sz w:val="16"/>
              </w:rPr>
              <w:t>Appears in compliance/project leadership context and in the delayed DV-notification timeline. Relevant mainly as part of the broader project/HR communication environment.</w:t>
            </w:r>
          </w:p>
        </w:tc>
      </w:tr>
      <w:tr>
        <w:tc>
          <w:tcPr>
            <w:tcW w:type="dxa" w:w="2088"/>
            <w:vAlign w:val="top"/>
          </w:tcPr>
          <w:p>
            <w:pPr>
              <w:spacing w:after="0" w:line="252" w:lineRule="auto"/>
              <w:jc w:val="left"/>
            </w:pPr>
            <w:r/>
            <w:r>
              <w:rPr>
                <w:rFonts w:ascii="Arial" w:hAnsi="Arial"/>
                <w:b w:val="0"/>
                <w:sz w:val="16"/>
              </w:rPr>
              <w:t>Sydney Allmon</w:t>
            </w:r>
          </w:p>
        </w:tc>
        <w:tc>
          <w:tcPr>
            <w:tcW w:type="dxa" w:w="7992"/>
            <w:vAlign w:val="top"/>
          </w:tcPr>
          <w:p>
            <w:pPr>
              <w:spacing w:after="0" w:line="252" w:lineRule="auto"/>
              <w:jc w:val="left"/>
            </w:pPr>
            <w:r/>
            <w:r>
              <w:rPr>
                <w:rFonts w:ascii="Arial" w:hAnsi="Arial"/>
                <w:b w:val="0"/>
                <w:sz w:val="16"/>
              </w:rPr>
              <w:t>Related HR staffing/assignment context from prior chat: assignment memo/travel-letter process involved Jordyn and Corina, with Corina as reporting official. Relevant only if asked about HR workstreams being active and routed through multiple people; not central to the ER concern.</w:t>
            </w:r>
          </w:p>
        </w:tc>
      </w:tr>
    </w:tbl>
    <w:p/>
    <w:p>
      <w:pPr>
        <w:pStyle w:val="Heading1"/>
      </w:pPr>
      <w:r>
        <w:t>D. The Core ER / Operating-Model Pattern</w:t>
      </w:r>
    </w:p>
    <w:p>
      <w:pPr>
        <w:pStyle w:val="ListBullet"/>
        <w:spacing w:after="60" w:line="240" w:lineRule="auto"/>
      </w:pPr>
      <w:r>
        <w:rPr>
          <w:rFonts w:ascii="Arial" w:hAnsi="Arial"/>
          <w:sz w:val="19"/>
        </w:rPr>
        <w:t>Authority versus accountability: Garrett says he was held accountable for HR outcomes while authority, routing, and lead positioning on key HR/ER workstreams were not consistently routed through him.</w:t>
      </w:r>
    </w:p>
    <w:p>
      <w:pPr>
        <w:pStyle w:val="ListBullet"/>
        <w:spacing w:after="60" w:line="240" w:lineRule="auto"/>
      </w:pPr>
      <w:r>
        <w:rPr>
          <w:rFonts w:ascii="Arial" w:hAnsi="Arial"/>
          <w:sz w:val="19"/>
        </w:rPr>
        <w:t>Communication routing: The memo points to multiple items where Garrett was copied, added late, or brought in after the framing had already occurred.</w:t>
      </w:r>
    </w:p>
    <w:p>
      <w:pPr>
        <w:pStyle w:val="ListBullet"/>
        <w:spacing w:after="60" w:line="240" w:lineRule="auto"/>
      </w:pPr>
      <w:r>
        <w:rPr>
          <w:rFonts w:ascii="Arial" w:hAnsi="Arial"/>
          <w:sz w:val="19"/>
        </w:rPr>
        <w:t>Performance reframing: The most important alleged pattern is that when Garrett raised communication/routing concerns with Corina, the discussion was returned to him as a performance issue.</w:t>
      </w:r>
    </w:p>
    <w:p>
      <w:pPr>
        <w:pStyle w:val="ListBullet"/>
        <w:spacing w:after="60" w:line="240" w:lineRule="auto"/>
      </w:pPr>
      <w:r>
        <w:rPr>
          <w:rFonts w:ascii="Arial" w:hAnsi="Arial"/>
          <w:sz w:val="19"/>
        </w:rPr>
        <w:t>Source versus relay inconsistency: The Joe Glowacki/MVP sequence is a strong example because the source allegedly contradicted what had been relayed about Garrett’s performance.</w:t>
      </w:r>
    </w:p>
    <w:p>
      <w:pPr>
        <w:pStyle w:val="ListBullet"/>
        <w:spacing w:after="60" w:line="240" w:lineRule="auto"/>
      </w:pPr>
      <w:r>
        <w:rPr>
          <w:rFonts w:ascii="Arial" w:hAnsi="Arial"/>
          <w:sz w:val="19"/>
        </w:rPr>
        <w:t>Manager/direct-report complexity: Jordyn’s intern discussion and tracker activity matter because they show HR-scope work moving through a direct report or parallel process rather than cleanly through the on-site HR Manager.</w:t>
      </w:r>
    </w:p>
    <w:p>
      <w:pPr>
        <w:pStyle w:val="ListBullet"/>
        <w:spacing w:after="60" w:line="240" w:lineRule="auto"/>
      </w:pPr>
      <w:r>
        <w:rPr>
          <w:rFonts w:ascii="Arial" w:hAnsi="Arial"/>
          <w:sz w:val="19"/>
        </w:rPr>
        <w:t>ER training execution: OHOH is important because Garrett says he initiated materials early, no movement followed, ER issues developed, and then a parallel HRM was brought in to deliver urgent training.</w:t>
      </w:r>
    </w:p>
    <w:p>
      <w:pPr>
        <w:pStyle w:val="ListBullet"/>
        <w:spacing w:after="60" w:line="240" w:lineRule="auto"/>
      </w:pPr>
      <w:r>
        <w:rPr>
          <w:rFonts w:ascii="Arial" w:hAnsi="Arial"/>
          <w:sz w:val="19"/>
        </w:rPr>
        <w:t>Credibility risk: If the operating model makes Garrett appear late or absent on workstreams, later performance feedback may be based on perception rather than observable conduct in channels where he was present.</w:t>
      </w:r>
    </w:p>
    <w:p>
      <w:pPr>
        <w:pStyle w:val="ListBullet"/>
        <w:spacing w:after="60" w:line="240" w:lineRule="auto"/>
      </w:pPr>
      <w:r>
        <w:rPr>
          <w:rFonts w:ascii="Arial" w:hAnsi="Arial"/>
          <w:sz w:val="19"/>
        </w:rPr>
        <w:t>Not blanket exclusion: The record also shows Garrett was included in many operational items. The argument is selective bypass on authority/narrative/lead positioning, not total exclusion.</w:t>
      </w:r>
    </w:p>
    <w:p>
      <w:pPr>
        <w:pStyle w:val="Heading1"/>
      </w:pPr>
      <w:r>
        <w:t>E. Strongest Facts to Preserve</w:t>
      </w:r>
    </w:p>
    <w:p>
      <w:pPr>
        <w:spacing w:after="60" w:line="240" w:lineRule="auto"/>
        <w:ind w:left="360" w:hanging="360"/>
      </w:pPr>
      <w:r>
        <w:rPr>
          <w:rFonts w:ascii="Arial" w:hAnsi="Arial"/>
          <w:sz w:val="19"/>
        </w:rPr>
        <w:t>1. February 9 written email to Corina: Garrett directly named the routing/ownership concern nearly three months before the May 5 Kevin meeting and wrote, “I need to reset this.”</w:t>
      </w:r>
    </w:p>
    <w:p>
      <w:pPr>
        <w:spacing w:after="60" w:line="240" w:lineRule="auto"/>
        <w:ind w:left="360" w:hanging="360"/>
      </w:pPr>
      <w:r>
        <w:rPr>
          <w:rFonts w:ascii="Arial" w:hAnsi="Arial"/>
          <w:sz w:val="19"/>
        </w:rPr>
        <w:t>2. April 22 written escalation to Kevin Ward and Jeff Dolan: Garrett raised the issue through the chain of command before the May 5 memo.</w:t>
      </w:r>
    </w:p>
    <w:p>
      <w:pPr>
        <w:spacing w:after="60" w:line="240" w:lineRule="auto"/>
        <w:ind w:left="360" w:hanging="360"/>
      </w:pPr>
      <w:r>
        <w:rPr>
          <w:rFonts w:ascii="Arial" w:hAnsi="Arial"/>
          <w:sz w:val="19"/>
        </w:rPr>
        <w:t>3. April 27 Joe Glowacki correction: Garrett says Joe contradicted the performance framing that had been relayed to him and said the MVP work was client-driven.</w:t>
      </w:r>
    </w:p>
    <w:p>
      <w:pPr>
        <w:spacing w:after="60" w:line="240" w:lineRule="auto"/>
        <w:ind w:left="360" w:hanging="360"/>
      </w:pPr>
      <w:r>
        <w:rPr>
          <w:rFonts w:ascii="Arial" w:hAnsi="Arial"/>
          <w:sz w:val="19"/>
        </w:rPr>
        <w:t>4. April 29 Joe Glowacki email: “Sorry Garrett. Forgot to copy you” is a clean written artifact showing late inclusion.</w:t>
      </w:r>
    </w:p>
    <w:p>
      <w:pPr>
        <w:spacing w:after="60" w:line="240" w:lineRule="auto"/>
        <w:ind w:left="360" w:hanging="360"/>
      </w:pPr>
      <w:r>
        <w:rPr>
          <w:rFonts w:ascii="Arial" w:hAnsi="Arial"/>
          <w:sz w:val="19"/>
        </w:rPr>
        <w:t>5. May 1 Andy Tandon email: “Copied Corina Murguia as she can grab his resume etc quickly” shows HR-scope routing through Corina for speed.</w:t>
      </w:r>
    </w:p>
    <w:p>
      <w:pPr>
        <w:spacing w:after="60" w:line="240" w:lineRule="auto"/>
        <w:ind w:left="360" w:hanging="360"/>
      </w:pPr>
      <w:r>
        <w:rPr>
          <w:rFonts w:ascii="Arial" w:hAnsi="Arial"/>
          <w:sz w:val="19"/>
        </w:rPr>
        <w:t>6. April 29 Corina quote: “Maybe you need to do some reflecting to see why people are coming to me instead of you” directly supports the performance-reframing concern.</w:t>
      </w:r>
    </w:p>
    <w:p>
      <w:pPr>
        <w:spacing w:after="60" w:line="240" w:lineRule="auto"/>
        <w:ind w:left="360" w:hanging="360"/>
      </w:pPr>
      <w:r>
        <w:rPr>
          <w:rFonts w:ascii="Arial" w:hAnsi="Arial"/>
          <w:sz w:val="19"/>
        </w:rPr>
        <w:t>7. April 28 Dan Blanton intake: Corina’s late entry and the reported restart support meeting-positioning concerns.</w:t>
      </w:r>
    </w:p>
    <w:p>
      <w:pPr>
        <w:spacing w:after="60" w:line="240" w:lineRule="auto"/>
        <w:ind w:left="360" w:hanging="360"/>
      </w:pPr>
      <w:r>
        <w:rPr>
          <w:rFonts w:ascii="Arial" w:hAnsi="Arial"/>
          <w:sz w:val="19"/>
        </w:rPr>
        <w:t>8. OHOH sequence: Garrett initiated materials early; later urgency and Jill’s involvement can be framed as an execution/routing issue, not a personal complaint.</w:t>
      </w:r>
    </w:p>
    <w:p>
      <w:pPr>
        <w:pStyle w:val="Heading1"/>
      </w:pPr>
      <w:r>
        <w:t>F. Vulnerabilities and How to Handle Them</w:t>
      </w:r>
    </w:p>
    <w:tbl>
      <w:tblPr>
        <w:tblStyle w:val="TableGrid"/>
        <w:tblW w:type="auto" w:w="0"/>
        <w:jc w:val="center"/>
        <w:tblLook w:firstColumn="1" w:firstRow="1" w:lastColumn="0" w:lastRow="0" w:noHBand="0" w:noVBand="1" w:val="04A0"/>
      </w:tblPr>
      <w:tblGrid>
        <w:gridCol w:w="5040"/>
        <w:gridCol w:w="5040"/>
      </w:tblGrid>
      <w:tr>
        <w:tc>
          <w:tcPr>
            <w:tcW w:type="dxa" w:w="3024"/>
            <w:shd w:fill="D9EAF7"/>
            <w:vAlign w:val="top"/>
          </w:tcPr>
          <w:p>
            <w:pPr>
              <w:spacing w:after="0" w:line="252" w:lineRule="auto"/>
              <w:jc w:val="left"/>
            </w:pPr>
            <w:r/>
            <w:r>
              <w:rPr>
                <w:rFonts w:ascii="Arial" w:hAnsi="Arial"/>
                <w:b/>
                <w:sz w:val="16"/>
              </w:rPr>
              <w:t>Vulnerability</w:t>
            </w:r>
          </w:p>
        </w:tc>
        <w:tc>
          <w:tcPr>
            <w:tcW w:type="dxa" w:w="7056"/>
            <w:shd w:fill="D9EAF7"/>
            <w:vAlign w:val="top"/>
          </w:tcPr>
          <w:p>
            <w:pPr>
              <w:spacing w:after="0" w:line="252" w:lineRule="auto"/>
              <w:jc w:val="left"/>
            </w:pPr>
            <w:r/>
            <w:r>
              <w:rPr>
                <w:rFonts w:ascii="Arial" w:hAnsi="Arial"/>
                <w:b/>
                <w:sz w:val="16"/>
              </w:rPr>
              <w:t>Best handling</w:t>
            </w:r>
          </w:p>
        </w:tc>
      </w:tr>
      <w:tr>
        <w:tc>
          <w:tcPr>
            <w:tcW w:type="dxa" w:w="3024"/>
            <w:vAlign w:val="top"/>
          </w:tcPr>
          <w:p>
            <w:pPr>
              <w:spacing w:after="0" w:line="252" w:lineRule="auto"/>
              <w:jc w:val="left"/>
            </w:pPr>
            <w:r/>
            <w:r>
              <w:rPr>
                <w:rFonts w:ascii="Arial" w:hAnsi="Arial"/>
                <w:b w:val="0"/>
                <w:sz w:val="16"/>
              </w:rPr>
              <w:t>“You were included in many items.”</w:t>
            </w:r>
          </w:p>
        </w:tc>
        <w:tc>
          <w:tcPr>
            <w:tcW w:type="dxa" w:w="7056"/>
            <w:vAlign w:val="top"/>
          </w:tcPr>
          <w:p>
            <w:pPr>
              <w:spacing w:after="0" w:line="252" w:lineRule="auto"/>
              <w:jc w:val="left"/>
            </w:pPr>
            <w:r/>
            <w:r>
              <w:rPr>
                <w:rFonts w:ascii="Arial" w:hAnsi="Arial"/>
                <w:b w:val="0"/>
                <w:sz w:val="16"/>
              </w:rPr>
              <w:t>Concede it. Say: “Yes. My concern was never blanket exclusion. It was selective routing on the items that shaped authority, narrative, and performance perception.”</w:t>
            </w:r>
          </w:p>
        </w:tc>
      </w:tr>
      <w:tr>
        <w:tc>
          <w:tcPr>
            <w:tcW w:type="dxa" w:w="3024"/>
            <w:vAlign w:val="top"/>
          </w:tcPr>
          <w:p>
            <w:pPr>
              <w:spacing w:after="0" w:line="252" w:lineRule="auto"/>
              <w:jc w:val="left"/>
            </w:pPr>
            <w:r/>
            <w:r>
              <w:rPr>
                <w:rFonts w:ascii="Arial" w:hAnsi="Arial"/>
                <w:b w:val="0"/>
                <w:sz w:val="16"/>
              </w:rPr>
              <w:t>The memo is long and detailed.</w:t>
            </w:r>
          </w:p>
        </w:tc>
        <w:tc>
          <w:tcPr>
            <w:tcW w:type="dxa" w:w="7056"/>
            <w:vAlign w:val="top"/>
          </w:tcPr>
          <w:p>
            <w:pPr>
              <w:spacing w:after="0" w:line="252" w:lineRule="auto"/>
              <w:jc w:val="left"/>
            </w:pPr>
            <w:r/>
            <w:r>
              <w:rPr>
                <w:rFonts w:ascii="Arial" w:hAnsi="Arial"/>
                <w:b w:val="0"/>
                <w:sz w:val="16"/>
              </w:rPr>
              <w:t>Say: “The length reflects that I tried to preserve dates and artifacts. The concern itself is simple: authority, accountability, and routing were not aligned.”</w:t>
            </w:r>
          </w:p>
        </w:tc>
      </w:tr>
      <w:tr>
        <w:tc>
          <w:tcPr>
            <w:tcW w:type="dxa" w:w="3024"/>
            <w:vAlign w:val="top"/>
          </w:tcPr>
          <w:p>
            <w:pPr>
              <w:spacing w:after="0" w:line="252" w:lineRule="auto"/>
              <w:jc w:val="left"/>
            </w:pPr>
            <w:r/>
            <w:r>
              <w:rPr>
                <w:rFonts w:ascii="Arial" w:hAnsi="Arial"/>
                <w:b w:val="0"/>
                <w:sz w:val="16"/>
              </w:rPr>
              <w:t>Some facts are contemporaneous notes or witness reports.</w:t>
            </w:r>
          </w:p>
        </w:tc>
        <w:tc>
          <w:tcPr>
            <w:tcW w:type="dxa" w:w="7056"/>
            <w:vAlign w:val="top"/>
          </w:tcPr>
          <w:p>
            <w:pPr>
              <w:spacing w:after="0" w:line="252" w:lineRule="auto"/>
              <w:jc w:val="left"/>
            </w:pPr>
            <w:r/>
            <w:r>
              <w:rPr>
                <w:rFonts w:ascii="Arial" w:hAnsi="Arial"/>
                <w:b w:val="0"/>
                <w:sz w:val="16"/>
              </w:rPr>
              <w:t>Do not oversell. Say: “Some items are direct artifacts; some are contemporaneous notes or witness-confirmable events. I am separating those.”</w:t>
            </w:r>
          </w:p>
        </w:tc>
      </w:tr>
      <w:tr>
        <w:tc>
          <w:tcPr>
            <w:tcW w:type="dxa" w:w="3024"/>
            <w:vAlign w:val="top"/>
          </w:tcPr>
          <w:p>
            <w:pPr>
              <w:spacing w:after="0" w:line="252" w:lineRule="auto"/>
              <w:jc w:val="left"/>
            </w:pPr>
            <w:r/>
            <w:r>
              <w:rPr>
                <w:rFonts w:ascii="Arial" w:hAnsi="Arial"/>
                <w:b w:val="0"/>
                <w:sz w:val="16"/>
              </w:rPr>
              <w:t>It may sound personal toward Corina or Jordyn.</w:t>
            </w:r>
          </w:p>
        </w:tc>
        <w:tc>
          <w:tcPr>
            <w:tcW w:type="dxa" w:w="7056"/>
            <w:vAlign w:val="top"/>
          </w:tcPr>
          <w:p>
            <w:pPr>
              <w:spacing w:after="0" w:line="252" w:lineRule="auto"/>
              <w:jc w:val="left"/>
            </w:pPr>
            <w:r/>
            <w:r>
              <w:rPr>
                <w:rFonts w:ascii="Arial" w:hAnsi="Arial"/>
                <w:b w:val="0"/>
                <w:sz w:val="16"/>
              </w:rPr>
              <w:t>Reset the frame. Say: “I am not asking for a finding about motive. I am naming a working pattern that did not resolve inside the reporting relationship.”</w:t>
            </w:r>
          </w:p>
        </w:tc>
      </w:tr>
      <w:tr>
        <w:tc>
          <w:tcPr>
            <w:tcW w:type="dxa" w:w="3024"/>
            <w:vAlign w:val="top"/>
          </w:tcPr>
          <w:p>
            <w:pPr>
              <w:spacing w:after="0" w:line="252" w:lineRule="auto"/>
              <w:jc w:val="left"/>
            </w:pPr>
            <w:r/>
            <w:r>
              <w:rPr>
                <w:rFonts w:ascii="Arial" w:hAnsi="Arial"/>
                <w:b w:val="0"/>
                <w:sz w:val="16"/>
              </w:rPr>
              <w:t>You ended calls / stepped out.</w:t>
            </w:r>
          </w:p>
        </w:tc>
        <w:tc>
          <w:tcPr>
            <w:tcW w:type="dxa" w:w="7056"/>
            <w:vAlign w:val="top"/>
          </w:tcPr>
          <w:p>
            <w:pPr>
              <w:spacing w:after="0" w:line="252" w:lineRule="auto"/>
              <w:jc w:val="left"/>
            </w:pPr>
            <w:r/>
            <w:r>
              <w:rPr>
                <w:rFonts w:ascii="Arial" w:hAnsi="Arial"/>
                <w:b w:val="0"/>
                <w:sz w:val="16"/>
              </w:rPr>
              <w:t>Own the conduct narrowly. Say: “I could have handled those moments more calmly. I stepped out to avoid escalating, but I accept that the optics were not ideal.”</w:t>
            </w:r>
          </w:p>
        </w:tc>
      </w:tr>
      <w:tr>
        <w:tc>
          <w:tcPr>
            <w:tcW w:type="dxa" w:w="3024"/>
            <w:vAlign w:val="top"/>
          </w:tcPr>
          <w:p>
            <w:pPr>
              <w:spacing w:after="0" w:line="252" w:lineRule="auto"/>
              <w:jc w:val="left"/>
            </w:pPr>
            <w:r/>
            <w:r>
              <w:rPr>
                <w:rFonts w:ascii="Arial" w:hAnsi="Arial"/>
                <w:b w:val="0"/>
                <w:sz w:val="16"/>
              </w:rPr>
              <w:t>Jordyn using a different tracker could be normal preference.</w:t>
            </w:r>
          </w:p>
        </w:tc>
        <w:tc>
          <w:tcPr>
            <w:tcW w:type="dxa" w:w="7056"/>
            <w:vAlign w:val="top"/>
          </w:tcPr>
          <w:p>
            <w:pPr>
              <w:spacing w:after="0" w:line="252" w:lineRule="auto"/>
              <w:jc w:val="left"/>
            </w:pPr>
            <w:r/>
            <w:r>
              <w:rPr>
                <w:rFonts w:ascii="Arial" w:hAnsi="Arial"/>
                <w:b w:val="0"/>
                <w:sz w:val="16"/>
              </w:rPr>
              <w:t>Concede. Say: “That item alone is not the issue. It matters only as part of a broader source-of-truth and role-ownership pattern.”</w:t>
            </w:r>
          </w:p>
        </w:tc>
      </w:tr>
      <w:tr>
        <w:tc>
          <w:tcPr>
            <w:tcW w:type="dxa" w:w="3024"/>
            <w:vAlign w:val="top"/>
          </w:tcPr>
          <w:p>
            <w:pPr>
              <w:spacing w:after="0" w:line="252" w:lineRule="auto"/>
              <w:jc w:val="left"/>
            </w:pPr>
            <w:r/>
            <w:r>
              <w:rPr>
                <w:rFonts w:ascii="Arial" w:hAnsi="Arial"/>
                <w:b w:val="0"/>
                <w:sz w:val="16"/>
              </w:rPr>
              <w:t>Andy’s May 1 email could simply be speed, not bypass.</w:t>
            </w:r>
          </w:p>
        </w:tc>
        <w:tc>
          <w:tcPr>
            <w:tcW w:type="dxa" w:w="7056"/>
            <w:vAlign w:val="top"/>
          </w:tcPr>
          <w:p>
            <w:pPr>
              <w:spacing w:after="0" w:line="252" w:lineRule="auto"/>
              <w:jc w:val="left"/>
            </w:pPr>
            <w:r/>
            <w:r>
              <w:rPr>
                <w:rFonts w:ascii="Arial" w:hAnsi="Arial"/>
                <w:b w:val="0"/>
                <w:sz w:val="16"/>
              </w:rPr>
              <w:t>Concede. Say: “Exactly. I do not claim bad intent. Speed-based workarounds are the structural issue when they become the norm.”</w:t>
            </w:r>
          </w:p>
        </w:tc>
      </w:tr>
      <w:tr>
        <w:tc>
          <w:tcPr>
            <w:tcW w:type="dxa" w:w="3024"/>
            <w:vAlign w:val="top"/>
          </w:tcPr>
          <w:p>
            <w:pPr>
              <w:spacing w:after="0" w:line="252" w:lineRule="auto"/>
              <w:jc w:val="left"/>
            </w:pPr>
            <w:r/>
            <w:r>
              <w:rPr>
                <w:rFonts w:ascii="Arial" w:hAnsi="Arial"/>
                <w:b w:val="0"/>
                <w:sz w:val="16"/>
              </w:rPr>
              <w:t>Termination changes the posture.</w:t>
            </w:r>
          </w:p>
        </w:tc>
        <w:tc>
          <w:tcPr>
            <w:tcW w:type="dxa" w:w="7056"/>
            <w:vAlign w:val="top"/>
          </w:tcPr>
          <w:p>
            <w:pPr>
              <w:spacing w:after="0" w:line="252" w:lineRule="auto"/>
              <w:jc w:val="left"/>
            </w:pPr>
            <w:r/>
            <w:r>
              <w:rPr>
                <w:rFonts w:ascii="Arial" w:hAnsi="Arial"/>
                <w:b w:val="0"/>
                <w:sz w:val="16"/>
              </w:rPr>
              <w:t>Keep it factual. Say: “At this point I am preserving an accurate record and asking that any explanation be based on specific facts and documented reasons.”</w:t>
            </w:r>
          </w:p>
        </w:tc>
      </w:tr>
    </w:tbl>
    <w:p/>
    <w:p>
      <w:pPr>
        <w:pStyle w:val="Heading1"/>
      </w:pPr>
      <w:r>
        <w:t>G. Concise Answers If Asked</w:t>
      </w:r>
    </w:p>
    <w:tbl>
      <w:tblPr>
        <w:tblStyle w:val="TableGrid"/>
        <w:tblW w:type="auto" w:w="0"/>
        <w:jc w:val="center"/>
        <w:tblLook w:firstColumn="1" w:firstRow="1" w:lastColumn="0" w:lastRow="0" w:noHBand="0" w:noVBand="1" w:val="04A0"/>
      </w:tblPr>
      <w:tblGrid>
        <w:gridCol w:w="5040"/>
        <w:gridCol w:w="5040"/>
      </w:tblGrid>
      <w:tr>
        <w:tc>
          <w:tcPr>
            <w:tcW w:type="dxa" w:w="2952"/>
            <w:shd w:fill="D9EAF7"/>
            <w:vAlign w:val="top"/>
          </w:tcPr>
          <w:p>
            <w:pPr>
              <w:spacing w:after="0" w:line="252" w:lineRule="auto"/>
              <w:jc w:val="left"/>
            </w:pPr>
            <w:r/>
            <w:r>
              <w:rPr>
                <w:rFonts w:ascii="Arial" w:hAnsi="Arial"/>
                <w:b/>
                <w:sz w:val="16"/>
              </w:rPr>
              <w:t>Likely question</w:t>
            </w:r>
          </w:p>
        </w:tc>
        <w:tc>
          <w:tcPr>
            <w:tcW w:type="dxa" w:w="7128"/>
            <w:shd w:fill="D9EAF7"/>
            <w:vAlign w:val="top"/>
          </w:tcPr>
          <w:p>
            <w:pPr>
              <w:spacing w:after="0" w:line="252" w:lineRule="auto"/>
              <w:jc w:val="left"/>
            </w:pPr>
            <w:r/>
            <w:r>
              <w:rPr>
                <w:rFonts w:ascii="Arial" w:hAnsi="Arial"/>
                <w:b/>
                <w:sz w:val="16"/>
              </w:rPr>
              <w:t>Concise answer</w:t>
            </w:r>
          </w:p>
        </w:tc>
      </w:tr>
      <w:tr>
        <w:tc>
          <w:tcPr>
            <w:tcW w:type="dxa" w:w="2952"/>
            <w:vAlign w:val="top"/>
          </w:tcPr>
          <w:p>
            <w:pPr>
              <w:spacing w:after="0" w:line="252" w:lineRule="auto"/>
              <w:jc w:val="left"/>
            </w:pPr>
            <w:r/>
            <w:r>
              <w:rPr>
                <w:rFonts w:ascii="Arial" w:hAnsi="Arial"/>
                <w:b w:val="0"/>
                <w:sz w:val="16"/>
              </w:rPr>
              <w:t>What is the issue?</w:t>
            </w:r>
          </w:p>
        </w:tc>
        <w:tc>
          <w:tcPr>
            <w:tcW w:type="dxa" w:w="7128"/>
            <w:vAlign w:val="top"/>
          </w:tcPr>
          <w:p>
            <w:pPr>
              <w:spacing w:after="0" w:line="252" w:lineRule="auto"/>
              <w:jc w:val="left"/>
            </w:pPr>
            <w:r/>
            <w:r>
              <w:rPr>
                <w:rFonts w:ascii="Arial" w:hAnsi="Arial"/>
                <w:b w:val="0"/>
                <w:sz w:val="16"/>
              </w:rPr>
              <w:t>The issue is not one missed email. It is a repeated pattern where HR/ER-scope work was sometimes framed or routed outside the on-site HR Manager role, and then the resulting gap was discussed as performance.</w:t>
            </w:r>
          </w:p>
        </w:tc>
      </w:tr>
      <w:tr>
        <w:tc>
          <w:tcPr>
            <w:tcW w:type="dxa" w:w="2952"/>
            <w:vAlign w:val="top"/>
          </w:tcPr>
          <w:p>
            <w:pPr>
              <w:spacing w:after="0" w:line="252" w:lineRule="auto"/>
              <w:jc w:val="left"/>
            </w:pPr>
            <w:r/>
            <w:r>
              <w:rPr>
                <w:rFonts w:ascii="Arial" w:hAnsi="Arial"/>
                <w:b w:val="0"/>
                <w:sz w:val="16"/>
              </w:rPr>
              <w:t>Is this about staffing?</w:t>
            </w:r>
          </w:p>
        </w:tc>
        <w:tc>
          <w:tcPr>
            <w:tcW w:type="dxa" w:w="7128"/>
            <w:vAlign w:val="top"/>
          </w:tcPr>
          <w:p>
            <w:pPr>
              <w:spacing w:after="0" w:line="252" w:lineRule="auto"/>
              <w:jc w:val="left"/>
            </w:pPr>
            <w:r/>
            <w:r>
              <w:rPr>
                <w:rFonts w:ascii="Arial" w:hAnsi="Arial"/>
                <w:b w:val="0"/>
                <w:sz w:val="16"/>
              </w:rPr>
              <w:t>No. Staffing numbers are not the issue I am preserving here. The issue is ER communication routing, manager alignment, role authority, and accountability.</w:t>
            </w:r>
          </w:p>
        </w:tc>
      </w:tr>
      <w:tr>
        <w:tc>
          <w:tcPr>
            <w:tcW w:type="dxa" w:w="2952"/>
            <w:vAlign w:val="top"/>
          </w:tcPr>
          <w:p>
            <w:pPr>
              <w:spacing w:after="0" w:line="252" w:lineRule="auto"/>
              <w:jc w:val="left"/>
            </w:pPr>
            <w:r/>
            <w:r>
              <w:rPr>
                <w:rFonts w:ascii="Arial" w:hAnsi="Arial"/>
                <w:b w:val="0"/>
                <w:sz w:val="16"/>
              </w:rPr>
              <w:t>Is this about Corina personally?</w:t>
            </w:r>
          </w:p>
        </w:tc>
        <w:tc>
          <w:tcPr>
            <w:tcW w:type="dxa" w:w="7128"/>
            <w:vAlign w:val="top"/>
          </w:tcPr>
          <w:p>
            <w:pPr>
              <w:spacing w:after="0" w:line="252" w:lineRule="auto"/>
              <w:jc w:val="left"/>
            </w:pPr>
            <w:r/>
            <w:r>
              <w:rPr>
                <w:rFonts w:ascii="Arial" w:hAnsi="Arial"/>
                <w:b w:val="0"/>
                <w:sz w:val="16"/>
              </w:rPr>
              <w:t>No. Corina is central to the facts because she was my manager and the routing/performance conversations happened with her. I am not asking anyone to assume motive.</w:t>
            </w:r>
          </w:p>
        </w:tc>
      </w:tr>
      <w:tr>
        <w:tc>
          <w:tcPr>
            <w:tcW w:type="dxa" w:w="2952"/>
            <w:vAlign w:val="top"/>
          </w:tcPr>
          <w:p>
            <w:pPr>
              <w:spacing w:after="0" w:line="252" w:lineRule="auto"/>
              <w:jc w:val="left"/>
            </w:pPr>
            <w:r/>
            <w:r>
              <w:rPr>
                <w:rFonts w:ascii="Arial" w:hAnsi="Arial"/>
                <w:b w:val="0"/>
                <w:sz w:val="16"/>
              </w:rPr>
              <w:t>What did Jordyn do?</w:t>
            </w:r>
          </w:p>
        </w:tc>
        <w:tc>
          <w:tcPr>
            <w:tcW w:type="dxa" w:w="7128"/>
            <w:vAlign w:val="top"/>
          </w:tcPr>
          <w:p>
            <w:pPr>
              <w:spacing w:after="0" w:line="252" w:lineRule="auto"/>
              <w:jc w:val="left"/>
            </w:pPr>
            <w:r/>
            <w:r>
              <w:rPr>
                <w:rFonts w:ascii="Arial" w:hAnsi="Arial"/>
                <w:b w:val="0"/>
                <w:sz w:val="16"/>
              </w:rPr>
              <w:t>Jordyn was active in HR workstreams, including intern coordination and tracker work. My concern is not that she did work; it is that some HR-scope work appeared to move through parallel channels without clear ownership alignment.</w:t>
            </w:r>
          </w:p>
        </w:tc>
      </w:tr>
      <w:tr>
        <w:tc>
          <w:tcPr>
            <w:tcW w:type="dxa" w:w="2952"/>
            <w:vAlign w:val="top"/>
          </w:tcPr>
          <w:p>
            <w:pPr>
              <w:spacing w:after="0" w:line="252" w:lineRule="auto"/>
              <w:jc w:val="left"/>
            </w:pPr>
            <w:r/>
            <w:r>
              <w:rPr>
                <w:rFonts w:ascii="Arial" w:hAnsi="Arial"/>
                <w:b w:val="0"/>
                <w:sz w:val="16"/>
              </w:rPr>
              <w:t>Why did you escalate to Kevin and Jeff?</w:t>
            </w:r>
          </w:p>
        </w:tc>
        <w:tc>
          <w:tcPr>
            <w:tcW w:type="dxa" w:w="7128"/>
            <w:vAlign w:val="top"/>
          </w:tcPr>
          <w:p>
            <w:pPr>
              <w:spacing w:after="0" w:line="252" w:lineRule="auto"/>
              <w:jc w:val="left"/>
            </w:pPr>
            <w:r/>
            <w:r>
              <w:rPr>
                <w:rFonts w:ascii="Arial" w:hAnsi="Arial"/>
                <w:b w:val="0"/>
                <w:sz w:val="16"/>
              </w:rPr>
              <w:t>Because I had raised the routing concern directly and in writing multiple times, and the conversation kept returning as a performance issue rather than resolving the operating model.</w:t>
            </w:r>
          </w:p>
        </w:tc>
      </w:tr>
      <w:tr>
        <w:tc>
          <w:tcPr>
            <w:tcW w:type="dxa" w:w="2952"/>
            <w:vAlign w:val="top"/>
          </w:tcPr>
          <w:p>
            <w:pPr>
              <w:spacing w:after="0" w:line="252" w:lineRule="auto"/>
              <w:jc w:val="left"/>
            </w:pPr>
            <w:r/>
            <w:r>
              <w:rPr>
                <w:rFonts w:ascii="Arial" w:hAnsi="Arial"/>
                <w:b w:val="0"/>
                <w:sz w:val="16"/>
              </w:rPr>
              <w:t>What did Kevin know?</w:t>
            </w:r>
          </w:p>
        </w:tc>
        <w:tc>
          <w:tcPr>
            <w:tcW w:type="dxa" w:w="7128"/>
            <w:vAlign w:val="top"/>
          </w:tcPr>
          <w:p>
            <w:pPr>
              <w:spacing w:after="0" w:line="252" w:lineRule="auto"/>
              <w:jc w:val="left"/>
            </w:pPr>
            <w:r/>
            <w:r>
              <w:rPr>
                <w:rFonts w:ascii="Arial" w:hAnsi="Arial"/>
                <w:b w:val="0"/>
                <w:sz w:val="16"/>
              </w:rPr>
              <w:t>Kevin received the April 22 escalation and the May 4 operating-model reset memo before the May 5 meeting.</w:t>
            </w:r>
          </w:p>
        </w:tc>
      </w:tr>
      <w:tr>
        <w:tc>
          <w:tcPr>
            <w:tcW w:type="dxa" w:w="2952"/>
            <w:vAlign w:val="top"/>
          </w:tcPr>
          <w:p>
            <w:pPr>
              <w:spacing w:after="0" w:line="252" w:lineRule="auto"/>
              <w:jc w:val="left"/>
            </w:pPr>
            <w:r/>
            <w:r>
              <w:rPr>
                <w:rFonts w:ascii="Arial" w:hAnsi="Arial"/>
                <w:b w:val="0"/>
                <w:sz w:val="16"/>
              </w:rPr>
              <w:t>What did Jeff know?</w:t>
            </w:r>
          </w:p>
        </w:tc>
        <w:tc>
          <w:tcPr>
            <w:tcW w:type="dxa" w:w="7128"/>
            <w:vAlign w:val="top"/>
          </w:tcPr>
          <w:p>
            <w:pPr>
              <w:spacing w:after="0" w:line="252" w:lineRule="auto"/>
              <w:jc w:val="left"/>
            </w:pPr>
            <w:r/>
            <w:r>
              <w:rPr>
                <w:rFonts w:ascii="Arial" w:hAnsi="Arial"/>
                <w:b w:val="0"/>
                <w:sz w:val="16"/>
              </w:rPr>
              <w:t>Jeff was included on the April 22 escalation. The memo frames Kevin and Jeff as the senior people already in the room to handle the issue appropriately.</w:t>
            </w:r>
          </w:p>
        </w:tc>
      </w:tr>
      <w:tr>
        <w:tc>
          <w:tcPr>
            <w:tcW w:type="dxa" w:w="2952"/>
            <w:vAlign w:val="top"/>
          </w:tcPr>
          <w:p>
            <w:pPr>
              <w:spacing w:after="0" w:line="252" w:lineRule="auto"/>
              <w:jc w:val="left"/>
            </w:pPr>
            <w:r/>
            <w:r>
              <w:rPr>
                <w:rFonts w:ascii="Arial" w:hAnsi="Arial"/>
                <w:b w:val="0"/>
                <w:sz w:val="16"/>
              </w:rPr>
              <w:t>What is Andy’s relevance?</w:t>
            </w:r>
          </w:p>
        </w:tc>
        <w:tc>
          <w:tcPr>
            <w:tcW w:type="dxa" w:w="7128"/>
            <w:vAlign w:val="top"/>
          </w:tcPr>
          <w:p>
            <w:pPr>
              <w:spacing w:after="0" w:line="252" w:lineRule="auto"/>
              <w:jc w:val="left"/>
            </w:pPr>
            <w:r/>
            <w:r>
              <w:rPr>
                <w:rFonts w:ascii="Arial" w:hAnsi="Arial"/>
                <w:b w:val="0"/>
                <w:sz w:val="16"/>
              </w:rPr>
              <w:t>Andy’s May 1 email is a clear example of HR-scope activity being routed through Corina for speed. I do not treat it as bad faith; I treat it as evidence of the workaround pattern.</w:t>
            </w:r>
          </w:p>
        </w:tc>
      </w:tr>
      <w:tr>
        <w:tc>
          <w:tcPr>
            <w:tcW w:type="dxa" w:w="2952"/>
            <w:vAlign w:val="top"/>
          </w:tcPr>
          <w:p>
            <w:pPr>
              <w:spacing w:after="0" w:line="252" w:lineRule="auto"/>
              <w:jc w:val="left"/>
            </w:pPr>
            <w:r/>
            <w:r>
              <w:rPr>
                <w:rFonts w:ascii="Arial" w:hAnsi="Arial"/>
                <w:b w:val="0"/>
                <w:sz w:val="16"/>
              </w:rPr>
              <w:t>What is Joe Glowacki’s relevance?</w:t>
            </w:r>
          </w:p>
        </w:tc>
        <w:tc>
          <w:tcPr>
            <w:tcW w:type="dxa" w:w="7128"/>
            <w:vAlign w:val="top"/>
          </w:tcPr>
          <w:p>
            <w:pPr>
              <w:spacing w:after="0" w:line="252" w:lineRule="auto"/>
              <w:jc w:val="left"/>
            </w:pPr>
            <w:r/>
            <w:r>
              <w:rPr>
                <w:rFonts w:ascii="Arial" w:hAnsi="Arial"/>
                <w:b w:val="0"/>
                <w:sz w:val="16"/>
              </w:rPr>
              <w:t>Joe is relevant because he allegedly contradicted performance feedback that had been relayed to me and also sent the “Sorry Garrett. Forgot to copy you” email.</w:t>
            </w:r>
          </w:p>
        </w:tc>
      </w:tr>
      <w:tr>
        <w:tc>
          <w:tcPr>
            <w:tcW w:type="dxa" w:w="2952"/>
            <w:vAlign w:val="top"/>
          </w:tcPr>
          <w:p>
            <w:pPr>
              <w:spacing w:after="0" w:line="252" w:lineRule="auto"/>
              <w:jc w:val="left"/>
            </w:pPr>
            <w:r/>
            <w:r>
              <w:rPr>
                <w:rFonts w:ascii="Arial" w:hAnsi="Arial"/>
                <w:b w:val="0"/>
                <w:sz w:val="16"/>
              </w:rPr>
              <w:t>Were you excluded?</w:t>
            </w:r>
          </w:p>
        </w:tc>
        <w:tc>
          <w:tcPr>
            <w:tcW w:type="dxa" w:w="7128"/>
            <w:vAlign w:val="top"/>
          </w:tcPr>
          <w:p>
            <w:pPr>
              <w:spacing w:after="0" w:line="252" w:lineRule="auto"/>
              <w:jc w:val="left"/>
            </w:pPr>
            <w:r/>
            <w:r>
              <w:rPr>
                <w:rFonts w:ascii="Arial" w:hAnsi="Arial"/>
                <w:b w:val="0"/>
                <w:sz w:val="16"/>
              </w:rPr>
              <w:t>Not globally. I was operationally included in many things. My concern was selective late inclusion or bypass on workstreams that shaped authority, narrative, and performance perception.</w:t>
            </w:r>
          </w:p>
        </w:tc>
      </w:tr>
      <w:tr>
        <w:tc>
          <w:tcPr>
            <w:tcW w:type="dxa" w:w="2952"/>
            <w:vAlign w:val="top"/>
          </w:tcPr>
          <w:p>
            <w:pPr>
              <w:spacing w:after="0" w:line="252" w:lineRule="auto"/>
              <w:jc w:val="left"/>
            </w:pPr>
            <w:r/>
            <w:r>
              <w:rPr>
                <w:rFonts w:ascii="Arial" w:hAnsi="Arial"/>
                <w:b w:val="0"/>
                <w:sz w:val="16"/>
              </w:rPr>
              <w:t>What evidence supports you most?</w:t>
            </w:r>
          </w:p>
        </w:tc>
        <w:tc>
          <w:tcPr>
            <w:tcW w:type="dxa" w:w="7128"/>
            <w:vAlign w:val="top"/>
          </w:tcPr>
          <w:p>
            <w:pPr>
              <w:spacing w:after="0" w:line="252" w:lineRule="auto"/>
              <w:jc w:val="left"/>
            </w:pPr>
            <w:r/>
            <w:r>
              <w:rPr>
                <w:rFonts w:ascii="Arial" w:hAnsi="Arial"/>
                <w:b w:val="0"/>
                <w:sz w:val="16"/>
              </w:rPr>
              <w:t>The February 9 email, April 22 escalation, Joe Glowacki correction, April 29 “forgot to copy you” email, and May 1 Andy email are the cleanest support.</w:t>
            </w:r>
          </w:p>
        </w:tc>
      </w:tr>
      <w:tr>
        <w:tc>
          <w:tcPr>
            <w:tcW w:type="dxa" w:w="2952"/>
            <w:vAlign w:val="top"/>
          </w:tcPr>
          <w:p>
            <w:pPr>
              <w:spacing w:after="0" w:line="252" w:lineRule="auto"/>
              <w:jc w:val="left"/>
            </w:pPr>
            <w:r/>
            <w:r>
              <w:rPr>
                <w:rFonts w:ascii="Arial" w:hAnsi="Arial"/>
                <w:b w:val="0"/>
                <w:sz w:val="16"/>
              </w:rPr>
              <w:t>What evidence cuts against you?</w:t>
            </w:r>
          </w:p>
        </w:tc>
        <w:tc>
          <w:tcPr>
            <w:tcW w:type="dxa" w:w="7128"/>
            <w:vAlign w:val="top"/>
          </w:tcPr>
          <w:p>
            <w:pPr>
              <w:spacing w:after="0" w:line="252" w:lineRule="auto"/>
              <w:jc w:val="left"/>
            </w:pPr>
            <w:r/>
            <w:r>
              <w:rPr>
                <w:rFonts w:ascii="Arial" w:hAnsi="Arial"/>
                <w:b w:val="0"/>
                <w:sz w:val="16"/>
              </w:rPr>
              <w:t>There are several examples of inclusion: ethics threads, intern distributions, intake notes from Corina, staffing calls, and meetings Garrett organized. That means the point has to stay narrow.</w:t>
            </w:r>
          </w:p>
        </w:tc>
      </w:tr>
      <w:tr>
        <w:tc>
          <w:tcPr>
            <w:tcW w:type="dxa" w:w="2952"/>
            <w:vAlign w:val="top"/>
          </w:tcPr>
          <w:p>
            <w:pPr>
              <w:spacing w:after="0" w:line="252" w:lineRule="auto"/>
              <w:jc w:val="left"/>
            </w:pPr>
            <w:r/>
            <w:r>
              <w:rPr>
                <w:rFonts w:ascii="Arial" w:hAnsi="Arial"/>
                <w:b w:val="0"/>
                <w:sz w:val="16"/>
              </w:rPr>
              <w:t>Why document so much?</w:t>
            </w:r>
          </w:p>
        </w:tc>
        <w:tc>
          <w:tcPr>
            <w:tcW w:type="dxa" w:w="7128"/>
            <w:vAlign w:val="top"/>
          </w:tcPr>
          <w:p>
            <w:pPr>
              <w:spacing w:after="0" w:line="252" w:lineRule="auto"/>
              <w:jc w:val="left"/>
            </w:pPr>
            <w:r/>
            <w:r>
              <w:rPr>
                <w:rFonts w:ascii="Arial" w:hAnsi="Arial"/>
                <w:b w:val="0"/>
                <w:sz w:val="16"/>
              </w:rPr>
              <w:t>Because I wanted a factual record of dates, artifacts, and sequence. The volume is not the argument; the repeated pattern is.</w:t>
            </w:r>
          </w:p>
        </w:tc>
      </w:tr>
      <w:tr>
        <w:tc>
          <w:tcPr>
            <w:tcW w:type="dxa" w:w="2952"/>
            <w:vAlign w:val="top"/>
          </w:tcPr>
          <w:p>
            <w:pPr>
              <w:spacing w:after="0" w:line="252" w:lineRule="auto"/>
              <w:jc w:val="left"/>
            </w:pPr>
            <w:r/>
            <w:r>
              <w:rPr>
                <w:rFonts w:ascii="Arial" w:hAnsi="Arial"/>
                <w:b w:val="0"/>
                <w:sz w:val="16"/>
              </w:rPr>
              <w:t>Are you saying people acted in bad faith?</w:t>
            </w:r>
          </w:p>
        </w:tc>
        <w:tc>
          <w:tcPr>
            <w:tcW w:type="dxa" w:w="7128"/>
            <w:vAlign w:val="top"/>
          </w:tcPr>
          <w:p>
            <w:pPr>
              <w:spacing w:after="0" w:line="252" w:lineRule="auto"/>
              <w:jc w:val="left"/>
            </w:pPr>
            <w:r/>
            <w:r>
              <w:rPr>
                <w:rFonts w:ascii="Arial" w:hAnsi="Arial"/>
                <w:b w:val="0"/>
                <w:sz w:val="16"/>
              </w:rPr>
              <w:t>No. The cleanest explanation is speed, convenience, and unclear operating lanes. The impact was still real.</w:t>
            </w:r>
          </w:p>
        </w:tc>
      </w:tr>
      <w:tr>
        <w:tc>
          <w:tcPr>
            <w:tcW w:type="dxa" w:w="2952"/>
            <w:vAlign w:val="top"/>
          </w:tcPr>
          <w:p>
            <w:pPr>
              <w:spacing w:after="0" w:line="252" w:lineRule="auto"/>
              <w:jc w:val="left"/>
            </w:pPr>
            <w:r/>
            <w:r>
              <w:rPr>
                <w:rFonts w:ascii="Arial" w:hAnsi="Arial"/>
                <w:b w:val="0"/>
                <w:sz w:val="16"/>
              </w:rPr>
              <w:t>What did you own in it?</w:t>
            </w:r>
          </w:p>
        </w:tc>
        <w:tc>
          <w:tcPr>
            <w:tcW w:type="dxa" w:w="7128"/>
            <w:vAlign w:val="top"/>
          </w:tcPr>
          <w:p>
            <w:pPr>
              <w:spacing w:after="0" w:line="252" w:lineRule="auto"/>
              <w:jc w:val="left"/>
            </w:pPr>
            <w:r/>
            <w:r>
              <w:rPr>
                <w:rFonts w:ascii="Arial" w:hAnsi="Arial"/>
                <w:b w:val="0"/>
                <w:sz w:val="16"/>
              </w:rPr>
              <w:t>I could have simplified earlier, communicated with less frustration, and managed the optics better when conversations became tense. I still believe the underlying routing issue was real.</w:t>
            </w:r>
          </w:p>
        </w:tc>
      </w:tr>
      <w:tr>
        <w:tc>
          <w:tcPr>
            <w:tcW w:type="dxa" w:w="2952"/>
            <w:vAlign w:val="top"/>
          </w:tcPr>
          <w:p>
            <w:pPr>
              <w:spacing w:after="0" w:line="252" w:lineRule="auto"/>
              <w:jc w:val="left"/>
            </w:pPr>
            <w:r/>
            <w:r>
              <w:rPr>
                <w:rFonts w:ascii="Arial" w:hAnsi="Arial"/>
                <w:b w:val="0"/>
                <w:sz w:val="16"/>
              </w:rPr>
              <w:t>What should have happened?</w:t>
            </w:r>
          </w:p>
        </w:tc>
        <w:tc>
          <w:tcPr>
            <w:tcW w:type="dxa" w:w="7128"/>
            <w:vAlign w:val="top"/>
          </w:tcPr>
          <w:p>
            <w:pPr>
              <w:spacing w:after="0" w:line="252" w:lineRule="auto"/>
              <w:jc w:val="left"/>
            </w:pPr>
            <w:r/>
            <w:r>
              <w:rPr>
                <w:rFonts w:ascii="Arial" w:hAnsi="Arial"/>
                <w:b w:val="0"/>
                <w:sz w:val="16"/>
              </w:rPr>
              <w:t>HR/ER-scope work should have had one clear owner, defined routing, and performance feedback based on specific observable conduct rather than perceptions formed outside my presence.</w:t>
            </w:r>
          </w:p>
        </w:tc>
      </w:tr>
      <w:tr>
        <w:tc>
          <w:tcPr>
            <w:tcW w:type="dxa" w:w="2952"/>
            <w:vAlign w:val="top"/>
          </w:tcPr>
          <w:p>
            <w:pPr>
              <w:spacing w:after="0" w:line="252" w:lineRule="auto"/>
              <w:jc w:val="left"/>
            </w:pPr>
            <w:r/>
            <w:r>
              <w:rPr>
                <w:rFonts w:ascii="Arial" w:hAnsi="Arial"/>
                <w:b w:val="0"/>
                <w:sz w:val="16"/>
              </w:rPr>
              <w:t>What should leadership understand now?</w:t>
            </w:r>
          </w:p>
        </w:tc>
        <w:tc>
          <w:tcPr>
            <w:tcW w:type="dxa" w:w="7128"/>
            <w:vAlign w:val="top"/>
          </w:tcPr>
          <w:p>
            <w:pPr>
              <w:spacing w:after="0" w:line="252" w:lineRule="auto"/>
              <w:jc w:val="left"/>
            </w:pPr>
            <w:r/>
            <w:r>
              <w:rPr>
                <w:rFonts w:ascii="Arial" w:hAnsi="Arial"/>
                <w:b w:val="0"/>
                <w:sz w:val="16"/>
              </w:rPr>
              <w:t>This was raised as an operating-model reset concern, not a request to punish anyone. The important question is whether authority and accountability were aligned in practice.</w:t>
            </w:r>
          </w:p>
        </w:tc>
      </w:tr>
      <w:tr>
        <w:tc>
          <w:tcPr>
            <w:tcW w:type="dxa" w:w="2952"/>
            <w:vAlign w:val="top"/>
          </w:tcPr>
          <w:p>
            <w:pPr>
              <w:spacing w:after="0" w:line="252" w:lineRule="auto"/>
              <w:jc w:val="left"/>
            </w:pPr>
            <w:r/>
            <w:r>
              <w:rPr>
                <w:rFonts w:ascii="Arial" w:hAnsi="Arial"/>
                <w:b w:val="0"/>
                <w:sz w:val="16"/>
              </w:rPr>
              <w:t>How should this be described to Jeff?</w:t>
            </w:r>
          </w:p>
        </w:tc>
        <w:tc>
          <w:tcPr>
            <w:tcW w:type="dxa" w:w="7128"/>
            <w:vAlign w:val="top"/>
          </w:tcPr>
          <w:p>
            <w:pPr>
              <w:spacing w:after="0" w:line="252" w:lineRule="auto"/>
              <w:jc w:val="left"/>
            </w:pPr>
            <w:r/>
            <w:r>
              <w:rPr>
                <w:rFonts w:ascii="Arial" w:hAnsi="Arial"/>
                <w:b w:val="0"/>
                <w:sz w:val="16"/>
              </w:rPr>
              <w:t>This is an ER/operating-model concern involving routing, role authority, manager alignment, and performance framing. It should not be reduced to staffing or interpersonal conflict.</w:t>
            </w:r>
          </w:p>
        </w:tc>
      </w:tr>
    </w:tbl>
    <w:p/>
    <w:p>
      <w:pPr>
        <w:pStyle w:val="Heading1"/>
      </w:pPr>
      <w:r>
        <w:t>H. What Not to Say</w:t>
      </w:r>
    </w:p>
    <w:p>
      <w:pPr>
        <w:pStyle w:val="ListBullet"/>
        <w:spacing w:after="60" w:line="240" w:lineRule="auto"/>
      </w:pPr>
      <w:r>
        <w:rPr>
          <w:rFonts w:ascii="Arial" w:hAnsi="Arial"/>
          <w:sz w:val="19"/>
        </w:rPr>
        <w:t>Do not say: “I was excluded from everything.” Better: “I was operationally included, but selectively bypassed or added late on authority-shaping items.”</w:t>
      </w:r>
    </w:p>
    <w:p>
      <w:pPr>
        <w:pStyle w:val="ListBullet"/>
        <w:spacing w:after="60" w:line="240" w:lineRule="auto"/>
      </w:pPr>
      <w:r>
        <w:rPr>
          <w:rFonts w:ascii="Arial" w:hAnsi="Arial"/>
          <w:sz w:val="19"/>
        </w:rPr>
        <w:t>Do not say: “Corina was trying to undermine me.” Better: “I am not assigning motive; I am describing the pattern and its effect.”</w:t>
      </w:r>
    </w:p>
    <w:p>
      <w:pPr>
        <w:pStyle w:val="ListBullet"/>
        <w:spacing w:after="60" w:line="240" w:lineRule="auto"/>
      </w:pPr>
      <w:r>
        <w:rPr>
          <w:rFonts w:ascii="Arial" w:hAnsi="Arial"/>
          <w:sz w:val="19"/>
        </w:rPr>
        <w:t>Do not say: “Jordyn went around me.” Better: “Some work moved through parallel channels without clear ownership alignment.”</w:t>
      </w:r>
    </w:p>
    <w:p>
      <w:pPr>
        <w:pStyle w:val="ListBullet"/>
        <w:spacing w:after="60" w:line="240" w:lineRule="auto"/>
      </w:pPr>
      <w:r>
        <w:rPr>
          <w:rFonts w:ascii="Arial" w:hAnsi="Arial"/>
          <w:sz w:val="19"/>
        </w:rPr>
        <w:t>Do not say: “This proves retaliation.” Better: “I am preserving the facts and sequence. I am not making legal conclusions in this summary.”</w:t>
      </w:r>
    </w:p>
    <w:p>
      <w:pPr>
        <w:pStyle w:val="ListBullet"/>
        <w:spacing w:after="60" w:line="240" w:lineRule="auto"/>
      </w:pPr>
      <w:r>
        <w:rPr>
          <w:rFonts w:ascii="Arial" w:hAnsi="Arial"/>
          <w:sz w:val="19"/>
        </w:rPr>
        <w:t>Do not say: “They had no performance basis.” Better: “If there is specific observable feedback, I want it identified clearly. My concern is with broad performance framing tied to routing conditions.”</w:t>
      </w:r>
    </w:p>
    <w:p>
      <w:pPr>
        <w:pStyle w:val="ListBullet"/>
        <w:spacing w:after="60" w:line="240" w:lineRule="auto"/>
      </w:pPr>
      <w:r>
        <w:rPr>
          <w:rFonts w:ascii="Arial" w:hAnsi="Arial"/>
          <w:sz w:val="19"/>
        </w:rPr>
        <w:t>Do not say: “I have proof of everything.” Better: “I have a mix of direct artifacts, contemporaneous notes, and potential witness-confirmable events.”</w:t>
      </w:r>
    </w:p>
    <w:p>
      <w:pPr>
        <w:pStyle w:val="ListBullet"/>
        <w:spacing w:after="60" w:line="240" w:lineRule="auto"/>
      </w:pPr>
      <w:r>
        <w:rPr>
          <w:rFonts w:ascii="Arial" w:hAnsi="Arial"/>
          <w:sz w:val="19"/>
        </w:rPr>
        <w:t>Do not say: “Staffing was the problem.” Better: “Staffing is not the issue I am raising here.”</w:t>
      </w:r>
    </w:p>
    <w:p>
      <w:pPr>
        <w:pStyle w:val="Heading1"/>
      </w:pPr>
      <w:r>
        <w:t>I. Five Points to Repeat if the Conversation Gets Complicated</w:t>
      </w:r>
    </w:p>
    <w:p>
      <w:pPr>
        <w:spacing w:after="60" w:line="240" w:lineRule="auto"/>
        <w:ind w:left="360" w:hanging="360"/>
      </w:pPr>
      <w:r>
        <w:rPr>
          <w:rFonts w:ascii="Arial" w:hAnsi="Arial"/>
          <w:sz w:val="19"/>
        </w:rPr>
        <w:t>1. This is not about one email or one person. It is a pattern across workstreams.</w:t>
      </w:r>
    </w:p>
    <w:p>
      <w:pPr>
        <w:spacing w:after="60" w:line="240" w:lineRule="auto"/>
        <w:ind w:left="360" w:hanging="360"/>
      </w:pPr>
      <w:r>
        <w:rPr>
          <w:rFonts w:ascii="Arial" w:hAnsi="Arial"/>
          <w:sz w:val="19"/>
        </w:rPr>
        <w:t>2. I am not claiming bad faith. I am describing routing, authority, and accountability.</w:t>
      </w:r>
    </w:p>
    <w:p>
      <w:pPr>
        <w:spacing w:after="60" w:line="240" w:lineRule="auto"/>
        <w:ind w:left="360" w:hanging="360"/>
      </w:pPr>
      <w:r>
        <w:rPr>
          <w:rFonts w:ascii="Arial" w:hAnsi="Arial"/>
          <w:sz w:val="19"/>
        </w:rPr>
        <w:t>3. I was not excluded from everything. The issue was selective late engagement on items that shaped role authority and performance perception.</w:t>
      </w:r>
    </w:p>
    <w:p>
      <w:pPr>
        <w:spacing w:after="60" w:line="240" w:lineRule="auto"/>
        <w:ind w:left="360" w:hanging="360"/>
      </w:pPr>
      <w:r>
        <w:rPr>
          <w:rFonts w:ascii="Arial" w:hAnsi="Arial"/>
          <w:sz w:val="19"/>
        </w:rPr>
        <w:t>4. When I raised communication concerns, they were repeatedly returned as performance concerns, which prevented resolution.</w:t>
      </w:r>
    </w:p>
    <w:p>
      <w:pPr>
        <w:spacing w:after="60" w:line="240" w:lineRule="auto"/>
        <w:ind w:left="360" w:hanging="360"/>
      </w:pPr>
      <w:r>
        <w:rPr>
          <w:rFonts w:ascii="Arial" w:hAnsi="Arial"/>
          <w:sz w:val="19"/>
        </w:rPr>
        <w:t>5. The clean reset would have been clear ownership, clear routing, and specific observable performance feedback.</w:t>
      </w:r>
    </w:p>
    <w:p>
      <w:pPr>
        <w:pStyle w:val="Heading1"/>
      </w:pPr>
      <w:r>
        <w:t>J. Person-by-Person Quick Cards</w:t>
      </w:r>
    </w:p>
    <w:p>
      <w:pPr>
        <w:pStyle w:val="Heading2"/>
      </w:pPr>
      <w:r>
        <w:t>Corina Murguia</w:t>
      </w:r>
    </w:p>
    <w:p>
      <w:pPr>
        <w:spacing w:after="120" w:line="252" w:lineRule="auto"/>
      </w:pPr>
      <w:r>
        <w:rPr>
          <w:rFonts w:ascii="Arial" w:hAnsi="Arial"/>
          <w:sz w:val="20"/>
        </w:rPr>
        <w:t>Use this frame: Corina is central because she was the manager and because the repeated loop occurred in conversations with her. Keep the tone structural, not personal.</w:t>
      </w:r>
    </w:p>
    <w:p>
      <w:pPr>
        <w:pStyle w:val="ListBullet"/>
        <w:spacing w:after="60" w:line="240" w:lineRule="auto"/>
      </w:pPr>
      <w:r>
        <w:rPr>
          <w:rFonts w:ascii="Arial" w:hAnsi="Arial"/>
          <w:sz w:val="19"/>
        </w:rPr>
        <w:t>Most relevant facts: Feb. 9 reset email; Apr. 20 relayed Joe feedback; Apr. 21 ethics status request on workstream initiated Mar. 26; Apr. 28 Dan Blanton intake; Apr. 28 Shelby update with Garrett on CC; Apr. 29 “reflecting” quote; May 1 Friday call ending.</w:t>
      </w:r>
    </w:p>
    <w:p>
      <w:pPr>
        <w:pStyle w:val="ListBullet"/>
        <w:spacing w:after="60" w:line="240" w:lineRule="auto"/>
      </w:pPr>
      <w:r>
        <w:rPr>
          <w:rFonts w:ascii="Arial" w:hAnsi="Arial"/>
          <w:sz w:val="19"/>
        </w:rPr>
        <w:t>Best concise sentence: “My concern with Corina was that communication-routing issues were repeatedly converted into performance concerns rather than resolved as operating-model issues.”</w:t>
      </w:r>
    </w:p>
    <w:p>
      <w:pPr>
        <w:pStyle w:val="ListBullet"/>
        <w:spacing w:after="60" w:line="240" w:lineRule="auto"/>
      </w:pPr>
      <w:r>
        <w:rPr>
          <w:rFonts w:ascii="Arial" w:hAnsi="Arial"/>
          <w:sz w:val="19"/>
        </w:rPr>
        <w:t>Avoid: motive claims, labels, or making the entire issue about her personality.</w:t>
      </w:r>
    </w:p>
    <w:p>
      <w:pPr>
        <w:pStyle w:val="Heading2"/>
      </w:pPr>
      <w:r>
        <w:t>Jordyn Waters</w:t>
      </w:r>
    </w:p>
    <w:p>
      <w:pPr>
        <w:spacing w:after="120" w:line="252" w:lineRule="auto"/>
      </w:pPr>
      <w:r>
        <w:rPr>
          <w:rFonts w:ascii="Arial" w:hAnsi="Arial"/>
          <w:sz w:val="20"/>
        </w:rPr>
        <w:t>Use this frame: Jordyn matters because HR workstreams and team dynamics are part of the record, but do not overfocus on her. Keep the point on ownership clarity.</w:t>
      </w:r>
    </w:p>
    <w:p>
      <w:pPr>
        <w:pStyle w:val="ListBullet"/>
        <w:spacing w:after="60" w:line="240" w:lineRule="auto"/>
      </w:pPr>
      <w:r>
        <w:rPr>
          <w:rFonts w:ascii="Arial" w:hAnsi="Arial"/>
          <w:sz w:val="19"/>
        </w:rPr>
        <w:t>Most relevant facts: Apr. 28 Intern Discussion organized by Jordyn with optional-sounding language; separate spreadsheet/tracker comment; active role in onboarding/intern/housing coordination; reported overheard conversation with Tristin near new hires.</w:t>
      </w:r>
    </w:p>
    <w:p>
      <w:pPr>
        <w:pStyle w:val="ListBullet"/>
        <w:spacing w:after="60" w:line="240" w:lineRule="auto"/>
      </w:pPr>
      <w:r>
        <w:rPr>
          <w:rFonts w:ascii="Arial" w:hAnsi="Arial"/>
          <w:sz w:val="19"/>
        </w:rPr>
        <w:t>Best concise sentence: “Jordyn’s involvement was not the problem by itself; the issue was that HR-scope execution needed clear ownership and routing through the accountable HR Manager.”</w:t>
      </w:r>
    </w:p>
    <w:p>
      <w:pPr>
        <w:pStyle w:val="ListBullet"/>
        <w:spacing w:after="60" w:line="240" w:lineRule="auto"/>
      </w:pPr>
      <w:r>
        <w:rPr>
          <w:rFonts w:ascii="Arial" w:hAnsi="Arial"/>
          <w:sz w:val="19"/>
        </w:rPr>
        <w:t>Avoid: making her the villain or treating tracker preference as proof of misconduct.</w:t>
      </w:r>
    </w:p>
    <w:p>
      <w:pPr>
        <w:pStyle w:val="Heading2"/>
      </w:pPr>
      <w:r>
        <w:t>Kevin Ward</w:t>
      </w:r>
    </w:p>
    <w:p>
      <w:pPr>
        <w:pStyle w:val="ListBullet"/>
        <w:spacing w:after="60" w:line="240" w:lineRule="auto"/>
      </w:pPr>
      <w:r>
        <w:rPr>
          <w:rFonts w:ascii="Arial" w:hAnsi="Arial"/>
          <w:sz w:val="19"/>
        </w:rPr>
        <w:t>Most relevant facts: senior HR recipient of Apr. 22 escalation; addressee of May 4 memo; intended audience for operating-model reset outside the immediate reporting line.</w:t>
      </w:r>
    </w:p>
    <w:p>
      <w:pPr>
        <w:pStyle w:val="ListBullet"/>
        <w:spacing w:after="60" w:line="240" w:lineRule="auto"/>
      </w:pPr>
      <w:r>
        <w:rPr>
          <w:rFonts w:ascii="Arial" w:hAnsi="Arial"/>
          <w:sz w:val="19"/>
        </w:rPr>
        <w:t>Best concise sentence: “Kevin’s role was to see the structural pattern clearly and decide whether the operating model needed to be reset.”</w:t>
      </w:r>
    </w:p>
    <w:p>
      <w:pPr>
        <w:pStyle w:val="ListBullet"/>
        <w:spacing w:after="60" w:line="240" w:lineRule="auto"/>
      </w:pPr>
      <w:r>
        <w:rPr>
          <w:rFonts w:ascii="Arial" w:hAnsi="Arial"/>
          <w:sz w:val="19"/>
        </w:rPr>
        <w:t>Avoid: implying Kevin already agreed with the memo unless the written record supports that.</w:t>
      </w:r>
    </w:p>
    <w:p>
      <w:pPr>
        <w:pStyle w:val="Heading2"/>
      </w:pPr>
      <w:r>
        <w:t>Jeff Dolan</w:t>
      </w:r>
    </w:p>
    <w:p>
      <w:pPr>
        <w:pStyle w:val="ListBullet"/>
        <w:spacing w:after="60" w:line="240" w:lineRule="auto"/>
      </w:pPr>
      <w:r>
        <w:rPr>
          <w:rFonts w:ascii="Arial" w:hAnsi="Arial"/>
          <w:sz w:val="19"/>
        </w:rPr>
        <w:t>Most relevant facts: included on Apr. 22 escalation; referenced as one of the senior people appropriate to handle the issue; appears in broader project discussion context.</w:t>
      </w:r>
    </w:p>
    <w:p>
      <w:pPr>
        <w:pStyle w:val="ListBullet"/>
        <w:spacing w:after="60" w:line="240" w:lineRule="auto"/>
      </w:pPr>
      <w:r>
        <w:rPr>
          <w:rFonts w:ascii="Arial" w:hAnsi="Arial"/>
          <w:sz w:val="19"/>
        </w:rPr>
        <w:t>Best concise sentence: “Jeff was included because the concern had project-operating-model implications, not because I was seeking discipline against anyone.”</w:t>
      </w:r>
    </w:p>
    <w:p>
      <w:pPr>
        <w:pStyle w:val="ListBullet"/>
        <w:spacing w:after="60" w:line="240" w:lineRule="auto"/>
      </w:pPr>
      <w:r>
        <w:rPr>
          <w:rFonts w:ascii="Arial" w:hAnsi="Arial"/>
          <w:sz w:val="19"/>
        </w:rPr>
        <w:t>Avoid: assuming Jeff knew every detail beyond what was sent to him or discussed in meetings.</w:t>
      </w:r>
    </w:p>
    <w:p>
      <w:pPr>
        <w:pStyle w:val="Heading2"/>
      </w:pPr>
      <w:r>
        <w:t>Andy Tandon</w:t>
      </w:r>
    </w:p>
    <w:p>
      <w:pPr>
        <w:pStyle w:val="ListBullet"/>
        <w:spacing w:after="60" w:line="240" w:lineRule="auto"/>
      </w:pPr>
      <w:r>
        <w:rPr>
          <w:rFonts w:ascii="Arial" w:hAnsi="Arial"/>
          <w:sz w:val="19"/>
        </w:rPr>
        <w:t>Most relevant facts: project leadership stakeholder; May 1 hiring email copied Corina because she could move quickly; tied to broader project operating decisions.</w:t>
      </w:r>
    </w:p>
    <w:p>
      <w:pPr>
        <w:pStyle w:val="ListBullet"/>
        <w:spacing w:after="60" w:line="240" w:lineRule="auto"/>
      </w:pPr>
      <w:r>
        <w:rPr>
          <w:rFonts w:ascii="Arial" w:hAnsi="Arial"/>
          <w:sz w:val="19"/>
        </w:rPr>
        <w:t>Best concise sentence: “Andy’s email is useful because it shows the speed-based workaround pattern in writing, not because it proves bad intent.”</w:t>
      </w:r>
    </w:p>
    <w:p>
      <w:pPr>
        <w:pStyle w:val="ListBullet"/>
        <w:spacing w:after="60" w:line="240" w:lineRule="auto"/>
      </w:pPr>
      <w:r>
        <w:rPr>
          <w:rFonts w:ascii="Arial" w:hAnsi="Arial"/>
          <w:sz w:val="19"/>
        </w:rPr>
        <w:t>Avoid: overstating the May 1 email as a standalone violation.</w:t>
      </w:r>
    </w:p>
    <w:p>
      <w:pPr>
        <w:pStyle w:val="Heading2"/>
      </w:pPr>
      <w:r>
        <w:t>Joseph “Joe” Glowacki</w:t>
      </w:r>
    </w:p>
    <w:p>
      <w:pPr>
        <w:pStyle w:val="ListBullet"/>
        <w:spacing w:after="60" w:line="240" w:lineRule="auto"/>
      </w:pPr>
      <w:r>
        <w:rPr>
          <w:rFonts w:ascii="Arial" w:hAnsi="Arial"/>
          <w:sz w:val="19"/>
        </w:rPr>
        <w:t>Most relevant facts: allegedly contradicted relayed performance feedback; Apr. 29 “Sorry Garrett. Forgot to copy you” email; senior project leader tied to MVP facilitation context.</w:t>
      </w:r>
    </w:p>
    <w:p>
      <w:pPr>
        <w:pStyle w:val="ListBullet"/>
        <w:spacing w:after="60" w:line="240" w:lineRule="auto"/>
      </w:pPr>
      <w:r>
        <w:rPr>
          <w:rFonts w:ascii="Arial" w:hAnsi="Arial"/>
          <w:sz w:val="19"/>
        </w:rPr>
        <w:t>Best concise sentence: “Joe matters because he is the clearest source-vs-relay example, and because his email independently shows after-the-fact inclusion.”</w:t>
      </w:r>
    </w:p>
    <w:p>
      <w:pPr>
        <w:pStyle w:val="ListBullet"/>
        <w:spacing w:after="60" w:line="240" w:lineRule="auto"/>
      </w:pPr>
      <w:r>
        <w:rPr>
          <w:rFonts w:ascii="Arial" w:hAnsi="Arial"/>
          <w:sz w:val="19"/>
        </w:rPr>
        <w:t>Avoid: saying Joe “proved” the whole pattern. He supports one important thread.</w:t>
      </w:r>
    </w:p>
    <w:p>
      <w:pPr>
        <w:pStyle w:val="Heading1"/>
      </w:pPr>
      <w:r>
        <w:t>K. Personal Record Preservation Notes</w:t>
      </w:r>
    </w:p>
    <w:p>
      <w:pPr>
        <w:spacing w:after="120" w:line="252" w:lineRule="auto"/>
      </w:pPr>
      <w:r>
        <w:rPr>
          <w:rFonts w:ascii="Arial" w:hAnsi="Arial"/>
          <w:sz w:val="20"/>
        </w:rPr>
        <w:t>Now that termination has reportedly occurred, the safest posture is to preserve your own records without accessing or exporting anything you are no longer authorized to access. Keep the issue factual: dates, senders, recipients, meeting names, direct quotes, and what each artifact supports. Do not forward, download, or retain company confidential materials beyond what you are authorized to keep.</w:t>
      </w:r>
    </w:p>
    <w:p>
      <w:pPr>
        <w:spacing w:after="120" w:line="252" w:lineRule="auto"/>
      </w:pPr>
      <w:r>
        <w:rPr>
          <w:rFonts w:ascii="Arial" w:hAnsi="Arial"/>
          <w:sz w:val="20"/>
        </w:rPr>
        <w:t>A clean description for any follow-up: “My concern was that HR/ER communication routing and role authority became misaligned, and when I raised that concern it was repeatedly reframed as performance. I am asking that any explanation of the decision be tied to specific, observable facts and the written record.”</w:t>
      </w:r>
    </w:p>
    <w:p>
      <w:pPr>
        <w:pStyle w:val="Heading1"/>
      </w:pPr>
      <w:r>
        <w:t>L. Five-Minute Review Card</w:t>
      </w:r>
    </w:p>
    <w:tbl>
      <w:tblPr>
        <w:tblW w:type="auto" w:w="0"/>
        <w:jc w:val="center"/>
        <w:tblLook w:firstColumn="1" w:firstRow="1" w:lastColumn="0" w:lastRow="0" w:noHBand="0" w:noVBand="1" w:val="04A0"/>
      </w:tblPr>
      <w:tblGrid>
        <w:gridCol w:w="10080"/>
      </w:tblGrid>
      <w:tr>
        <w:tc>
          <w:tcPr>
            <w:tcW w:type="dxa" w:w="10080"/>
            <w:shd w:fill="EAF2F8"/>
            <w:vAlign w:val="top"/>
          </w:tcPr>
          <w:p>
            <w:pPr>
              <w:spacing w:after="0" w:line="252" w:lineRule="auto"/>
              <w:ind w:left="72" w:right="72"/>
              <w:jc w:val="left"/>
            </w:pPr>
            <w:r/>
            <w:r>
              <w:rPr>
                <w:rFonts w:ascii="Arial" w:hAnsi="Arial"/>
                <w:b w:val="0"/>
                <w:sz w:val="20"/>
              </w:rPr>
              <w:t>Core sentence: This was an ER and operating-model concern, not a staffing issue. I raised a pattern where HR-scope work was sometimes routed or framed outside my role, and when I raised that concern with Corina it repeatedly came back as performance. The cleanest evidence is the Feb. 9 email, Apr. 22 escalation, Joe Glowacki correction, Apr. 29 “forgot to copy you” email, and May 1 Andy email. Stay calm. Do not accuse. Do not overstate. Concede inclusion where it exists. Keep repeating: authority, accountability, routing, observable facts.</w:t>
            </w:r>
          </w:p>
        </w:tc>
      </w:tr>
    </w:tbl>
    <w:p/>
    <w:p>
      <w:pPr>
        <w:pStyle w:val="Heading1"/>
      </w:pPr>
      <w:r>
        <w:t>M. Source Basis</w:t>
      </w:r>
    </w:p>
    <w:p>
      <w:pPr>
        <w:pStyle w:val="ListBullet"/>
        <w:spacing w:after="60" w:line="240" w:lineRule="auto"/>
      </w:pPr>
      <w:r>
        <w:rPr>
          <w:rFonts w:ascii="Arial" w:hAnsi="Arial"/>
          <w:sz w:val="19"/>
        </w:rPr>
        <w:t>User-uploaded memorandum: “GB.5.4.docx,” titled “Memorandum - Operating Model Reset - CTS LoneStar (v12).”</w:t>
      </w:r>
    </w:p>
    <w:p>
      <w:pPr>
        <w:pStyle w:val="ListBullet"/>
        <w:spacing w:after="60" w:line="240" w:lineRule="auto"/>
      </w:pPr>
      <w:r>
        <w:rPr>
          <w:rFonts w:ascii="Arial" w:hAnsi="Arial"/>
          <w:sz w:val="19"/>
        </w:rPr>
        <w:t>Prior chat context already provided by the user, including summaries of Teams, Outlook, and SharePoint context around Corina, Jordyn, Joseph Glowacki, Sydney, Andy, Paul, and related stakeholders.</w:t>
      </w:r>
    </w:p>
    <w:p>
      <w:pPr>
        <w:pStyle w:val="ListBullet"/>
        <w:spacing w:after="60" w:line="240" w:lineRule="auto"/>
      </w:pPr>
      <w:r>
        <w:rPr>
          <w:rFonts w:ascii="Arial" w:hAnsi="Arial"/>
          <w:sz w:val="19"/>
        </w:rPr>
        <w:t>No new company-system collection is represented in this document. This is a synthesis of already available materials in this chat and the uploaded memo.</w:t>
      </w:r>
    </w:p>
    <w:sectPr>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sz w:val="16"/>
      </w:rPr>
      <w:t>CTS LoneStar ER / Operating-Model Context - Personal Record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CTS LoneStar ER Operating-Model Context Personal Record</dc:title>
  <dc:subject>Personal record summary based on uploaded memo and chat context</dc:subject>
  <dc:creator/>
  <cp:keywords/>
  <dc:description>Created from user-provided materials in chat; not legal analysis.</dc:description>
  <cp:lastModifiedBy/>
  <cp:revision>1</cp:revision>
  <dcterms:created xsi:type="dcterms:W3CDTF">2013-12-23T23:15:00Z</dcterms:created>
  <dcterms:modified xsi:type="dcterms:W3CDTF">2013-12-23T23:15:00Z</dcterms:modified>
  <cp:category/>
</cp:coreProperties>
</file>