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HR Engagement, Ownership, and Performance Attribution</w:t>
      </w:r>
    </w:p>
    <w:p>
      <w:pPr>
        <w:jc w:val="center"/>
      </w:pPr>
      <w:r>
        <w:rPr>
          <w:b/>
          <w:color w:val="595959"/>
          <w:sz w:val="30"/>
        </w:rPr>
        <w:t>Historical Narrative, Pattern Review, and Risk Analysis</w:t>
      </w:r>
    </w:p>
    <w:p>
      <w:pPr>
        <w:jc w:val="center"/>
      </w:pPr>
      <w:r>
        <w:rPr>
          <w:b/>
          <w:color w:val="C00000"/>
          <w:sz w:val="22"/>
        </w:rPr>
        <w:t>Confidential - Self-Prepared Internal Documentation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vAlign w:val="center"/>
          </w:tcPr>
          <w:p>
            <w:pPr>
              <w:jc w:val="center"/>
            </w:pPr>
            <w:r>
              <w:rPr>
                <w:rFonts w:ascii="Aptos" w:hAnsi="Aptos"/>
                <w:sz w:val="18"/>
              </w:rPr>
            </w:r>
            <w:r>
              <w:rPr>
                <w:rFonts w:ascii="Aptos" w:hAnsi="Aptos"/>
                <w:b/>
                <w:color w:val="FFFFFF"/>
                <w:sz w:val="18"/>
              </w:rPr>
              <w:t>Field</w:t>
            </w:r>
          </w:p>
        </w:tc>
        <w:tc>
          <w:tcPr>
            <w:tcW w:type="dxa" w:w="7920"/>
            <w:shd w:fill="1F4E79"/>
            <w:vAlign w:val="center"/>
          </w:tcPr>
          <w:p>
            <w:pPr>
              <w:jc w:val="center"/>
            </w:pPr>
            <w:r>
              <w:rPr>
                <w:rFonts w:ascii="Aptos" w:hAnsi="Aptos"/>
                <w:sz w:val="18"/>
              </w:rPr>
            </w:r>
            <w:r>
              <w:rPr>
                <w:rFonts w:ascii="Aptos" w:hAnsi="Aptos"/>
                <w:b/>
                <w:color w:val="FFFFFF"/>
                <w:sz w:val="18"/>
              </w:rPr>
              <w:t>Description</w:t>
            </w:r>
          </w:p>
        </w:tc>
      </w:tr>
      <w:tr>
        <w:tc>
          <w:tcPr>
            <w:tcW w:type="dxa" w:w="2592"/>
            <w:vAlign w:val="top"/>
          </w:tcPr>
          <w:p>
            <w:r>
              <w:rPr>
                <w:rFonts w:ascii="Aptos" w:hAnsi="Aptos"/>
                <w:sz w:val="18"/>
              </w:rPr>
            </w:r>
            <w:r>
              <w:rPr>
                <w:rFonts w:ascii="Aptos" w:hAnsi="Aptos"/>
                <w:b w:val="0"/>
                <w:sz w:val="18"/>
              </w:rPr>
              <w:t>Prepared by</w:t>
            </w:r>
          </w:p>
        </w:tc>
        <w:tc>
          <w:tcPr>
            <w:tcW w:type="dxa" w:w="7920"/>
            <w:vAlign w:val="top"/>
          </w:tcPr>
          <w:p>
            <w:r>
              <w:rPr>
                <w:rFonts w:ascii="Aptos" w:hAnsi="Aptos"/>
                <w:sz w:val="18"/>
              </w:rPr>
            </w:r>
            <w:r>
              <w:rPr>
                <w:rFonts w:ascii="Aptos" w:hAnsi="Aptos"/>
                <w:b w:val="0"/>
                <w:sz w:val="18"/>
              </w:rPr>
              <w:t>Garrett Baxley, HR Manager - CTS Lonestar / THM Project</w:t>
            </w:r>
          </w:p>
        </w:tc>
      </w:tr>
      <w:tr>
        <w:tc>
          <w:tcPr>
            <w:tcW w:type="dxa" w:w="2592"/>
            <w:vAlign w:val="top"/>
          </w:tcPr>
          <w:p>
            <w:r>
              <w:rPr>
                <w:rFonts w:ascii="Aptos" w:hAnsi="Aptos"/>
                <w:sz w:val="18"/>
              </w:rPr>
            </w:r>
            <w:r>
              <w:rPr>
                <w:rFonts w:ascii="Aptos" w:hAnsi="Aptos"/>
                <w:b w:val="0"/>
                <w:sz w:val="18"/>
              </w:rPr>
              <w:t>Date prepared</w:t>
            </w:r>
          </w:p>
        </w:tc>
        <w:tc>
          <w:tcPr>
            <w:tcW w:type="dxa" w:w="7920"/>
            <w:vAlign w:val="top"/>
          </w:tcPr>
          <w:p>
            <w:r>
              <w:rPr>
                <w:rFonts w:ascii="Aptos" w:hAnsi="Aptos"/>
                <w:sz w:val="18"/>
              </w:rPr>
            </w:r>
            <w:r>
              <w:rPr>
                <w:rFonts w:ascii="Aptos" w:hAnsi="Aptos"/>
                <w:b w:val="0"/>
                <w:sz w:val="18"/>
              </w:rPr>
              <w:t>May 2026</w:t>
            </w:r>
          </w:p>
        </w:tc>
      </w:tr>
      <w:tr>
        <w:tc>
          <w:tcPr>
            <w:tcW w:type="dxa" w:w="2592"/>
            <w:vAlign w:val="top"/>
          </w:tcPr>
          <w:p>
            <w:r>
              <w:rPr>
                <w:rFonts w:ascii="Aptos" w:hAnsi="Aptos"/>
                <w:sz w:val="18"/>
              </w:rPr>
            </w:r>
            <w:r>
              <w:rPr>
                <w:rFonts w:ascii="Aptos" w:hAnsi="Aptos"/>
                <w:b w:val="0"/>
                <w:sz w:val="18"/>
              </w:rPr>
              <w:t>Document type</w:t>
            </w:r>
          </w:p>
        </w:tc>
        <w:tc>
          <w:tcPr>
            <w:tcW w:type="dxa" w:w="7920"/>
            <w:vAlign w:val="top"/>
          </w:tcPr>
          <w:p>
            <w:r>
              <w:rPr>
                <w:rFonts w:ascii="Aptos" w:hAnsi="Aptos"/>
                <w:sz w:val="18"/>
              </w:rPr>
            </w:r>
            <w:r>
              <w:rPr>
                <w:rFonts w:ascii="Aptos" w:hAnsi="Aptos"/>
                <w:b w:val="0"/>
                <w:sz w:val="18"/>
              </w:rPr>
              <w:t>Self-prepared internal documentation and pattern analysis; not a formal investigation finding</w:t>
            </w:r>
          </w:p>
        </w:tc>
      </w:tr>
      <w:tr>
        <w:tc>
          <w:tcPr>
            <w:tcW w:type="dxa" w:w="2592"/>
            <w:vAlign w:val="top"/>
          </w:tcPr>
          <w:p>
            <w:r>
              <w:rPr>
                <w:rFonts w:ascii="Aptos" w:hAnsi="Aptos"/>
                <w:sz w:val="18"/>
              </w:rPr>
            </w:r>
            <w:r>
              <w:rPr>
                <w:rFonts w:ascii="Aptos" w:hAnsi="Aptos"/>
                <w:b w:val="0"/>
                <w:sz w:val="18"/>
              </w:rPr>
              <w:t>Primary concern</w:t>
            </w:r>
          </w:p>
        </w:tc>
        <w:tc>
          <w:tcPr>
            <w:tcW w:type="dxa" w:w="7920"/>
            <w:vAlign w:val="top"/>
          </w:tcPr>
          <w:p>
            <w:r>
              <w:rPr>
                <w:rFonts w:ascii="Aptos" w:hAnsi="Aptos"/>
                <w:sz w:val="18"/>
              </w:rPr>
            </w:r>
            <w:r>
              <w:rPr>
                <w:rFonts w:ascii="Aptos" w:hAnsi="Aptos"/>
                <w:b w:val="0"/>
                <w:sz w:val="18"/>
              </w:rPr>
              <w:t>Misalignment between HR accountability, engagement timing, communication routing, and performance attribution</w:t>
            </w:r>
          </w:p>
        </w:tc>
      </w:tr>
      <w:tr>
        <w:tc>
          <w:tcPr>
            <w:tcW w:type="dxa" w:w="2592"/>
            <w:vAlign w:val="top"/>
          </w:tcPr>
          <w:p>
            <w:r>
              <w:rPr>
                <w:rFonts w:ascii="Aptos" w:hAnsi="Aptos"/>
                <w:sz w:val="18"/>
              </w:rPr>
            </w:r>
            <w:r>
              <w:rPr>
                <w:rFonts w:ascii="Aptos" w:hAnsi="Aptos"/>
                <w:b w:val="0"/>
                <w:sz w:val="18"/>
              </w:rPr>
              <w:t>Primary evidence base</w:t>
            </w:r>
          </w:p>
        </w:tc>
        <w:tc>
          <w:tcPr>
            <w:tcW w:type="dxa" w:w="7920"/>
            <w:vAlign w:val="top"/>
          </w:tcPr>
          <w:p>
            <w:r>
              <w:rPr>
                <w:rFonts w:ascii="Aptos" w:hAnsi="Aptos"/>
                <w:sz w:val="18"/>
              </w:rPr>
            </w:r>
            <w:r>
              <w:rPr>
                <w:rFonts w:ascii="Aptos" w:hAnsi="Aptos"/>
                <w:b w:val="0"/>
                <w:sz w:val="18"/>
              </w:rPr>
              <w:t>User-provided chronology, screenshots/context, and uploaded internal memo dated April 28, 2026</w:t>
            </w:r>
          </w:p>
        </w:tc>
      </w:tr>
      <w:tr>
        <w:tc>
          <w:tcPr>
            <w:tcW w:type="dxa" w:w="2592"/>
            <w:vAlign w:val="top"/>
          </w:tcPr>
          <w:p>
            <w:r>
              <w:rPr>
                <w:rFonts w:ascii="Aptos" w:hAnsi="Aptos"/>
                <w:sz w:val="18"/>
              </w:rPr>
            </w:r>
            <w:r>
              <w:rPr>
                <w:rFonts w:ascii="Aptos" w:hAnsi="Aptos"/>
                <w:b w:val="0"/>
                <w:sz w:val="18"/>
              </w:rPr>
              <w:t>Known source limitation</w:t>
            </w:r>
          </w:p>
        </w:tc>
        <w:tc>
          <w:tcPr>
            <w:tcW w:type="dxa" w:w="7920"/>
            <w:vAlign w:val="top"/>
          </w:tcPr>
          <w:p>
            <w:r>
              <w:rPr>
                <w:rFonts w:ascii="Aptos" w:hAnsi="Aptos"/>
                <w:sz w:val="18"/>
              </w:rPr>
            </w:r>
            <w:r>
              <w:rPr>
                <w:rFonts w:ascii="Aptos" w:hAnsi="Aptos"/>
                <w:b w:val="0"/>
                <w:sz w:val="18"/>
              </w:rPr>
              <w:t>Outlook, Teams, SharePoint/OneDrive, calendar history, and HR case systems require further export/review for complete evidentiary validation</w:t>
            </w:r>
          </w:p>
        </w:tc>
      </w:tr>
    </w:tbl>
    <w:p/>
    <w:tbl>
      <w:tblPr>
        <w:tblStyle w:val="TableGrid"/>
        <w:tblW w:type="auto" w:w="0"/>
        <w:tblLook w:firstColumn="1" w:firstRow="1" w:lastColumn="0" w:lastRow="0" w:noHBand="0" w:noVBand="1" w:val="04A0"/>
      </w:tblPr>
      <w:tblGrid>
        <w:gridCol w:w="10224"/>
      </w:tblGrid>
      <w:tr>
        <w:tc>
          <w:tcPr>
            <w:tcW w:type="dxa" w:w="10224"/>
            <w:shd w:fill="EAF2F8"/>
          </w:tcPr>
          <w:p>
            <w:r>
              <w:rPr>
                <w:rFonts w:ascii="Aptos" w:hAnsi="Aptos"/>
                <w:b/>
                <w:color w:val="1F4E79"/>
                <w:sz w:val="18"/>
              </w:rPr>
              <w:t>Framing note</w:t>
            </w:r>
            <w:r>
              <w:rPr>
                <w:rFonts w:ascii="Aptos" w:hAnsi="Aptos"/>
                <w:sz w:val="18"/>
              </w:rPr>
              <w:br/>
              <w:t>This document is prepared as an internal working record. It is intended to preserve context, organize events, identify patterns, and distinguish documented facts from interpretation. It does not assign motive, does not make formal findings, and should be updated as additional Outlook, Teams, SharePoint, calendar, or HR-system evidence is gathered.</w:t>
            </w:r>
          </w:p>
        </w:tc>
      </w:tr>
    </w:tbl>
    <w:p/>
    <w:p>
      <w:r>
        <w:br w:type="page"/>
      </w:r>
    </w:p>
    <w:p>
      <w:pPr>
        <w:pStyle w:val="Heading1"/>
      </w:pPr>
      <w:r>
        <w:t>1. Executive Summary</w:t>
      </w:r>
    </w:p>
    <w:p>
      <w:r>
        <w:t>This document reconstructs the full available narrative regarding concerns about HR engagement, ownership, communication routing, and performance perception on the CTS Lonestar / THM project and within the surrounding HR structure.</w:t>
      </w:r>
    </w:p>
    <w:p>
      <w:r>
        <w:t>The central concern is that the on-project HR Manager is being held accountable for HR outcomes without being consistently engaged early enough, directly enough, or visibly enough to lead those outcomes from the outset. Over time, that operating pattern has created not only execution friction, but a broader performance-attribution concern.</w:t>
      </w:r>
    </w:p>
    <w:p>
      <w:r>
        <w:t>The pattern is not limited to one person, one meeting, or one project issue. It appears across employee relations, BME / ethics / compliance / Our House Our Home workstreams, onboarding and recruiting, admin role clarity, HRM / BU-level communication, and team routing involving direct reports.</w:t>
      </w:r>
    </w:p>
    <w:p>
      <w:r>
        <w:t>The most serious concern is that the current operating model can convert late engagement and fragmented routing into apparent performance deficiencies. If work or issues are initiated elsewhere and the on-project HR Manager is brought in downstream, the resulting reactive posture can be misread as lack of engagement or lack of ownership.</w:t>
      </w:r>
    </w:p>
    <w:p>
      <w:r>
        <w:t>The concern has progressed beyond project execution. The user reports being told directly by another HR Manager that there is a growing perception within Texas HR that he is not engaged or not communicating effectively. The concern therefore includes HR-group perception formation, not only project-level communication friction.</w:t>
      </w:r>
    </w:p>
    <w:p>
      <w:r>
        <w:t>One of the most significant contradictions involves the MVP / Joe Glowacki issue. The user reports being told by Corina that MVP support was connected to his 'lack of engagement and performance' and that he had 'tried his best but leadership wanted more.' The following day, Joe Glowacki reportedly clarified that MVP was driven by Alex Salah / Google, was not due to dissatisfaction with the user's performance, and that Joe had actually complimented the user's performance.</w:t>
      </w:r>
    </w:p>
    <w:p>
      <w:r>
        <w:t>This document does not allege bad intent. It identifies a structural issue: authority, visibility, timing, and accountability are not consistently aligned. The requested outcome is not punishment of any individual, but a clear review and correction of the operating model so performance evaluation reflects actual involvement and authority.</w:t>
      </w:r>
    </w:p>
    <w:tbl>
      <w:tblPr>
        <w:tblStyle w:val="TableGrid"/>
        <w:tblW w:type="auto" w:w="0"/>
        <w:tblLook w:firstColumn="1" w:firstRow="1" w:lastColumn="0" w:lastRow="0" w:noHBand="0" w:noVBand="1" w:val="04A0"/>
      </w:tblPr>
      <w:tblGrid>
        <w:gridCol w:w="10224"/>
      </w:tblGrid>
      <w:tr>
        <w:tc>
          <w:tcPr>
            <w:tcW w:type="dxa" w:w="10224"/>
            <w:shd w:fill="EAF2F8"/>
          </w:tcPr>
          <w:p>
            <w:r>
              <w:rPr>
                <w:rFonts w:ascii="Aptos" w:hAnsi="Aptos"/>
                <w:b/>
                <w:color w:val="1F4E79"/>
                <w:sz w:val="18"/>
              </w:rPr>
              <w:t>Central thesis</w:t>
            </w:r>
            <w:r>
              <w:rPr>
                <w:rFonts w:ascii="Aptos" w:hAnsi="Aptos"/>
                <w:sz w:val="18"/>
              </w:rPr>
              <w:br/>
              <w:t>The current operating model is converting late engagement and fragmented routing into apparent performance deficiencies.</w:t>
            </w:r>
          </w:p>
        </w:tc>
      </w:tr>
    </w:tbl>
    <w:p/>
    <w:p>
      <w:pPr>
        <w:pStyle w:val="Heading1"/>
      </w:pPr>
      <w:r>
        <w:t>2. Background and Role Context</w:t>
      </w:r>
    </w:p>
    <w:p>
      <w:r>
        <w:t>The on-project HR Manager role is intended to serve as the primary HR point of contact for the CTS Lonestar / THM project. The role includes employee relations, onboarding, compliance support, project HR execution, performance-management coordination, and partnership with project leadership on employee matters.</w:t>
      </w:r>
    </w:p>
    <w:p>
      <w:r>
        <w:t>The work sits within a layered HR environment that includes on-project HR, BU / regional HR, and HQ / compliance support. In theory, these layers should reinforce one another. In practice, the evidence and reported context show that communication and work ownership frequently move through multiple parallel channels before reaching the on-project HR lead.</w:t>
      </w:r>
    </w:p>
    <w:p>
      <w:r>
        <w:t>This distinction matters because a role can remain formally accountable while being operationally diluted. If the project HR lead is not consistently the first authoritative HR owner, the role can be judged as though it had full control even when engagement occurred late or through filtered channels.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jc w:val="center"/>
            </w:pPr>
            <w:r>
              <w:rPr>
                <w:rFonts w:ascii="Aptos" w:hAnsi="Aptos"/>
                <w:sz w:val="18"/>
              </w:rPr>
            </w:r>
            <w:r>
              <w:rPr>
                <w:rFonts w:ascii="Aptos" w:hAnsi="Aptos"/>
                <w:b/>
                <w:color w:val="FFFFFF"/>
                <w:sz w:val="18"/>
              </w:rPr>
              <w:t>Stakeholder</w:t>
            </w:r>
          </w:p>
        </w:tc>
        <w:tc>
          <w:tcPr>
            <w:tcW w:type="dxa" w:w="2592"/>
            <w:shd w:fill="1F4E79"/>
            <w:vAlign w:val="center"/>
          </w:tcPr>
          <w:p>
            <w:pPr>
              <w:jc w:val="center"/>
            </w:pPr>
            <w:r>
              <w:rPr>
                <w:rFonts w:ascii="Aptos" w:hAnsi="Aptos"/>
                <w:sz w:val="18"/>
              </w:rPr>
            </w:r>
            <w:r>
              <w:rPr>
                <w:rFonts w:ascii="Aptos" w:hAnsi="Aptos"/>
                <w:b/>
                <w:color w:val="FFFFFF"/>
                <w:sz w:val="18"/>
              </w:rPr>
              <w:t>Role / context</w:t>
            </w:r>
          </w:p>
        </w:tc>
        <w:tc>
          <w:tcPr>
            <w:tcW w:type="dxa" w:w="6048"/>
            <w:shd w:fill="1F4E79"/>
            <w:vAlign w:val="center"/>
          </w:tcPr>
          <w:p>
            <w:pPr>
              <w:jc w:val="center"/>
            </w:pPr>
            <w:r>
              <w:rPr>
                <w:rFonts w:ascii="Aptos" w:hAnsi="Aptos"/>
                <w:sz w:val="18"/>
              </w:rPr>
            </w:r>
            <w:r>
              <w:rPr>
                <w:rFonts w:ascii="Aptos" w:hAnsi="Aptos"/>
                <w:b/>
                <w:color w:val="FFFFFF"/>
                <w:sz w:val="18"/>
              </w:rPr>
              <w:t>Relevance to narrative</w:t>
            </w:r>
          </w:p>
        </w:tc>
      </w:tr>
      <w:tr>
        <w:tc>
          <w:tcPr>
            <w:tcW w:type="dxa" w:w="2160"/>
            <w:vAlign w:val="top"/>
          </w:tcPr>
          <w:p>
            <w:r>
              <w:rPr>
                <w:rFonts w:ascii="Aptos" w:hAnsi="Aptos"/>
                <w:sz w:val="18"/>
              </w:rPr>
            </w:r>
            <w:r>
              <w:rPr>
                <w:rFonts w:ascii="Aptos" w:hAnsi="Aptos"/>
                <w:b w:val="0"/>
                <w:sz w:val="18"/>
              </w:rPr>
              <w:t>Garrett Baxley</w:t>
            </w:r>
          </w:p>
        </w:tc>
        <w:tc>
          <w:tcPr>
            <w:tcW w:type="dxa" w:w="2592"/>
            <w:vAlign w:val="top"/>
          </w:tcPr>
          <w:p>
            <w:r>
              <w:rPr>
                <w:rFonts w:ascii="Aptos" w:hAnsi="Aptos"/>
                <w:sz w:val="18"/>
              </w:rPr>
            </w:r>
            <w:r>
              <w:rPr>
                <w:rFonts w:ascii="Aptos" w:hAnsi="Aptos"/>
                <w:b w:val="0"/>
                <w:sz w:val="18"/>
              </w:rPr>
              <w:t>On-project HR Manager</w:t>
            </w:r>
          </w:p>
        </w:tc>
        <w:tc>
          <w:tcPr>
            <w:tcW w:type="dxa" w:w="6048"/>
            <w:vAlign w:val="top"/>
          </w:tcPr>
          <w:p>
            <w:r>
              <w:rPr>
                <w:rFonts w:ascii="Aptos" w:hAnsi="Aptos"/>
                <w:sz w:val="18"/>
              </w:rPr>
            </w:r>
            <w:r>
              <w:rPr>
                <w:rFonts w:ascii="Aptos" w:hAnsi="Aptos"/>
                <w:b w:val="0"/>
                <w:sz w:val="18"/>
              </w:rPr>
              <w:t>Subject of this documentation; responsible for HR execution, ER, onboarding, compliance support, and project HR ownership.</w:t>
            </w:r>
          </w:p>
        </w:tc>
      </w:tr>
      <w:tr>
        <w:tc>
          <w:tcPr>
            <w:tcW w:type="dxa" w:w="2160"/>
            <w:vAlign w:val="top"/>
          </w:tcPr>
          <w:p>
            <w:r>
              <w:rPr>
                <w:rFonts w:ascii="Aptos" w:hAnsi="Aptos"/>
                <w:sz w:val="18"/>
              </w:rPr>
            </w:r>
            <w:r>
              <w:rPr>
                <w:rFonts w:ascii="Aptos" w:hAnsi="Aptos"/>
                <w:b w:val="0"/>
                <w:sz w:val="18"/>
              </w:rPr>
              <w:t>Kevin Ward</w:t>
            </w:r>
          </w:p>
        </w:tc>
        <w:tc>
          <w:tcPr>
            <w:tcW w:type="dxa" w:w="2592"/>
            <w:vAlign w:val="top"/>
          </w:tcPr>
          <w:p>
            <w:r>
              <w:rPr>
                <w:rFonts w:ascii="Aptos" w:hAnsi="Aptos"/>
                <w:sz w:val="18"/>
              </w:rPr>
            </w:r>
            <w:r>
              <w:rPr>
                <w:rFonts w:ascii="Aptos" w:hAnsi="Aptos"/>
                <w:b w:val="0"/>
                <w:sz w:val="18"/>
              </w:rPr>
              <w:t>Senior HR leader / boss</w:t>
            </w:r>
          </w:p>
        </w:tc>
        <w:tc>
          <w:tcPr>
            <w:tcW w:type="dxa" w:w="6048"/>
            <w:vAlign w:val="top"/>
          </w:tcPr>
          <w:p>
            <w:r>
              <w:rPr>
                <w:rFonts w:ascii="Aptos" w:hAnsi="Aptos"/>
                <w:sz w:val="18"/>
              </w:rPr>
            </w:r>
            <w:r>
              <w:rPr>
                <w:rFonts w:ascii="Aptos" w:hAnsi="Aptos"/>
                <w:b w:val="0"/>
                <w:sz w:val="18"/>
              </w:rPr>
              <w:t>Recipient of concerns and follow-up conversations; key decision-maker for alignment and next steps.</w:t>
            </w:r>
          </w:p>
        </w:tc>
      </w:tr>
      <w:tr>
        <w:tc>
          <w:tcPr>
            <w:tcW w:type="dxa" w:w="2160"/>
            <w:vAlign w:val="top"/>
          </w:tcPr>
          <w:p>
            <w:r>
              <w:rPr>
                <w:rFonts w:ascii="Aptos" w:hAnsi="Aptos"/>
                <w:sz w:val="18"/>
              </w:rPr>
            </w:r>
            <w:r>
              <w:rPr>
                <w:rFonts w:ascii="Aptos" w:hAnsi="Aptos"/>
                <w:b w:val="0"/>
                <w:sz w:val="18"/>
              </w:rPr>
              <w:t>Corina Murguia</w:t>
            </w:r>
          </w:p>
        </w:tc>
        <w:tc>
          <w:tcPr>
            <w:tcW w:type="dxa" w:w="2592"/>
            <w:vAlign w:val="top"/>
          </w:tcPr>
          <w:p>
            <w:r>
              <w:rPr>
                <w:rFonts w:ascii="Aptos" w:hAnsi="Aptos"/>
                <w:sz w:val="18"/>
              </w:rPr>
            </w:r>
            <w:r>
              <w:rPr>
                <w:rFonts w:ascii="Aptos" w:hAnsi="Aptos"/>
                <w:b w:val="0"/>
                <w:sz w:val="18"/>
              </w:rPr>
              <w:t>HR Director / supervisory HR channel</w:t>
            </w:r>
          </w:p>
        </w:tc>
        <w:tc>
          <w:tcPr>
            <w:tcW w:type="dxa" w:w="6048"/>
            <w:vAlign w:val="top"/>
          </w:tcPr>
          <w:p>
            <w:r>
              <w:rPr>
                <w:rFonts w:ascii="Aptos" w:hAnsi="Aptos"/>
                <w:sz w:val="18"/>
              </w:rPr>
            </w:r>
            <w:r>
              <w:rPr>
                <w:rFonts w:ascii="Aptos" w:hAnsi="Aptos"/>
                <w:b w:val="0"/>
                <w:sz w:val="18"/>
              </w:rPr>
              <w:t>Most visible HR node in parallel routing; involved in HQ coordination, support decisions, and performance-gap conversations.</w:t>
            </w:r>
          </w:p>
        </w:tc>
      </w:tr>
      <w:tr>
        <w:tc>
          <w:tcPr>
            <w:tcW w:type="dxa" w:w="2160"/>
            <w:vAlign w:val="top"/>
          </w:tcPr>
          <w:p>
            <w:r>
              <w:rPr>
                <w:rFonts w:ascii="Aptos" w:hAnsi="Aptos"/>
                <w:sz w:val="18"/>
              </w:rPr>
            </w:r>
            <w:r>
              <w:rPr>
                <w:rFonts w:ascii="Aptos" w:hAnsi="Aptos"/>
                <w:b w:val="0"/>
                <w:sz w:val="18"/>
              </w:rPr>
              <w:t>Jeff Dolan</w:t>
            </w:r>
          </w:p>
        </w:tc>
        <w:tc>
          <w:tcPr>
            <w:tcW w:type="dxa" w:w="2592"/>
            <w:vAlign w:val="top"/>
          </w:tcPr>
          <w:p>
            <w:r>
              <w:rPr>
                <w:rFonts w:ascii="Aptos" w:hAnsi="Aptos"/>
                <w:sz w:val="18"/>
              </w:rPr>
            </w:r>
            <w:r>
              <w:rPr>
                <w:rFonts w:ascii="Aptos" w:hAnsi="Aptos"/>
                <w:b w:val="0"/>
                <w:sz w:val="18"/>
              </w:rPr>
              <w:t>Senior / regional leadership</w:t>
            </w:r>
          </w:p>
        </w:tc>
        <w:tc>
          <w:tcPr>
            <w:tcW w:type="dxa" w:w="6048"/>
            <w:vAlign w:val="top"/>
          </w:tcPr>
          <w:p>
            <w:r>
              <w:rPr>
                <w:rFonts w:ascii="Aptos" w:hAnsi="Aptos"/>
                <w:sz w:val="18"/>
              </w:rPr>
            </w:r>
            <w:r>
              <w:rPr>
                <w:rFonts w:ascii="Aptos" w:hAnsi="Aptos"/>
                <w:b w:val="0"/>
                <w:sz w:val="18"/>
              </w:rPr>
              <w:t>Involved in termination context and BME-related questioning.</w:t>
            </w:r>
          </w:p>
        </w:tc>
      </w:tr>
      <w:tr>
        <w:tc>
          <w:tcPr>
            <w:tcW w:type="dxa" w:w="2160"/>
            <w:vAlign w:val="top"/>
          </w:tcPr>
          <w:p>
            <w:r>
              <w:rPr>
                <w:rFonts w:ascii="Aptos" w:hAnsi="Aptos"/>
                <w:sz w:val="18"/>
              </w:rPr>
            </w:r>
            <w:r>
              <w:rPr>
                <w:rFonts w:ascii="Aptos" w:hAnsi="Aptos"/>
                <w:b w:val="0"/>
                <w:sz w:val="18"/>
              </w:rPr>
              <w:t>Andy Tandon</w:t>
            </w:r>
          </w:p>
        </w:tc>
        <w:tc>
          <w:tcPr>
            <w:tcW w:type="dxa" w:w="2592"/>
            <w:vAlign w:val="top"/>
          </w:tcPr>
          <w:p>
            <w:r>
              <w:rPr>
                <w:rFonts w:ascii="Aptos" w:hAnsi="Aptos"/>
                <w:sz w:val="18"/>
              </w:rPr>
            </w:r>
            <w:r>
              <w:rPr>
                <w:rFonts w:ascii="Aptos" w:hAnsi="Aptos"/>
                <w:b w:val="0"/>
                <w:sz w:val="18"/>
              </w:rPr>
              <w:t>Campus Director / project executive</w:t>
            </w:r>
          </w:p>
        </w:tc>
        <w:tc>
          <w:tcPr>
            <w:tcW w:type="dxa" w:w="6048"/>
            <w:vAlign w:val="top"/>
          </w:tcPr>
          <w:p>
            <w:r>
              <w:rPr>
                <w:rFonts w:ascii="Aptos" w:hAnsi="Aptos"/>
                <w:sz w:val="18"/>
              </w:rPr>
            </w:r>
            <w:r>
              <w:rPr>
                <w:rFonts w:ascii="Aptos" w:hAnsi="Aptos"/>
                <w:b w:val="0"/>
                <w:sz w:val="18"/>
              </w:rPr>
              <w:t>Key project leader; examples show communication friction and routine HR routing to Corina.</w:t>
            </w:r>
          </w:p>
        </w:tc>
      </w:tr>
      <w:tr>
        <w:tc>
          <w:tcPr>
            <w:tcW w:type="dxa" w:w="2160"/>
            <w:vAlign w:val="top"/>
          </w:tcPr>
          <w:p>
            <w:r>
              <w:rPr>
                <w:rFonts w:ascii="Aptos" w:hAnsi="Aptos"/>
                <w:sz w:val="18"/>
              </w:rPr>
            </w:r>
            <w:r>
              <w:rPr>
                <w:rFonts w:ascii="Aptos" w:hAnsi="Aptos"/>
                <w:b w:val="0"/>
                <w:sz w:val="18"/>
              </w:rPr>
              <w:t>Corey Ketchum</w:t>
            </w:r>
          </w:p>
        </w:tc>
        <w:tc>
          <w:tcPr>
            <w:tcW w:type="dxa" w:w="2592"/>
            <w:vAlign w:val="top"/>
          </w:tcPr>
          <w:p>
            <w:r>
              <w:rPr>
                <w:rFonts w:ascii="Aptos" w:hAnsi="Aptos"/>
                <w:sz w:val="18"/>
              </w:rPr>
            </w:r>
            <w:r>
              <w:rPr>
                <w:rFonts w:ascii="Aptos" w:hAnsi="Aptos"/>
                <w:b w:val="0"/>
                <w:sz w:val="18"/>
              </w:rPr>
              <w:t>Senior operations / project leadership</w:t>
            </w:r>
          </w:p>
        </w:tc>
        <w:tc>
          <w:tcPr>
            <w:tcW w:type="dxa" w:w="6048"/>
            <w:vAlign w:val="top"/>
          </w:tcPr>
          <w:p>
            <w:r>
              <w:rPr>
                <w:rFonts w:ascii="Aptos" w:hAnsi="Aptos"/>
                <w:sz w:val="18"/>
              </w:rPr>
            </w:r>
            <w:r>
              <w:rPr>
                <w:rFonts w:ascii="Aptos" w:hAnsi="Aptos"/>
                <w:b w:val="0"/>
                <w:sz w:val="18"/>
              </w:rPr>
              <w:t>Corroborating source for communication-flow issues in HR/Ops context.</w:t>
            </w:r>
          </w:p>
        </w:tc>
      </w:tr>
      <w:tr>
        <w:tc>
          <w:tcPr>
            <w:tcW w:type="dxa" w:w="2160"/>
            <w:vAlign w:val="top"/>
          </w:tcPr>
          <w:p>
            <w:r>
              <w:rPr>
                <w:rFonts w:ascii="Aptos" w:hAnsi="Aptos"/>
                <w:sz w:val="18"/>
              </w:rPr>
            </w:r>
            <w:r>
              <w:rPr>
                <w:rFonts w:ascii="Aptos" w:hAnsi="Aptos"/>
                <w:b w:val="0"/>
                <w:sz w:val="18"/>
              </w:rPr>
              <w:t>Dan Fine</w:t>
            </w:r>
          </w:p>
        </w:tc>
        <w:tc>
          <w:tcPr>
            <w:tcW w:type="dxa" w:w="2592"/>
            <w:vAlign w:val="top"/>
          </w:tcPr>
          <w:p>
            <w:r>
              <w:rPr>
                <w:rFonts w:ascii="Aptos" w:hAnsi="Aptos"/>
                <w:sz w:val="18"/>
              </w:rPr>
            </w:r>
            <w:r>
              <w:rPr>
                <w:rFonts w:ascii="Aptos" w:hAnsi="Aptos"/>
                <w:b w:val="0"/>
                <w:sz w:val="18"/>
              </w:rPr>
              <w:t>Senior leader</w:t>
            </w:r>
          </w:p>
        </w:tc>
        <w:tc>
          <w:tcPr>
            <w:tcW w:type="dxa" w:w="6048"/>
            <w:vAlign w:val="top"/>
          </w:tcPr>
          <w:p>
            <w:r>
              <w:rPr>
                <w:rFonts w:ascii="Aptos" w:hAnsi="Aptos"/>
                <w:sz w:val="18"/>
              </w:rPr>
            </w:r>
            <w:r>
              <w:rPr>
                <w:rFonts w:ascii="Aptos" w:hAnsi="Aptos"/>
                <w:b w:val="0"/>
                <w:sz w:val="18"/>
              </w:rPr>
              <w:t>Receives project / HR updates and is involved in escalation-level context.</w:t>
            </w:r>
          </w:p>
        </w:tc>
      </w:tr>
      <w:tr>
        <w:tc>
          <w:tcPr>
            <w:tcW w:type="dxa" w:w="2160"/>
            <w:vAlign w:val="top"/>
          </w:tcPr>
          <w:p>
            <w:r>
              <w:rPr>
                <w:rFonts w:ascii="Aptos" w:hAnsi="Aptos"/>
                <w:sz w:val="18"/>
              </w:rPr>
            </w:r>
            <w:r>
              <w:rPr>
                <w:rFonts w:ascii="Aptos" w:hAnsi="Aptos"/>
                <w:b w:val="0"/>
                <w:sz w:val="18"/>
              </w:rPr>
              <w:t>Joe Glowacki</w:t>
            </w:r>
          </w:p>
        </w:tc>
        <w:tc>
          <w:tcPr>
            <w:tcW w:type="dxa" w:w="2592"/>
            <w:vAlign w:val="top"/>
          </w:tcPr>
          <w:p>
            <w:r>
              <w:rPr>
                <w:rFonts w:ascii="Aptos" w:hAnsi="Aptos"/>
                <w:sz w:val="18"/>
              </w:rPr>
            </w:r>
            <w:r>
              <w:rPr>
                <w:rFonts w:ascii="Aptos" w:hAnsi="Aptos"/>
                <w:b w:val="0"/>
                <w:sz w:val="18"/>
              </w:rPr>
              <w:t>Operations / leadership interface</w:t>
            </w:r>
          </w:p>
        </w:tc>
        <w:tc>
          <w:tcPr>
            <w:tcW w:type="dxa" w:w="6048"/>
            <w:vAlign w:val="top"/>
          </w:tcPr>
          <w:p>
            <w:r>
              <w:rPr>
                <w:rFonts w:ascii="Aptos" w:hAnsi="Aptos"/>
                <w:sz w:val="18"/>
              </w:rPr>
            </w:r>
            <w:r>
              <w:rPr>
                <w:rFonts w:ascii="Aptos" w:hAnsi="Aptos"/>
                <w:b w:val="0"/>
                <w:sz w:val="18"/>
              </w:rPr>
              <w:t>Source-level clarification for MVP / Google rationale; reportedly complimented performance.</w:t>
            </w:r>
          </w:p>
        </w:tc>
      </w:tr>
      <w:tr>
        <w:tc>
          <w:tcPr>
            <w:tcW w:type="dxa" w:w="2160"/>
            <w:vAlign w:val="top"/>
          </w:tcPr>
          <w:p>
            <w:r>
              <w:rPr>
                <w:rFonts w:ascii="Aptos" w:hAnsi="Aptos"/>
                <w:sz w:val="18"/>
              </w:rPr>
            </w:r>
            <w:r>
              <w:rPr>
                <w:rFonts w:ascii="Aptos" w:hAnsi="Aptos"/>
                <w:b w:val="0"/>
                <w:sz w:val="18"/>
              </w:rPr>
              <w:t>Danielle Jones</w:t>
            </w:r>
          </w:p>
        </w:tc>
        <w:tc>
          <w:tcPr>
            <w:tcW w:type="dxa" w:w="2592"/>
            <w:vAlign w:val="top"/>
          </w:tcPr>
          <w:p>
            <w:r>
              <w:rPr>
                <w:rFonts w:ascii="Aptos" w:hAnsi="Aptos"/>
                <w:sz w:val="18"/>
              </w:rPr>
            </w:r>
            <w:r>
              <w:rPr>
                <w:rFonts w:ascii="Aptos" w:hAnsi="Aptos"/>
                <w:b w:val="0"/>
                <w:sz w:val="18"/>
              </w:rPr>
              <w:t>HR Director</w:t>
            </w:r>
          </w:p>
        </w:tc>
        <w:tc>
          <w:tcPr>
            <w:tcW w:type="dxa" w:w="6048"/>
            <w:vAlign w:val="top"/>
          </w:tcPr>
          <w:p>
            <w:r>
              <w:rPr>
                <w:rFonts w:ascii="Aptos" w:hAnsi="Aptos"/>
                <w:sz w:val="18"/>
              </w:rPr>
            </w:r>
            <w:r>
              <w:rPr>
                <w:rFonts w:ascii="Aptos" w:hAnsi="Aptos"/>
                <w:b w:val="0"/>
                <w:sz w:val="18"/>
              </w:rPr>
              <w:t>Involved in BU/HRM routing; acknowledged at least one exclusion from HRM discussions per user context.</w:t>
            </w:r>
          </w:p>
        </w:tc>
      </w:tr>
      <w:tr>
        <w:tc>
          <w:tcPr>
            <w:tcW w:type="dxa" w:w="2160"/>
            <w:vAlign w:val="top"/>
          </w:tcPr>
          <w:p>
            <w:r>
              <w:rPr>
                <w:rFonts w:ascii="Aptos" w:hAnsi="Aptos"/>
                <w:sz w:val="18"/>
              </w:rPr>
            </w:r>
            <w:r>
              <w:rPr>
                <w:rFonts w:ascii="Aptos" w:hAnsi="Aptos"/>
                <w:b w:val="0"/>
                <w:sz w:val="18"/>
              </w:rPr>
              <w:t>Jasmin Pintor</w:t>
            </w:r>
          </w:p>
        </w:tc>
        <w:tc>
          <w:tcPr>
            <w:tcW w:type="dxa" w:w="2592"/>
            <w:vAlign w:val="top"/>
          </w:tcPr>
          <w:p>
            <w:r>
              <w:rPr>
                <w:rFonts w:ascii="Aptos" w:hAnsi="Aptos"/>
                <w:sz w:val="18"/>
              </w:rPr>
            </w:r>
            <w:r>
              <w:rPr>
                <w:rFonts w:ascii="Aptos" w:hAnsi="Aptos"/>
                <w:b w:val="0"/>
                <w:sz w:val="18"/>
              </w:rPr>
              <w:t>HR Manager</w:t>
            </w:r>
          </w:p>
        </w:tc>
        <w:tc>
          <w:tcPr>
            <w:tcW w:type="dxa" w:w="6048"/>
            <w:vAlign w:val="top"/>
          </w:tcPr>
          <w:p>
            <w:r>
              <w:rPr>
                <w:rFonts w:ascii="Aptos" w:hAnsi="Aptos"/>
                <w:sz w:val="18"/>
              </w:rPr>
            </w:r>
            <w:r>
              <w:rPr>
                <w:rFonts w:ascii="Aptos" w:hAnsi="Aptos"/>
                <w:b w:val="0"/>
                <w:sz w:val="18"/>
              </w:rPr>
              <w:t>Example of BU HR routing directly to Jordyn / around on-project HR in recent email thread.</w:t>
            </w:r>
          </w:p>
        </w:tc>
      </w:tr>
      <w:tr>
        <w:tc>
          <w:tcPr>
            <w:tcW w:type="dxa" w:w="2160"/>
            <w:vAlign w:val="top"/>
          </w:tcPr>
          <w:p>
            <w:r>
              <w:rPr>
                <w:rFonts w:ascii="Aptos" w:hAnsi="Aptos"/>
                <w:sz w:val="18"/>
              </w:rPr>
            </w:r>
            <w:r>
              <w:rPr>
                <w:rFonts w:ascii="Aptos" w:hAnsi="Aptos"/>
                <w:b w:val="0"/>
                <w:sz w:val="18"/>
              </w:rPr>
              <w:t>Jordyn Waters</w:t>
            </w:r>
          </w:p>
        </w:tc>
        <w:tc>
          <w:tcPr>
            <w:tcW w:type="dxa" w:w="2592"/>
            <w:vAlign w:val="top"/>
          </w:tcPr>
          <w:p>
            <w:r>
              <w:rPr>
                <w:rFonts w:ascii="Aptos" w:hAnsi="Aptos"/>
                <w:sz w:val="18"/>
              </w:rPr>
            </w:r>
            <w:r>
              <w:rPr>
                <w:rFonts w:ascii="Aptos" w:hAnsi="Aptos"/>
                <w:b w:val="0"/>
                <w:sz w:val="18"/>
              </w:rPr>
              <w:t>Direct report</w:t>
            </w:r>
          </w:p>
        </w:tc>
        <w:tc>
          <w:tcPr>
            <w:tcW w:type="dxa" w:w="6048"/>
            <w:vAlign w:val="top"/>
          </w:tcPr>
          <w:p>
            <w:r>
              <w:rPr>
                <w:rFonts w:ascii="Aptos" w:hAnsi="Aptos"/>
                <w:sz w:val="18"/>
              </w:rPr>
            </w:r>
            <w:r>
              <w:rPr>
                <w:rFonts w:ascii="Aptos" w:hAnsi="Aptos"/>
                <w:b w:val="0"/>
                <w:sz w:val="18"/>
              </w:rPr>
              <w:t>Directly engaged in some HR communications without initial routing through Garrett.</w:t>
            </w:r>
          </w:p>
        </w:tc>
      </w:tr>
      <w:tr>
        <w:tc>
          <w:tcPr>
            <w:tcW w:type="dxa" w:w="2160"/>
            <w:vAlign w:val="top"/>
          </w:tcPr>
          <w:p>
            <w:r>
              <w:rPr>
                <w:rFonts w:ascii="Aptos" w:hAnsi="Aptos"/>
                <w:sz w:val="18"/>
              </w:rPr>
            </w:r>
            <w:r>
              <w:rPr>
                <w:rFonts w:ascii="Aptos" w:hAnsi="Aptos"/>
                <w:b w:val="0"/>
                <w:sz w:val="18"/>
              </w:rPr>
              <w:t>Jill Laruse</w:t>
            </w:r>
          </w:p>
        </w:tc>
        <w:tc>
          <w:tcPr>
            <w:tcW w:type="dxa" w:w="2592"/>
            <w:vAlign w:val="top"/>
          </w:tcPr>
          <w:p>
            <w:r>
              <w:rPr>
                <w:rFonts w:ascii="Aptos" w:hAnsi="Aptos"/>
                <w:sz w:val="18"/>
              </w:rPr>
            </w:r>
            <w:r>
              <w:rPr>
                <w:rFonts w:ascii="Aptos" w:hAnsi="Aptos"/>
                <w:b w:val="0"/>
                <w:sz w:val="18"/>
              </w:rPr>
              <w:t>HR Manager / support</w:t>
            </w:r>
          </w:p>
        </w:tc>
        <w:tc>
          <w:tcPr>
            <w:tcW w:type="dxa" w:w="6048"/>
            <w:vAlign w:val="top"/>
          </w:tcPr>
          <w:p>
            <w:r>
              <w:rPr>
                <w:rFonts w:ascii="Aptos" w:hAnsi="Aptos"/>
                <w:sz w:val="18"/>
              </w:rPr>
            </w:r>
            <w:r>
              <w:rPr>
                <w:rFonts w:ascii="Aptos" w:hAnsi="Aptos"/>
                <w:b w:val="0"/>
                <w:sz w:val="18"/>
              </w:rPr>
              <w:t>Brought in to assist with presentation / rollout; operationally understandable but reinforces support optics.</w:t>
            </w:r>
          </w:p>
        </w:tc>
      </w:tr>
      <w:tr>
        <w:tc>
          <w:tcPr>
            <w:tcW w:type="dxa" w:w="2160"/>
            <w:vAlign w:val="top"/>
          </w:tcPr>
          <w:p>
            <w:r>
              <w:rPr>
                <w:rFonts w:ascii="Aptos" w:hAnsi="Aptos"/>
                <w:sz w:val="18"/>
              </w:rPr>
            </w:r>
            <w:r>
              <w:rPr>
                <w:rFonts w:ascii="Aptos" w:hAnsi="Aptos"/>
                <w:b w:val="0"/>
                <w:sz w:val="18"/>
              </w:rPr>
              <w:t>Tandee Butler</w:t>
            </w:r>
          </w:p>
        </w:tc>
        <w:tc>
          <w:tcPr>
            <w:tcW w:type="dxa" w:w="2592"/>
            <w:vAlign w:val="top"/>
          </w:tcPr>
          <w:p>
            <w:r>
              <w:rPr>
                <w:rFonts w:ascii="Aptos" w:hAnsi="Aptos"/>
                <w:sz w:val="18"/>
              </w:rPr>
            </w:r>
            <w:r>
              <w:rPr>
                <w:rFonts w:ascii="Aptos" w:hAnsi="Aptos"/>
                <w:b w:val="0"/>
                <w:sz w:val="18"/>
              </w:rPr>
              <w:t>Admin resource</w:t>
            </w:r>
          </w:p>
        </w:tc>
        <w:tc>
          <w:tcPr>
            <w:tcW w:type="dxa" w:w="6048"/>
            <w:vAlign w:val="top"/>
          </w:tcPr>
          <w:p>
            <w:r>
              <w:rPr>
                <w:rFonts w:ascii="Aptos" w:hAnsi="Aptos"/>
                <w:sz w:val="18"/>
              </w:rPr>
            </w:r>
            <w:r>
              <w:rPr>
                <w:rFonts w:ascii="Aptos" w:hAnsi="Aptos"/>
                <w:b w:val="0"/>
                <w:sz w:val="18"/>
              </w:rPr>
              <w:t>Subject of role clarity / expectations / authority example.</w:t>
            </w:r>
          </w:p>
        </w:tc>
      </w:tr>
    </w:tbl>
    <w:p/>
    <w:p>
      <w:pPr>
        <w:pStyle w:val="Heading1"/>
      </w:pPr>
      <w:r>
        <w:t>3. Master Timeline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shd w:fill="1F4E79"/>
            <w:vAlign w:val="center"/>
          </w:tcPr>
          <w:p>
            <w:pPr>
              <w:jc w:val="center"/>
            </w:pPr>
            <w:r>
              <w:rPr>
                <w:rFonts w:ascii="Aptos" w:hAnsi="Aptos"/>
                <w:sz w:val="18"/>
              </w:rPr>
            </w:r>
            <w:r>
              <w:rPr>
                <w:rFonts w:ascii="Aptos" w:hAnsi="Aptos"/>
                <w:b/>
                <w:color w:val="FFFFFF"/>
                <w:sz w:val="18"/>
              </w:rPr>
              <w:t>Timeframe</w:t>
            </w:r>
          </w:p>
        </w:tc>
        <w:tc>
          <w:tcPr>
            <w:tcW w:type="dxa" w:w="2304"/>
            <w:shd w:fill="1F4E79"/>
            <w:vAlign w:val="center"/>
          </w:tcPr>
          <w:p>
            <w:pPr>
              <w:jc w:val="center"/>
            </w:pPr>
            <w:r>
              <w:rPr>
                <w:rFonts w:ascii="Aptos" w:hAnsi="Aptos"/>
                <w:sz w:val="18"/>
              </w:rPr>
            </w:r>
            <w:r>
              <w:rPr>
                <w:rFonts w:ascii="Aptos" w:hAnsi="Aptos"/>
                <w:b/>
                <w:color w:val="FFFFFF"/>
                <w:sz w:val="18"/>
              </w:rPr>
              <w:t>Event</w:t>
            </w:r>
          </w:p>
        </w:tc>
        <w:tc>
          <w:tcPr>
            <w:tcW w:type="dxa" w:w="1872"/>
            <w:shd w:fill="1F4E79"/>
            <w:vAlign w:val="center"/>
          </w:tcPr>
          <w:p>
            <w:pPr>
              <w:jc w:val="center"/>
            </w:pPr>
            <w:r>
              <w:rPr>
                <w:rFonts w:ascii="Aptos" w:hAnsi="Aptos"/>
                <w:sz w:val="18"/>
              </w:rPr>
            </w:r>
            <w:r>
              <w:rPr>
                <w:rFonts w:ascii="Aptos" w:hAnsi="Aptos"/>
                <w:b/>
                <w:color w:val="FFFFFF"/>
                <w:sz w:val="18"/>
              </w:rPr>
              <w:t>Initiator / owner</w:t>
            </w:r>
          </w:p>
        </w:tc>
        <w:tc>
          <w:tcPr>
            <w:tcW w:type="dxa" w:w="3312"/>
            <w:shd w:fill="1F4E79"/>
            <w:vAlign w:val="center"/>
          </w:tcPr>
          <w:p>
            <w:pPr>
              <w:jc w:val="center"/>
            </w:pPr>
            <w:r>
              <w:rPr>
                <w:rFonts w:ascii="Aptos" w:hAnsi="Aptos"/>
                <w:sz w:val="18"/>
              </w:rPr>
            </w:r>
            <w:r>
              <w:rPr>
                <w:rFonts w:ascii="Aptos" w:hAnsi="Aptos"/>
                <w:b/>
                <w:color w:val="FFFFFF"/>
                <w:sz w:val="18"/>
              </w:rPr>
              <w:t>Relevant facts</w:t>
            </w:r>
          </w:p>
        </w:tc>
        <w:tc>
          <w:tcPr>
            <w:tcW w:type="dxa" w:w="3312"/>
            <w:shd w:fill="1F4E79"/>
            <w:vAlign w:val="center"/>
          </w:tcPr>
          <w:p>
            <w:pPr>
              <w:jc w:val="center"/>
            </w:pPr>
            <w:r>
              <w:rPr>
                <w:rFonts w:ascii="Aptos" w:hAnsi="Aptos"/>
                <w:sz w:val="18"/>
              </w:rPr>
            </w:r>
            <w:r>
              <w:rPr>
                <w:rFonts w:ascii="Aptos" w:hAnsi="Aptos"/>
                <w:b/>
                <w:color w:val="FFFFFF"/>
                <w:sz w:val="18"/>
              </w:rPr>
              <w:t>Pattern impact</w:t>
            </w:r>
          </w:p>
        </w:tc>
      </w:tr>
      <w:tr>
        <w:tc>
          <w:tcPr>
            <w:tcW w:type="dxa" w:w="1440"/>
            <w:vAlign w:val="top"/>
          </w:tcPr>
          <w:p>
            <w:r>
              <w:rPr>
                <w:rFonts w:ascii="Aptos" w:hAnsi="Aptos"/>
                <w:sz w:val="18"/>
              </w:rPr>
            </w:r>
            <w:r>
              <w:rPr>
                <w:rFonts w:ascii="Aptos" w:hAnsi="Aptos"/>
                <w:b w:val="0"/>
                <w:sz w:val="18"/>
              </w:rPr>
              <w:t>Aug-Sep 2025</w:t>
            </w:r>
          </w:p>
        </w:tc>
        <w:tc>
          <w:tcPr>
            <w:tcW w:type="dxa" w:w="2304"/>
            <w:vAlign w:val="top"/>
          </w:tcPr>
          <w:p>
            <w:r>
              <w:rPr>
                <w:rFonts w:ascii="Aptos" w:hAnsi="Aptos"/>
                <w:sz w:val="18"/>
              </w:rPr>
            </w:r>
            <w:r>
              <w:rPr>
                <w:rFonts w:ascii="Aptos" w:hAnsi="Aptos"/>
                <w:b w:val="0"/>
                <w:sz w:val="18"/>
              </w:rPr>
              <w:t>CTS Lonestar / THM project structure develops</w:t>
            </w:r>
          </w:p>
        </w:tc>
        <w:tc>
          <w:tcPr>
            <w:tcW w:type="dxa" w:w="1872"/>
            <w:vAlign w:val="top"/>
          </w:tcPr>
          <w:p>
            <w:r>
              <w:rPr>
                <w:rFonts w:ascii="Aptos" w:hAnsi="Aptos"/>
                <w:sz w:val="18"/>
              </w:rPr>
            </w:r>
            <w:r>
              <w:rPr>
                <w:rFonts w:ascii="Aptos" w:hAnsi="Aptos"/>
                <w:b w:val="0"/>
                <w:sz w:val="18"/>
              </w:rPr>
              <w:t>Project leadership / JV leadership</w:t>
            </w:r>
          </w:p>
        </w:tc>
        <w:tc>
          <w:tcPr>
            <w:tcW w:type="dxa" w:w="3312"/>
            <w:vAlign w:val="top"/>
          </w:tcPr>
          <w:p>
            <w:r>
              <w:rPr>
                <w:rFonts w:ascii="Aptos" w:hAnsi="Aptos"/>
                <w:sz w:val="18"/>
              </w:rPr>
            </w:r>
            <w:r>
              <w:rPr>
                <w:rFonts w:ascii="Aptos" w:hAnsi="Aptos"/>
                <w:b w:val="0"/>
                <w:sz w:val="18"/>
              </w:rPr>
              <w:t>Project roles and partner structure were being formed before the on-site HR operating model had a mature cadence.</w:t>
            </w:r>
          </w:p>
        </w:tc>
        <w:tc>
          <w:tcPr>
            <w:tcW w:type="dxa" w:w="3312"/>
            <w:vAlign w:val="top"/>
          </w:tcPr>
          <w:p>
            <w:r>
              <w:rPr>
                <w:rFonts w:ascii="Aptos" w:hAnsi="Aptos"/>
                <w:sz w:val="18"/>
              </w:rPr>
            </w:r>
            <w:r>
              <w:rPr>
                <w:rFonts w:ascii="Aptos" w:hAnsi="Aptos"/>
                <w:b w:val="0"/>
                <w:sz w:val="18"/>
              </w:rPr>
              <w:t>Establishes upstream conditions where HR ownership could later be formed around, rather than through, project HR.</w:t>
            </w:r>
          </w:p>
        </w:tc>
      </w:tr>
      <w:tr>
        <w:tc>
          <w:tcPr>
            <w:tcW w:type="dxa" w:w="1440"/>
            <w:vAlign w:val="top"/>
          </w:tcPr>
          <w:p>
            <w:r>
              <w:rPr>
                <w:rFonts w:ascii="Aptos" w:hAnsi="Aptos"/>
                <w:sz w:val="18"/>
              </w:rPr>
            </w:r>
            <w:r>
              <w:rPr>
                <w:rFonts w:ascii="Aptos" w:hAnsi="Aptos"/>
                <w:b w:val="0"/>
                <w:sz w:val="18"/>
              </w:rPr>
              <w:t>Late 2025</w:t>
            </w:r>
          </w:p>
        </w:tc>
        <w:tc>
          <w:tcPr>
            <w:tcW w:type="dxa" w:w="2304"/>
            <w:vAlign w:val="top"/>
          </w:tcPr>
          <w:p>
            <w:r>
              <w:rPr>
                <w:rFonts w:ascii="Aptos" w:hAnsi="Aptos"/>
                <w:sz w:val="18"/>
              </w:rPr>
            </w:r>
            <w:r>
              <w:rPr>
                <w:rFonts w:ascii="Aptos" w:hAnsi="Aptos"/>
                <w:b w:val="0"/>
                <w:sz w:val="18"/>
              </w:rPr>
              <w:t>Unresolved admin role clarity begins</w:t>
            </w:r>
          </w:p>
        </w:tc>
        <w:tc>
          <w:tcPr>
            <w:tcW w:type="dxa" w:w="1872"/>
            <w:vAlign w:val="top"/>
          </w:tcPr>
          <w:p>
            <w:r>
              <w:rPr>
                <w:rFonts w:ascii="Aptos" w:hAnsi="Aptos"/>
                <w:sz w:val="18"/>
              </w:rPr>
            </w:r>
            <w:r>
              <w:rPr>
                <w:rFonts w:ascii="Aptos" w:hAnsi="Aptos"/>
                <w:b w:val="0"/>
                <w:sz w:val="18"/>
              </w:rPr>
              <w:t>Diffuse; project/admin leadership</w:t>
            </w:r>
          </w:p>
        </w:tc>
        <w:tc>
          <w:tcPr>
            <w:tcW w:type="dxa" w:w="3312"/>
            <w:vAlign w:val="top"/>
          </w:tcPr>
          <w:p>
            <w:r>
              <w:rPr>
                <w:rFonts w:ascii="Aptos" w:hAnsi="Aptos"/>
                <w:sz w:val="18"/>
              </w:rPr>
            </w:r>
            <w:r>
              <w:rPr>
                <w:rFonts w:ascii="Aptos" w:hAnsi="Aptos"/>
                <w:b w:val="0"/>
                <w:sz w:val="18"/>
              </w:rPr>
              <w:t>Questions regarding admin roles, responsibilities, and ownership surfaced and continued without full closure.</w:t>
            </w:r>
          </w:p>
        </w:tc>
        <w:tc>
          <w:tcPr>
            <w:tcW w:type="dxa" w:w="3312"/>
            <w:vAlign w:val="top"/>
          </w:tcPr>
          <w:p>
            <w:r>
              <w:rPr>
                <w:rFonts w:ascii="Aptos" w:hAnsi="Aptos"/>
                <w:sz w:val="18"/>
              </w:rPr>
            </w:r>
            <w:r>
              <w:rPr>
                <w:rFonts w:ascii="Aptos" w:hAnsi="Aptos"/>
                <w:b w:val="0"/>
                <w:sz w:val="18"/>
              </w:rPr>
              <w:t>Creates baseline ambiguity where HR authority and admin accountability could become fragmented.</w:t>
            </w:r>
          </w:p>
        </w:tc>
      </w:tr>
      <w:tr>
        <w:tc>
          <w:tcPr>
            <w:tcW w:type="dxa" w:w="1440"/>
            <w:vAlign w:val="top"/>
          </w:tcPr>
          <w:p>
            <w:r>
              <w:rPr>
                <w:rFonts w:ascii="Aptos" w:hAnsi="Aptos"/>
                <w:sz w:val="18"/>
              </w:rPr>
            </w:r>
            <w:r>
              <w:rPr>
                <w:rFonts w:ascii="Aptos" w:hAnsi="Aptos"/>
                <w:b w:val="0"/>
                <w:sz w:val="18"/>
              </w:rPr>
              <w:t>Dec 2025 - Apr 2026</w:t>
            </w:r>
          </w:p>
        </w:tc>
        <w:tc>
          <w:tcPr>
            <w:tcW w:type="dxa" w:w="2304"/>
            <w:vAlign w:val="top"/>
          </w:tcPr>
          <w:p>
            <w:r>
              <w:rPr>
                <w:rFonts w:ascii="Aptos" w:hAnsi="Aptos"/>
                <w:sz w:val="18"/>
              </w:rPr>
            </w:r>
            <w:r>
              <w:rPr>
                <w:rFonts w:ascii="Aptos" w:hAnsi="Aptos"/>
                <w:b w:val="0"/>
                <w:sz w:val="18"/>
              </w:rPr>
              <w:t>Admin roles and Tandee Butler issues persist</w:t>
            </w:r>
          </w:p>
        </w:tc>
        <w:tc>
          <w:tcPr>
            <w:tcW w:type="dxa" w:w="1872"/>
            <w:vAlign w:val="top"/>
          </w:tcPr>
          <w:p>
            <w:r>
              <w:rPr>
                <w:rFonts w:ascii="Aptos" w:hAnsi="Aptos"/>
                <w:sz w:val="18"/>
              </w:rPr>
            </w:r>
            <w:r>
              <w:rPr>
                <w:rFonts w:ascii="Aptos" w:hAnsi="Aptos"/>
                <w:b w:val="0"/>
                <w:sz w:val="18"/>
              </w:rPr>
              <w:t>Project leadership / HR</w:t>
            </w:r>
          </w:p>
        </w:tc>
        <w:tc>
          <w:tcPr>
            <w:tcW w:type="dxa" w:w="3312"/>
            <w:vAlign w:val="top"/>
          </w:tcPr>
          <w:p>
            <w:r>
              <w:rPr>
                <w:rFonts w:ascii="Aptos" w:hAnsi="Aptos"/>
                <w:sz w:val="18"/>
              </w:rPr>
            </w:r>
            <w:r>
              <w:rPr>
                <w:rFonts w:ascii="Aptos" w:hAnsi="Aptos"/>
                <w:b w:val="0"/>
                <w:sz w:val="18"/>
              </w:rPr>
              <w:t>Tandee received expectations, training, and coaching from executives/admin leadership; user later reinforced expectations without issuing discipline.</w:t>
            </w:r>
          </w:p>
        </w:tc>
        <w:tc>
          <w:tcPr>
            <w:tcW w:type="dxa" w:w="3312"/>
            <w:vAlign w:val="top"/>
          </w:tcPr>
          <w:p>
            <w:r>
              <w:rPr>
                <w:rFonts w:ascii="Aptos" w:hAnsi="Aptos"/>
                <w:sz w:val="18"/>
              </w:rPr>
            </w:r>
            <w:r>
              <w:rPr>
                <w:rFonts w:ascii="Aptos" w:hAnsi="Aptos"/>
                <w:b w:val="0"/>
                <w:sz w:val="18"/>
              </w:rPr>
              <w:t>User reports Corina then referenced involving Sydney/Jake to "investigate," creating uncertainty around HR authority to reinforce expectations.</w:t>
            </w:r>
          </w:p>
        </w:tc>
      </w:tr>
      <w:tr>
        <w:tc>
          <w:tcPr>
            <w:tcW w:type="dxa" w:w="1440"/>
            <w:vAlign w:val="top"/>
          </w:tcPr>
          <w:p>
            <w:r>
              <w:rPr>
                <w:rFonts w:ascii="Aptos" w:hAnsi="Aptos"/>
                <w:sz w:val="18"/>
              </w:rPr>
            </w:r>
            <w:r>
              <w:rPr>
                <w:rFonts w:ascii="Aptos" w:hAnsi="Aptos"/>
                <w:b w:val="0"/>
                <w:sz w:val="18"/>
              </w:rPr>
              <w:t>Jan 7, 2026</w:t>
            </w:r>
          </w:p>
        </w:tc>
        <w:tc>
          <w:tcPr>
            <w:tcW w:type="dxa" w:w="2304"/>
            <w:vAlign w:val="top"/>
          </w:tcPr>
          <w:p>
            <w:r>
              <w:rPr>
                <w:rFonts w:ascii="Aptos" w:hAnsi="Aptos"/>
                <w:sz w:val="18"/>
              </w:rPr>
            </w:r>
            <w:r>
              <w:rPr>
                <w:rFonts w:ascii="Aptos" w:hAnsi="Aptos"/>
                <w:b w:val="0"/>
                <w:sz w:val="18"/>
              </w:rPr>
              <w:t>Project culture / right-environment rollout</w:t>
            </w:r>
          </w:p>
        </w:tc>
        <w:tc>
          <w:tcPr>
            <w:tcW w:type="dxa" w:w="1872"/>
            <w:vAlign w:val="top"/>
          </w:tcPr>
          <w:p>
            <w:r>
              <w:rPr>
                <w:rFonts w:ascii="Aptos" w:hAnsi="Aptos"/>
                <w:sz w:val="18"/>
              </w:rPr>
            </w:r>
            <w:r>
              <w:rPr>
                <w:rFonts w:ascii="Aptos" w:hAnsi="Aptos"/>
                <w:b w:val="0"/>
                <w:sz w:val="18"/>
              </w:rPr>
              <w:t>Project leadership</w:t>
            </w:r>
          </w:p>
        </w:tc>
        <w:tc>
          <w:tcPr>
            <w:tcW w:type="dxa" w:w="3312"/>
            <w:vAlign w:val="top"/>
          </w:tcPr>
          <w:p>
            <w:r>
              <w:rPr>
                <w:rFonts w:ascii="Aptos" w:hAnsi="Aptos"/>
                <w:sz w:val="18"/>
              </w:rPr>
            </w:r>
            <w:r>
              <w:rPr>
                <w:rFonts w:ascii="Aptos" w:hAnsi="Aptos"/>
                <w:b w:val="0"/>
                <w:sz w:val="18"/>
              </w:rPr>
              <w:t>Formal project culture expectations were set in a senior forum.</w:t>
            </w:r>
          </w:p>
        </w:tc>
        <w:tc>
          <w:tcPr>
            <w:tcW w:type="dxa" w:w="3312"/>
            <w:vAlign w:val="top"/>
          </w:tcPr>
          <w:p>
            <w:r>
              <w:rPr>
                <w:rFonts w:ascii="Aptos" w:hAnsi="Aptos"/>
                <w:sz w:val="18"/>
              </w:rPr>
            </w:r>
            <w:r>
              <w:rPr>
                <w:rFonts w:ascii="Aptos" w:hAnsi="Aptos"/>
                <w:b w:val="0"/>
                <w:sz w:val="18"/>
              </w:rPr>
              <w:t>Shows formal inclusion in some forums, but not necessarily operational ownership in later decisions.</w:t>
            </w:r>
          </w:p>
        </w:tc>
      </w:tr>
      <w:tr>
        <w:tc>
          <w:tcPr>
            <w:tcW w:type="dxa" w:w="1440"/>
            <w:vAlign w:val="top"/>
          </w:tcPr>
          <w:p>
            <w:r>
              <w:rPr>
                <w:rFonts w:ascii="Aptos" w:hAnsi="Aptos"/>
                <w:sz w:val="18"/>
              </w:rPr>
            </w:r>
            <w:r>
              <w:rPr>
                <w:rFonts w:ascii="Aptos" w:hAnsi="Aptos"/>
                <w:b w:val="0"/>
                <w:sz w:val="18"/>
              </w:rPr>
              <w:t>Feb 6, 2026</w:t>
            </w:r>
          </w:p>
        </w:tc>
        <w:tc>
          <w:tcPr>
            <w:tcW w:type="dxa" w:w="2304"/>
            <w:vAlign w:val="top"/>
          </w:tcPr>
          <w:p>
            <w:r>
              <w:rPr>
                <w:rFonts w:ascii="Aptos" w:hAnsi="Aptos"/>
                <w:sz w:val="18"/>
              </w:rPr>
            </w:r>
            <w:r>
              <w:rPr>
                <w:rFonts w:ascii="Aptos" w:hAnsi="Aptos"/>
                <w:b w:val="0"/>
                <w:sz w:val="18"/>
              </w:rPr>
              <w:t>CTS account setup / onboarding training</w:t>
            </w:r>
          </w:p>
        </w:tc>
        <w:tc>
          <w:tcPr>
            <w:tcW w:type="dxa" w:w="1872"/>
            <w:vAlign w:val="top"/>
          </w:tcPr>
          <w:p>
            <w:r>
              <w:rPr>
                <w:rFonts w:ascii="Aptos" w:hAnsi="Aptos"/>
                <w:sz w:val="18"/>
              </w:rPr>
            </w:r>
            <w:r>
              <w:rPr>
                <w:rFonts w:ascii="Aptos" w:hAnsi="Aptos"/>
                <w:b w:val="0"/>
                <w:sz w:val="18"/>
              </w:rPr>
              <w:t>Jessica / onboarding admin layer</w:t>
            </w:r>
          </w:p>
        </w:tc>
        <w:tc>
          <w:tcPr>
            <w:tcW w:type="dxa" w:w="3312"/>
            <w:vAlign w:val="top"/>
          </w:tcPr>
          <w:p>
            <w:r>
              <w:rPr>
                <w:rFonts w:ascii="Aptos" w:hAnsi="Aptos"/>
                <w:sz w:val="18"/>
              </w:rPr>
            </w:r>
            <w:r>
              <w:rPr>
                <w:rFonts w:ascii="Aptos" w:hAnsi="Aptos"/>
                <w:b w:val="0"/>
                <w:sz w:val="18"/>
              </w:rPr>
              <w:t>Onboarding mechanics flowed through admin channels with Garrett trained on process mechanics.</w:t>
            </w:r>
          </w:p>
        </w:tc>
        <w:tc>
          <w:tcPr>
            <w:tcW w:type="dxa" w:w="3312"/>
            <w:vAlign w:val="top"/>
          </w:tcPr>
          <w:p>
            <w:r>
              <w:rPr>
                <w:rFonts w:ascii="Aptos" w:hAnsi="Aptos"/>
                <w:sz w:val="18"/>
              </w:rPr>
            </w:r>
            <w:r>
              <w:rPr>
                <w:rFonts w:ascii="Aptos" w:hAnsi="Aptos"/>
                <w:b w:val="0"/>
                <w:sz w:val="18"/>
              </w:rPr>
              <w:t>Shows distributed onboarding execution and potential ownership blur.</w:t>
            </w:r>
          </w:p>
        </w:tc>
      </w:tr>
      <w:tr>
        <w:tc>
          <w:tcPr>
            <w:tcW w:type="dxa" w:w="1440"/>
            <w:vAlign w:val="top"/>
          </w:tcPr>
          <w:p>
            <w:r>
              <w:rPr>
                <w:rFonts w:ascii="Aptos" w:hAnsi="Aptos"/>
                <w:sz w:val="18"/>
              </w:rPr>
            </w:r>
            <w:r>
              <w:rPr>
                <w:rFonts w:ascii="Aptos" w:hAnsi="Aptos"/>
                <w:b w:val="0"/>
                <w:sz w:val="18"/>
              </w:rPr>
              <w:t>Early Mar 2026</w:t>
            </w:r>
          </w:p>
        </w:tc>
        <w:tc>
          <w:tcPr>
            <w:tcW w:type="dxa" w:w="2304"/>
            <w:vAlign w:val="top"/>
          </w:tcPr>
          <w:p>
            <w:r>
              <w:rPr>
                <w:rFonts w:ascii="Aptos" w:hAnsi="Aptos"/>
                <w:sz w:val="18"/>
              </w:rPr>
            </w:r>
            <w:r>
              <w:rPr>
                <w:rFonts w:ascii="Aptos" w:hAnsi="Aptos"/>
                <w:b w:val="0"/>
                <w:sz w:val="18"/>
              </w:rPr>
              <w:t>Ethics / compliance coordination begins with HQ</w:t>
            </w:r>
          </w:p>
        </w:tc>
        <w:tc>
          <w:tcPr>
            <w:tcW w:type="dxa" w:w="1872"/>
            <w:vAlign w:val="top"/>
          </w:tcPr>
          <w:p>
            <w:r>
              <w:rPr>
                <w:rFonts w:ascii="Aptos" w:hAnsi="Aptos"/>
                <w:sz w:val="18"/>
              </w:rPr>
            </w:r>
            <w:r>
              <w:rPr>
                <w:rFonts w:ascii="Aptos" w:hAnsi="Aptos"/>
                <w:b w:val="0"/>
                <w:sz w:val="18"/>
              </w:rPr>
              <w:t>Corina / HQ resource Ken Winfield</w:t>
            </w:r>
          </w:p>
        </w:tc>
        <w:tc>
          <w:tcPr>
            <w:tcW w:type="dxa" w:w="3312"/>
            <w:vAlign w:val="top"/>
          </w:tcPr>
          <w:p>
            <w:r>
              <w:rPr>
                <w:rFonts w:ascii="Aptos" w:hAnsi="Aptos"/>
                <w:sz w:val="18"/>
              </w:rPr>
            </w:r>
            <w:r>
              <w:rPr>
                <w:rFonts w:ascii="Aptos" w:hAnsi="Aptos"/>
                <w:b w:val="0"/>
                <w:sz w:val="18"/>
              </w:rPr>
              <w:t>Early communication did not clearly position Garrett or his team as the on-project HR ownership layer.</w:t>
            </w:r>
          </w:p>
        </w:tc>
        <w:tc>
          <w:tcPr>
            <w:tcW w:type="dxa" w:w="3312"/>
            <w:vAlign w:val="top"/>
          </w:tcPr>
          <w:p>
            <w:r>
              <w:rPr>
                <w:rFonts w:ascii="Aptos" w:hAnsi="Aptos"/>
                <w:sz w:val="18"/>
              </w:rPr>
            </w:r>
            <w:r>
              <w:rPr>
                <w:rFonts w:ascii="Aptos" w:hAnsi="Aptos"/>
                <w:b w:val="0"/>
                <w:sz w:val="18"/>
              </w:rPr>
              <w:t>Sets up later contradiction: leadership asks Garrett for updates on work he was not positioned to lead from inception.</w:t>
            </w:r>
          </w:p>
        </w:tc>
      </w:tr>
      <w:tr>
        <w:tc>
          <w:tcPr>
            <w:tcW w:type="dxa" w:w="1440"/>
            <w:vAlign w:val="top"/>
          </w:tcPr>
          <w:p>
            <w:r>
              <w:rPr>
                <w:rFonts w:ascii="Aptos" w:hAnsi="Aptos"/>
                <w:sz w:val="18"/>
              </w:rPr>
            </w:r>
            <w:r>
              <w:rPr>
                <w:rFonts w:ascii="Aptos" w:hAnsi="Aptos"/>
                <w:b w:val="0"/>
                <w:sz w:val="18"/>
              </w:rPr>
              <w:t>Mar-Apr 2026</w:t>
            </w:r>
          </w:p>
        </w:tc>
        <w:tc>
          <w:tcPr>
            <w:tcW w:type="dxa" w:w="2304"/>
            <w:vAlign w:val="top"/>
          </w:tcPr>
          <w:p>
            <w:r>
              <w:rPr>
                <w:rFonts w:ascii="Aptos" w:hAnsi="Aptos"/>
                <w:sz w:val="18"/>
              </w:rPr>
            </w:r>
            <w:r>
              <w:rPr>
                <w:rFonts w:ascii="Aptos" w:hAnsi="Aptos"/>
                <w:b w:val="0"/>
                <w:sz w:val="18"/>
              </w:rPr>
              <w:t>BME / ethics / compliance / Our House Our Home workstreams continue</w:t>
            </w:r>
          </w:p>
        </w:tc>
        <w:tc>
          <w:tcPr>
            <w:tcW w:type="dxa" w:w="1872"/>
            <w:vAlign w:val="top"/>
          </w:tcPr>
          <w:p>
            <w:r>
              <w:rPr>
                <w:rFonts w:ascii="Aptos" w:hAnsi="Aptos"/>
                <w:sz w:val="18"/>
              </w:rPr>
            </w:r>
            <w:r>
              <w:rPr>
                <w:rFonts w:ascii="Aptos" w:hAnsi="Aptos"/>
                <w:b w:val="0"/>
                <w:sz w:val="18"/>
              </w:rPr>
              <w:t>Corina / HQ / HR</w:t>
            </w:r>
          </w:p>
        </w:tc>
        <w:tc>
          <w:tcPr>
            <w:tcW w:type="dxa" w:w="3312"/>
            <w:vAlign w:val="top"/>
          </w:tcPr>
          <w:p>
            <w:r>
              <w:rPr>
                <w:rFonts w:ascii="Aptos" w:hAnsi="Aptos"/>
                <w:sz w:val="18"/>
              </w:rPr>
            </w:r>
            <w:r>
              <w:rPr>
                <w:rFonts w:ascii="Aptos" w:hAnsi="Aptos"/>
                <w:b w:val="0"/>
                <w:sz w:val="18"/>
              </w:rPr>
              <w:t>User reports Corina clarified ethics/compliance is separate from BME and Our House Our Home, but all remain examples of HR workstreams not consistently routed through project HR from the start.</w:t>
            </w:r>
          </w:p>
        </w:tc>
        <w:tc>
          <w:tcPr>
            <w:tcW w:type="dxa" w:w="3312"/>
            <w:vAlign w:val="top"/>
          </w:tcPr>
          <w:p>
            <w:r>
              <w:rPr>
                <w:rFonts w:ascii="Aptos" w:hAnsi="Aptos"/>
                <w:sz w:val="18"/>
              </w:rPr>
            </w:r>
            <w:r>
              <w:rPr>
                <w:rFonts w:ascii="Aptos" w:hAnsi="Aptos"/>
                <w:b w:val="0"/>
                <w:sz w:val="18"/>
              </w:rPr>
              <w:t>Separate labels do not remove the underlying routing issue: project HR was not consistently positioned as owner.</w:t>
            </w:r>
          </w:p>
        </w:tc>
      </w:tr>
      <w:tr>
        <w:tc>
          <w:tcPr>
            <w:tcW w:type="dxa" w:w="1440"/>
            <w:vAlign w:val="top"/>
          </w:tcPr>
          <w:p>
            <w:r>
              <w:rPr>
                <w:rFonts w:ascii="Aptos" w:hAnsi="Aptos"/>
                <w:sz w:val="18"/>
              </w:rPr>
            </w:r>
            <w:r>
              <w:rPr>
                <w:rFonts w:ascii="Aptos" w:hAnsi="Aptos"/>
                <w:b w:val="0"/>
                <w:sz w:val="18"/>
              </w:rPr>
              <w:t>Mar 19, 2026</w:t>
            </w:r>
          </w:p>
        </w:tc>
        <w:tc>
          <w:tcPr>
            <w:tcW w:type="dxa" w:w="2304"/>
            <w:vAlign w:val="top"/>
          </w:tcPr>
          <w:p>
            <w:r>
              <w:rPr>
                <w:rFonts w:ascii="Aptos" w:hAnsi="Aptos"/>
                <w:sz w:val="18"/>
              </w:rPr>
            </w:r>
            <w:r>
              <w:rPr>
                <w:rFonts w:ascii="Aptos" w:hAnsi="Aptos"/>
                <w:b w:val="0"/>
                <w:sz w:val="18"/>
              </w:rPr>
              <w:t>HR/Ops Connect shows two-tier HR structure</w:t>
            </w:r>
          </w:p>
        </w:tc>
        <w:tc>
          <w:tcPr>
            <w:tcW w:type="dxa" w:w="1872"/>
            <w:vAlign w:val="top"/>
          </w:tcPr>
          <w:p>
            <w:r>
              <w:rPr>
                <w:rFonts w:ascii="Aptos" w:hAnsi="Aptos"/>
                <w:sz w:val="18"/>
              </w:rPr>
            </w:r>
            <w:r>
              <w:rPr>
                <w:rFonts w:ascii="Aptos" w:hAnsi="Aptos"/>
                <w:b w:val="0"/>
                <w:sz w:val="18"/>
              </w:rPr>
              <w:t>Corey chairs; Corina/HQ content involved</w:t>
            </w:r>
          </w:p>
        </w:tc>
        <w:tc>
          <w:tcPr>
            <w:tcW w:type="dxa" w:w="3312"/>
            <w:vAlign w:val="top"/>
          </w:tcPr>
          <w:p>
            <w:r>
              <w:rPr>
                <w:rFonts w:ascii="Aptos" w:hAnsi="Aptos"/>
                <w:sz w:val="18"/>
              </w:rPr>
            </w:r>
            <w:r>
              <w:rPr>
                <w:rFonts w:ascii="Aptos" w:hAnsi="Aptos"/>
                <w:b w:val="0"/>
                <w:sz w:val="18"/>
              </w:rPr>
              <w:t>Ethics/compliance work described as occurring behind the scenes, while on-site HR is expected to drive partner/project execution.</w:t>
            </w:r>
          </w:p>
        </w:tc>
        <w:tc>
          <w:tcPr>
            <w:tcW w:type="dxa" w:w="3312"/>
            <w:vAlign w:val="top"/>
          </w:tcPr>
          <w:p>
            <w:r>
              <w:rPr>
                <w:rFonts w:ascii="Aptos" w:hAnsi="Aptos"/>
                <w:sz w:val="18"/>
              </w:rPr>
            </w:r>
            <w:r>
              <w:rPr>
                <w:rFonts w:ascii="Aptos" w:hAnsi="Aptos"/>
                <w:b w:val="0"/>
                <w:sz w:val="18"/>
              </w:rPr>
              <w:t>Strong evidence of upstream content origination and downstream on-site accountability.</w:t>
            </w:r>
          </w:p>
        </w:tc>
      </w:tr>
      <w:tr>
        <w:tc>
          <w:tcPr>
            <w:tcW w:type="dxa" w:w="1440"/>
            <w:vAlign w:val="top"/>
          </w:tcPr>
          <w:p>
            <w:r>
              <w:rPr>
                <w:rFonts w:ascii="Aptos" w:hAnsi="Aptos"/>
                <w:sz w:val="18"/>
              </w:rPr>
            </w:r>
            <w:r>
              <w:rPr>
                <w:rFonts w:ascii="Aptos" w:hAnsi="Aptos"/>
                <w:b w:val="0"/>
                <w:sz w:val="18"/>
              </w:rPr>
              <w:t>Mar 31, 2026</w:t>
            </w:r>
          </w:p>
        </w:tc>
        <w:tc>
          <w:tcPr>
            <w:tcW w:type="dxa" w:w="2304"/>
            <w:vAlign w:val="top"/>
          </w:tcPr>
          <w:p>
            <w:r>
              <w:rPr>
                <w:rFonts w:ascii="Aptos" w:hAnsi="Aptos"/>
                <w:sz w:val="18"/>
              </w:rPr>
            </w:r>
            <w:r>
              <w:rPr>
                <w:rFonts w:ascii="Aptos" w:hAnsi="Aptos"/>
                <w:b w:val="0"/>
                <w:sz w:val="18"/>
              </w:rPr>
              <w:t>Q1 Quarterly / formal HR visibility</w:t>
            </w:r>
          </w:p>
        </w:tc>
        <w:tc>
          <w:tcPr>
            <w:tcW w:type="dxa" w:w="1872"/>
            <w:vAlign w:val="top"/>
          </w:tcPr>
          <w:p>
            <w:r>
              <w:rPr>
                <w:rFonts w:ascii="Aptos" w:hAnsi="Aptos"/>
                <w:sz w:val="18"/>
              </w:rPr>
            </w:r>
            <w:r>
              <w:rPr>
                <w:rFonts w:ascii="Aptos" w:hAnsi="Aptos"/>
                <w:b w:val="0"/>
                <w:sz w:val="18"/>
              </w:rPr>
              <w:t>Project leadership</w:t>
            </w:r>
          </w:p>
        </w:tc>
        <w:tc>
          <w:tcPr>
            <w:tcW w:type="dxa" w:w="3312"/>
            <w:vAlign w:val="top"/>
          </w:tcPr>
          <w:p>
            <w:r>
              <w:rPr>
                <w:rFonts w:ascii="Aptos" w:hAnsi="Aptos"/>
                <w:sz w:val="18"/>
              </w:rPr>
            </w:r>
            <w:r>
              <w:rPr>
                <w:rFonts w:ascii="Aptos" w:hAnsi="Aptos"/>
                <w:b w:val="0"/>
                <w:sz w:val="18"/>
              </w:rPr>
              <w:t>HR was included in formal leadership cadence.</w:t>
            </w:r>
          </w:p>
        </w:tc>
        <w:tc>
          <w:tcPr>
            <w:tcW w:type="dxa" w:w="3312"/>
            <w:vAlign w:val="top"/>
          </w:tcPr>
          <w:p>
            <w:r>
              <w:rPr>
                <w:rFonts w:ascii="Aptos" w:hAnsi="Aptos"/>
                <w:sz w:val="18"/>
              </w:rPr>
            </w:r>
            <w:r>
              <w:rPr>
                <w:rFonts w:ascii="Aptos" w:hAnsi="Aptos"/>
                <w:b w:val="0"/>
                <w:sz w:val="18"/>
              </w:rPr>
              <w:t>Important nuance: the issue is not total exclusion; it is inconsistent operational positioning.</w:t>
            </w:r>
          </w:p>
        </w:tc>
      </w:tr>
      <w:tr>
        <w:tc>
          <w:tcPr>
            <w:tcW w:type="dxa" w:w="1440"/>
            <w:vAlign w:val="top"/>
          </w:tcPr>
          <w:p>
            <w:r>
              <w:rPr>
                <w:rFonts w:ascii="Aptos" w:hAnsi="Aptos"/>
                <w:sz w:val="18"/>
              </w:rPr>
            </w:r>
            <w:r>
              <w:rPr>
                <w:rFonts w:ascii="Aptos" w:hAnsi="Aptos"/>
                <w:b w:val="0"/>
                <w:sz w:val="18"/>
              </w:rPr>
              <w:t>Apr 16, 2026</w:t>
            </w:r>
          </w:p>
        </w:tc>
        <w:tc>
          <w:tcPr>
            <w:tcW w:type="dxa" w:w="2304"/>
            <w:vAlign w:val="top"/>
          </w:tcPr>
          <w:p>
            <w:r>
              <w:rPr>
                <w:rFonts w:ascii="Aptos" w:hAnsi="Aptos"/>
                <w:sz w:val="18"/>
              </w:rPr>
            </w:r>
            <w:r>
              <w:rPr>
                <w:rFonts w:ascii="Aptos" w:hAnsi="Aptos"/>
                <w:b w:val="0"/>
                <w:sz w:val="18"/>
              </w:rPr>
              <w:t>HR/Ops Connect surfaces role clarity and communication issues</w:t>
            </w:r>
          </w:p>
        </w:tc>
        <w:tc>
          <w:tcPr>
            <w:tcW w:type="dxa" w:w="1872"/>
            <w:vAlign w:val="top"/>
          </w:tcPr>
          <w:p>
            <w:r>
              <w:rPr>
                <w:rFonts w:ascii="Aptos" w:hAnsi="Aptos"/>
                <w:sz w:val="18"/>
              </w:rPr>
            </w:r>
            <w:r>
              <w:rPr>
                <w:rFonts w:ascii="Aptos" w:hAnsi="Aptos"/>
                <w:b w:val="0"/>
                <w:sz w:val="18"/>
              </w:rPr>
              <w:t>Recurring HR/Ops forum</w:t>
            </w:r>
          </w:p>
        </w:tc>
        <w:tc>
          <w:tcPr>
            <w:tcW w:type="dxa" w:w="3312"/>
            <w:vAlign w:val="top"/>
          </w:tcPr>
          <w:p>
            <w:r>
              <w:rPr>
                <w:rFonts w:ascii="Aptos" w:hAnsi="Aptos"/>
                <w:sz w:val="18"/>
              </w:rPr>
            </w:r>
            <w:r>
              <w:rPr>
                <w:rFonts w:ascii="Aptos" w:hAnsi="Aptos"/>
                <w:b w:val="0"/>
                <w:sz w:val="18"/>
              </w:rPr>
              <w:t>User raised admin role ambiguity, intern coordinator meeting exclusion, Carl Mouser issue, and CMDA HR scope. Corey also had action to improve Andy communication flow.</w:t>
            </w:r>
          </w:p>
        </w:tc>
        <w:tc>
          <w:tcPr>
            <w:tcW w:type="dxa" w:w="3312"/>
            <w:vAlign w:val="top"/>
          </w:tcPr>
          <w:p>
            <w:r>
              <w:rPr>
                <w:rFonts w:ascii="Aptos" w:hAnsi="Aptos"/>
                <w:sz w:val="18"/>
              </w:rPr>
            </w:r>
            <w:r>
              <w:rPr>
                <w:rFonts w:ascii="Aptos" w:hAnsi="Aptos"/>
                <w:b w:val="0"/>
                <w:sz w:val="18"/>
              </w:rPr>
              <w:t>Strong evidence that concerns existed before later conflict and were raised in formal forums.</w:t>
            </w:r>
          </w:p>
        </w:tc>
      </w:tr>
      <w:tr>
        <w:tc>
          <w:tcPr>
            <w:tcW w:type="dxa" w:w="1440"/>
            <w:vAlign w:val="top"/>
          </w:tcPr>
          <w:p>
            <w:r>
              <w:rPr>
                <w:rFonts w:ascii="Aptos" w:hAnsi="Aptos"/>
                <w:sz w:val="18"/>
              </w:rPr>
            </w:r>
            <w:r>
              <w:rPr>
                <w:rFonts w:ascii="Aptos" w:hAnsi="Aptos"/>
                <w:b w:val="0"/>
                <w:sz w:val="18"/>
              </w:rPr>
              <w:t>Apr 21-28, 2026</w:t>
            </w:r>
          </w:p>
        </w:tc>
        <w:tc>
          <w:tcPr>
            <w:tcW w:type="dxa" w:w="2304"/>
            <w:vAlign w:val="top"/>
          </w:tcPr>
          <w:p>
            <w:r>
              <w:rPr>
                <w:rFonts w:ascii="Aptos" w:hAnsi="Aptos"/>
                <w:sz w:val="18"/>
              </w:rPr>
            </w:r>
            <w:r>
              <w:rPr>
                <w:rFonts w:ascii="Aptos" w:hAnsi="Aptos"/>
                <w:b w:val="0"/>
                <w:sz w:val="18"/>
              </w:rPr>
              <w:t>Operational / logistics forums continue without HR presence</w:t>
            </w:r>
          </w:p>
        </w:tc>
        <w:tc>
          <w:tcPr>
            <w:tcW w:type="dxa" w:w="1872"/>
            <w:vAlign w:val="top"/>
          </w:tcPr>
          <w:p>
            <w:r>
              <w:rPr>
                <w:rFonts w:ascii="Aptos" w:hAnsi="Aptos"/>
                <w:sz w:val="18"/>
              </w:rPr>
            </w:r>
            <w:r>
              <w:rPr>
                <w:rFonts w:ascii="Aptos" w:hAnsi="Aptos"/>
                <w:b w:val="0"/>
                <w:sz w:val="18"/>
              </w:rPr>
              <w:t>Project operations</w:t>
            </w:r>
          </w:p>
        </w:tc>
        <w:tc>
          <w:tcPr>
            <w:tcW w:type="dxa" w:w="3312"/>
            <w:vAlign w:val="top"/>
          </w:tcPr>
          <w:p>
            <w:r>
              <w:rPr>
                <w:rFonts w:ascii="Aptos" w:hAnsi="Aptos"/>
                <w:sz w:val="18"/>
              </w:rPr>
            </w:r>
            <w:r>
              <w:rPr>
                <w:rFonts w:ascii="Aptos" w:hAnsi="Aptos"/>
                <w:b w:val="0"/>
                <w:sz w:val="18"/>
              </w:rPr>
              <w:t>Recurring operations meetings discussed HR-adjacent topics with no evidence of Garrett on attendee list.</w:t>
            </w:r>
          </w:p>
        </w:tc>
        <w:tc>
          <w:tcPr>
            <w:tcW w:type="dxa" w:w="3312"/>
            <w:vAlign w:val="top"/>
          </w:tcPr>
          <w:p>
            <w:r>
              <w:rPr>
                <w:rFonts w:ascii="Aptos" w:hAnsi="Aptos"/>
                <w:sz w:val="18"/>
              </w:rPr>
            </w:r>
            <w:r>
              <w:rPr>
                <w:rFonts w:ascii="Aptos" w:hAnsi="Aptos"/>
                <w:b w:val="0"/>
                <w:sz w:val="18"/>
              </w:rPr>
              <w:t>Shows routine operational decisions can form outside HR presence.</w:t>
            </w:r>
          </w:p>
        </w:tc>
      </w:tr>
      <w:tr>
        <w:tc>
          <w:tcPr>
            <w:tcW w:type="dxa" w:w="1440"/>
            <w:vAlign w:val="top"/>
          </w:tcPr>
          <w:p>
            <w:r>
              <w:rPr>
                <w:rFonts w:ascii="Aptos" w:hAnsi="Aptos"/>
                <w:sz w:val="18"/>
              </w:rPr>
            </w:r>
            <w:r>
              <w:rPr>
                <w:rFonts w:ascii="Aptos" w:hAnsi="Aptos"/>
                <w:b w:val="0"/>
                <w:sz w:val="18"/>
              </w:rPr>
              <w:t>Late Apr 2026</w:t>
            </w:r>
          </w:p>
        </w:tc>
        <w:tc>
          <w:tcPr>
            <w:tcW w:type="dxa" w:w="2304"/>
            <w:vAlign w:val="top"/>
          </w:tcPr>
          <w:p>
            <w:r>
              <w:rPr>
                <w:rFonts w:ascii="Aptos" w:hAnsi="Aptos"/>
                <w:sz w:val="18"/>
              </w:rPr>
            </w:r>
            <w:r>
              <w:rPr>
                <w:rFonts w:ascii="Aptos" w:hAnsi="Aptos"/>
                <w:b w:val="0"/>
                <w:sz w:val="18"/>
              </w:rPr>
              <w:t>Carl / Troy / MVP contradiction</w:t>
            </w:r>
          </w:p>
        </w:tc>
        <w:tc>
          <w:tcPr>
            <w:tcW w:type="dxa" w:w="1872"/>
            <w:vAlign w:val="top"/>
          </w:tcPr>
          <w:p>
            <w:r>
              <w:rPr>
                <w:rFonts w:ascii="Aptos" w:hAnsi="Aptos"/>
                <w:sz w:val="18"/>
              </w:rPr>
            </w:r>
            <w:r>
              <w:rPr>
                <w:rFonts w:ascii="Aptos" w:hAnsi="Aptos"/>
                <w:b w:val="0"/>
                <w:sz w:val="18"/>
              </w:rPr>
              <w:t>Corina / Joe / Google / project leadership</w:t>
            </w:r>
          </w:p>
        </w:tc>
        <w:tc>
          <w:tcPr>
            <w:tcW w:type="dxa" w:w="3312"/>
            <w:vAlign w:val="top"/>
          </w:tcPr>
          <w:p>
            <w:r>
              <w:rPr>
                <w:rFonts w:ascii="Aptos" w:hAnsi="Aptos"/>
                <w:sz w:val="18"/>
              </w:rPr>
            </w:r>
            <w:r>
              <w:rPr>
                <w:rFonts w:ascii="Aptos" w:hAnsi="Aptos"/>
                <w:b w:val="0"/>
                <w:sz w:val="18"/>
              </w:rPr>
              <w:t>User reports Corina said MVP was due to lack of engagement/performance and that leadership wanted more; Joe reportedly clarified next day that MVP was driven by Alex Salah / Google and he had complimented Garrett.</w:t>
            </w:r>
          </w:p>
        </w:tc>
        <w:tc>
          <w:tcPr>
            <w:tcW w:type="dxa" w:w="3312"/>
            <w:vAlign w:val="top"/>
          </w:tcPr>
          <w:p>
            <w:r>
              <w:rPr>
                <w:rFonts w:ascii="Aptos" w:hAnsi="Aptos"/>
                <w:sz w:val="18"/>
              </w:rPr>
            </w:r>
            <w:r>
              <w:rPr>
                <w:rFonts w:ascii="Aptos" w:hAnsi="Aptos"/>
                <w:b w:val="0"/>
                <w:sz w:val="18"/>
              </w:rPr>
              <w:t>Critical source-fact versus relayed-narrative contradiction; strongest evidence of performance attribution risk.</w:t>
            </w:r>
          </w:p>
        </w:tc>
      </w:tr>
      <w:tr>
        <w:tc>
          <w:tcPr>
            <w:tcW w:type="dxa" w:w="1440"/>
            <w:vAlign w:val="top"/>
          </w:tcPr>
          <w:p>
            <w:r>
              <w:rPr>
                <w:rFonts w:ascii="Aptos" w:hAnsi="Aptos"/>
                <w:sz w:val="18"/>
              </w:rPr>
            </w:r>
            <w:r>
              <w:rPr>
                <w:rFonts w:ascii="Aptos" w:hAnsi="Aptos"/>
                <w:b w:val="0"/>
                <w:sz w:val="18"/>
              </w:rPr>
              <w:t>Late Apr 2026</w:t>
            </w:r>
          </w:p>
        </w:tc>
        <w:tc>
          <w:tcPr>
            <w:tcW w:type="dxa" w:w="2304"/>
            <w:vAlign w:val="top"/>
          </w:tcPr>
          <w:p>
            <w:r>
              <w:rPr>
                <w:rFonts w:ascii="Aptos" w:hAnsi="Aptos"/>
                <w:sz w:val="18"/>
              </w:rPr>
            </w:r>
            <w:r>
              <w:rPr>
                <w:rFonts w:ascii="Aptos" w:hAnsi="Aptos"/>
                <w:b w:val="0"/>
                <w:sz w:val="18"/>
              </w:rPr>
              <w:t>Domestic violence-related matter reaches HR late</w:t>
            </w:r>
          </w:p>
        </w:tc>
        <w:tc>
          <w:tcPr>
            <w:tcW w:type="dxa" w:w="1872"/>
            <w:vAlign w:val="top"/>
          </w:tcPr>
          <w:p>
            <w:r>
              <w:rPr>
                <w:rFonts w:ascii="Aptos" w:hAnsi="Aptos"/>
                <w:sz w:val="18"/>
              </w:rPr>
            </w:r>
            <w:r>
              <w:rPr>
                <w:rFonts w:ascii="Aptos" w:hAnsi="Aptos"/>
                <w:b w:val="0"/>
                <w:sz w:val="18"/>
              </w:rPr>
              <w:t>Project leadership initially; employee later informs HR</w:t>
            </w:r>
          </w:p>
        </w:tc>
        <w:tc>
          <w:tcPr>
            <w:tcW w:type="dxa" w:w="3312"/>
            <w:vAlign w:val="top"/>
          </w:tcPr>
          <w:p>
            <w:r>
              <w:rPr>
                <w:rFonts w:ascii="Aptos" w:hAnsi="Aptos"/>
                <w:sz w:val="18"/>
              </w:rPr>
            </w:r>
            <w:r>
              <w:rPr>
                <w:rFonts w:ascii="Aptos" w:hAnsi="Aptos"/>
                <w:b w:val="0"/>
                <w:sz w:val="18"/>
              </w:rPr>
              <w:t>User reports project leadership knew for approximately two weeks before HR became aware through an employee.</w:t>
            </w:r>
          </w:p>
        </w:tc>
        <w:tc>
          <w:tcPr>
            <w:tcW w:type="dxa" w:w="3312"/>
            <w:vAlign w:val="top"/>
          </w:tcPr>
          <w:p>
            <w:r>
              <w:rPr>
                <w:rFonts w:ascii="Aptos" w:hAnsi="Aptos"/>
                <w:sz w:val="18"/>
              </w:rPr>
            </w:r>
            <w:r>
              <w:rPr>
                <w:rFonts w:ascii="Aptos" w:hAnsi="Aptos"/>
                <w:b w:val="0"/>
                <w:sz w:val="18"/>
              </w:rPr>
              <w:t>Shows risk of delayed HR involvement in safety/ER-sensitive matters; outcome still under review and should not be overstated.</w:t>
            </w:r>
          </w:p>
        </w:tc>
      </w:tr>
      <w:tr>
        <w:tc>
          <w:tcPr>
            <w:tcW w:type="dxa" w:w="1440"/>
            <w:vAlign w:val="top"/>
          </w:tcPr>
          <w:p>
            <w:r>
              <w:rPr>
                <w:rFonts w:ascii="Aptos" w:hAnsi="Aptos"/>
                <w:sz w:val="18"/>
              </w:rPr>
            </w:r>
            <w:r>
              <w:rPr>
                <w:rFonts w:ascii="Aptos" w:hAnsi="Aptos"/>
                <w:b w:val="0"/>
                <w:sz w:val="18"/>
              </w:rPr>
              <w:t>Late Apr 2026</w:t>
            </w:r>
          </w:p>
        </w:tc>
        <w:tc>
          <w:tcPr>
            <w:tcW w:type="dxa" w:w="2304"/>
            <w:vAlign w:val="top"/>
          </w:tcPr>
          <w:p>
            <w:r>
              <w:rPr>
                <w:rFonts w:ascii="Aptos" w:hAnsi="Aptos"/>
                <w:sz w:val="18"/>
              </w:rPr>
            </w:r>
            <w:r>
              <w:rPr>
                <w:rFonts w:ascii="Aptos" w:hAnsi="Aptos"/>
                <w:b w:val="0"/>
                <w:sz w:val="18"/>
              </w:rPr>
              <w:t>Direct conversations with Corina regarding support / routing</w:t>
            </w:r>
          </w:p>
        </w:tc>
        <w:tc>
          <w:tcPr>
            <w:tcW w:type="dxa" w:w="1872"/>
            <w:vAlign w:val="top"/>
          </w:tcPr>
          <w:p>
            <w:r>
              <w:rPr>
                <w:rFonts w:ascii="Aptos" w:hAnsi="Aptos"/>
                <w:sz w:val="18"/>
              </w:rPr>
            </w:r>
            <w:r>
              <w:rPr>
                <w:rFonts w:ascii="Aptos" w:hAnsi="Aptos"/>
                <w:b w:val="0"/>
                <w:sz w:val="18"/>
              </w:rPr>
              <w:t>Garrett initiates direct resolution attempts</w:t>
            </w:r>
          </w:p>
        </w:tc>
        <w:tc>
          <w:tcPr>
            <w:tcW w:type="dxa" w:w="3312"/>
            <w:vAlign w:val="top"/>
          </w:tcPr>
          <w:p>
            <w:r>
              <w:rPr>
                <w:rFonts w:ascii="Aptos" w:hAnsi="Aptos"/>
                <w:sz w:val="18"/>
              </w:rPr>
            </w:r>
            <w:r>
              <w:rPr>
                <w:rFonts w:ascii="Aptos" w:hAnsi="Aptos"/>
                <w:b w:val="0"/>
                <w:sz w:val="18"/>
              </w:rPr>
              <w:t>User repeatedly tried to explain that parallel communication creates downstream effects; reports responses shifted to gaps, support needs, self-reflection, or why others go to Corina.</w:t>
            </w:r>
          </w:p>
        </w:tc>
        <w:tc>
          <w:tcPr>
            <w:tcW w:type="dxa" w:w="3312"/>
            <w:vAlign w:val="top"/>
          </w:tcPr>
          <w:p>
            <w:r>
              <w:rPr>
                <w:rFonts w:ascii="Aptos" w:hAnsi="Aptos"/>
                <w:sz w:val="18"/>
              </w:rPr>
            </w:r>
            <w:r>
              <w:rPr>
                <w:rFonts w:ascii="Aptos" w:hAnsi="Aptos"/>
                <w:b w:val="0"/>
                <w:sz w:val="18"/>
              </w:rPr>
              <w:t>Shows direct-resolution attempts and repeated reframing of structural concern as individual performance issue.</w:t>
            </w:r>
          </w:p>
        </w:tc>
      </w:tr>
      <w:tr>
        <w:tc>
          <w:tcPr>
            <w:tcW w:type="dxa" w:w="1440"/>
            <w:vAlign w:val="top"/>
          </w:tcPr>
          <w:p>
            <w:r>
              <w:rPr>
                <w:rFonts w:ascii="Aptos" w:hAnsi="Aptos"/>
                <w:sz w:val="18"/>
              </w:rPr>
            </w:r>
            <w:r>
              <w:rPr>
                <w:rFonts w:ascii="Aptos" w:hAnsi="Aptos"/>
                <w:b w:val="0"/>
                <w:sz w:val="18"/>
              </w:rPr>
              <w:t>Late Apr 2026</w:t>
            </w:r>
          </w:p>
        </w:tc>
        <w:tc>
          <w:tcPr>
            <w:tcW w:type="dxa" w:w="2304"/>
            <w:vAlign w:val="top"/>
          </w:tcPr>
          <w:p>
            <w:r>
              <w:rPr>
                <w:rFonts w:ascii="Aptos" w:hAnsi="Aptos"/>
                <w:sz w:val="18"/>
              </w:rPr>
            </w:r>
            <w:r>
              <w:rPr>
                <w:rFonts w:ascii="Aptos" w:hAnsi="Aptos"/>
                <w:b w:val="0"/>
                <w:sz w:val="18"/>
              </w:rPr>
              <w:t>HR-group perception concern becomes explicit</w:t>
            </w:r>
          </w:p>
        </w:tc>
        <w:tc>
          <w:tcPr>
            <w:tcW w:type="dxa" w:w="1872"/>
            <w:vAlign w:val="top"/>
          </w:tcPr>
          <w:p>
            <w:r>
              <w:rPr>
                <w:rFonts w:ascii="Aptos" w:hAnsi="Aptos"/>
                <w:sz w:val="18"/>
              </w:rPr>
            </w:r>
            <w:r>
              <w:rPr>
                <w:rFonts w:ascii="Aptos" w:hAnsi="Aptos"/>
                <w:b w:val="0"/>
                <w:sz w:val="18"/>
              </w:rPr>
              <w:t>HRM / Texas HR channels</w:t>
            </w:r>
          </w:p>
        </w:tc>
        <w:tc>
          <w:tcPr>
            <w:tcW w:type="dxa" w:w="3312"/>
            <w:vAlign w:val="top"/>
          </w:tcPr>
          <w:p>
            <w:r>
              <w:rPr>
                <w:rFonts w:ascii="Aptos" w:hAnsi="Aptos"/>
                <w:sz w:val="18"/>
              </w:rPr>
            </w:r>
            <w:r>
              <w:rPr>
                <w:rFonts w:ascii="Aptos" w:hAnsi="Aptos"/>
                <w:b w:val="0"/>
                <w:sz w:val="18"/>
              </w:rPr>
              <w:t>User reports being directly told by another HRM that there is a growing perception among Texas HR that he is not engaged or communicating enough.</w:t>
            </w:r>
          </w:p>
        </w:tc>
        <w:tc>
          <w:tcPr>
            <w:tcW w:type="dxa" w:w="3312"/>
            <w:vAlign w:val="top"/>
          </w:tcPr>
          <w:p>
            <w:r>
              <w:rPr>
                <w:rFonts w:ascii="Aptos" w:hAnsi="Aptos"/>
                <w:sz w:val="18"/>
              </w:rPr>
            </w:r>
            <w:r>
              <w:rPr>
                <w:rFonts w:ascii="Aptos" w:hAnsi="Aptos"/>
                <w:b w:val="0"/>
                <w:sz w:val="18"/>
              </w:rPr>
              <w:t>Escalates issue from project-level routing to broader reputational/performance-attribution risk.</w:t>
            </w:r>
          </w:p>
        </w:tc>
      </w:tr>
      <w:tr>
        <w:tc>
          <w:tcPr>
            <w:tcW w:type="dxa" w:w="1440"/>
            <w:vAlign w:val="top"/>
          </w:tcPr>
          <w:p>
            <w:r>
              <w:rPr>
                <w:rFonts w:ascii="Aptos" w:hAnsi="Aptos"/>
                <w:sz w:val="18"/>
              </w:rPr>
            </w:r>
            <w:r>
              <w:rPr>
                <w:rFonts w:ascii="Aptos" w:hAnsi="Aptos"/>
                <w:b w:val="0"/>
                <w:sz w:val="18"/>
              </w:rPr>
              <w:t>Late Apr 2026</w:t>
            </w:r>
          </w:p>
        </w:tc>
        <w:tc>
          <w:tcPr>
            <w:tcW w:type="dxa" w:w="2304"/>
            <w:vAlign w:val="top"/>
          </w:tcPr>
          <w:p>
            <w:r>
              <w:rPr>
                <w:rFonts w:ascii="Aptos" w:hAnsi="Aptos"/>
                <w:sz w:val="18"/>
              </w:rPr>
            </w:r>
            <w:r>
              <w:rPr>
                <w:rFonts w:ascii="Aptos" w:hAnsi="Aptos"/>
                <w:b w:val="0"/>
                <w:sz w:val="18"/>
              </w:rPr>
              <w:t>Jasmin / Danielle / Jordyn routing example</w:t>
            </w:r>
          </w:p>
        </w:tc>
        <w:tc>
          <w:tcPr>
            <w:tcW w:type="dxa" w:w="1872"/>
            <w:vAlign w:val="top"/>
          </w:tcPr>
          <w:p>
            <w:r>
              <w:rPr>
                <w:rFonts w:ascii="Aptos" w:hAnsi="Aptos"/>
                <w:sz w:val="18"/>
              </w:rPr>
            </w:r>
            <w:r>
              <w:rPr>
                <w:rFonts w:ascii="Aptos" w:hAnsi="Aptos"/>
                <w:b w:val="0"/>
                <w:sz w:val="18"/>
              </w:rPr>
              <w:t>Jasmin and Danielle</w:t>
            </w:r>
          </w:p>
        </w:tc>
        <w:tc>
          <w:tcPr>
            <w:tcW w:type="dxa" w:w="3312"/>
            <w:vAlign w:val="top"/>
          </w:tcPr>
          <w:p>
            <w:r>
              <w:rPr>
                <w:rFonts w:ascii="Aptos" w:hAnsi="Aptos"/>
                <w:sz w:val="18"/>
              </w:rPr>
            </w:r>
            <w:r>
              <w:rPr>
                <w:rFonts w:ascii="Aptos" w:hAnsi="Aptos"/>
                <w:b w:val="0"/>
                <w:sz w:val="18"/>
              </w:rPr>
              <w:t>Jasmin communicates to Jordyn; Danielle later brings Garrett into the thread.</w:t>
            </w:r>
          </w:p>
        </w:tc>
        <w:tc>
          <w:tcPr>
            <w:tcW w:type="dxa" w:w="3312"/>
            <w:vAlign w:val="top"/>
          </w:tcPr>
          <w:p>
            <w:r>
              <w:rPr>
                <w:rFonts w:ascii="Aptos" w:hAnsi="Aptos"/>
                <w:sz w:val="18"/>
              </w:rPr>
            </w:r>
            <w:r>
              <w:rPr>
                <w:rFonts w:ascii="Aptos" w:hAnsi="Aptos"/>
                <w:b w:val="0"/>
                <w:sz w:val="18"/>
              </w:rPr>
              <w:t>Recent example of HR work routed to direct report before on-project HR lead, then leader added downstream.</w:t>
            </w:r>
          </w:p>
        </w:tc>
      </w:tr>
      <w:tr>
        <w:tc>
          <w:tcPr>
            <w:tcW w:type="dxa" w:w="1440"/>
            <w:vAlign w:val="top"/>
          </w:tcPr>
          <w:p>
            <w:r>
              <w:rPr>
                <w:rFonts w:ascii="Aptos" w:hAnsi="Aptos"/>
                <w:sz w:val="18"/>
              </w:rPr>
            </w:r>
            <w:r>
              <w:rPr>
                <w:rFonts w:ascii="Aptos" w:hAnsi="Aptos"/>
                <w:b w:val="0"/>
                <w:sz w:val="18"/>
              </w:rPr>
              <w:t>May 1, 2026</w:t>
            </w:r>
          </w:p>
        </w:tc>
        <w:tc>
          <w:tcPr>
            <w:tcW w:type="dxa" w:w="2304"/>
            <w:vAlign w:val="top"/>
          </w:tcPr>
          <w:p>
            <w:r>
              <w:rPr>
                <w:rFonts w:ascii="Aptos" w:hAnsi="Aptos"/>
                <w:sz w:val="18"/>
              </w:rPr>
            </w:r>
            <w:r>
              <w:rPr>
                <w:rFonts w:ascii="Aptos" w:hAnsi="Aptos"/>
                <w:b w:val="0"/>
                <w:sz w:val="18"/>
              </w:rPr>
              <w:t>Andy hiring / recruiting email routes action to Corina</w:t>
            </w:r>
          </w:p>
        </w:tc>
        <w:tc>
          <w:tcPr>
            <w:tcW w:type="dxa" w:w="1872"/>
            <w:vAlign w:val="top"/>
          </w:tcPr>
          <w:p>
            <w:r>
              <w:rPr>
                <w:rFonts w:ascii="Aptos" w:hAnsi="Aptos"/>
                <w:sz w:val="18"/>
              </w:rPr>
            </w:r>
            <w:r>
              <w:rPr>
                <w:rFonts w:ascii="Aptos" w:hAnsi="Aptos"/>
                <w:b w:val="0"/>
                <w:sz w:val="18"/>
              </w:rPr>
              <w:t>Andy responds to Joe Milicia</w:t>
            </w:r>
          </w:p>
        </w:tc>
        <w:tc>
          <w:tcPr>
            <w:tcW w:type="dxa" w:w="3312"/>
            <w:vAlign w:val="top"/>
          </w:tcPr>
          <w:p>
            <w:r>
              <w:rPr>
                <w:rFonts w:ascii="Aptos" w:hAnsi="Aptos"/>
                <w:sz w:val="18"/>
              </w:rPr>
            </w:r>
            <w:r>
              <w:rPr>
                <w:rFonts w:ascii="Aptos" w:hAnsi="Aptos"/>
                <w:b w:val="0"/>
                <w:sz w:val="18"/>
              </w:rPr>
              <w:t>Andy writes that he copied Corina because she can grab resume quickly; Garrett is CCd but not positioned as action owner.</w:t>
            </w:r>
          </w:p>
        </w:tc>
        <w:tc>
          <w:tcPr>
            <w:tcW w:type="dxa" w:w="3312"/>
            <w:vAlign w:val="top"/>
          </w:tcPr>
          <w:p>
            <w:r>
              <w:rPr>
                <w:rFonts w:ascii="Aptos" w:hAnsi="Aptos"/>
                <w:sz w:val="18"/>
              </w:rPr>
            </w:r>
            <w:r>
              <w:rPr>
                <w:rFonts w:ascii="Aptos" w:hAnsi="Aptos"/>
                <w:b w:val="0"/>
                <w:sz w:val="18"/>
              </w:rPr>
              <w:t>Low-emotion, routine example showing leadership defaulting HR action to Corina rather than on-project HR lead.</w:t>
            </w:r>
          </w:p>
        </w:tc>
      </w:tr>
      <w:tr>
        <w:tc>
          <w:tcPr>
            <w:tcW w:type="dxa" w:w="1440"/>
            <w:vAlign w:val="top"/>
          </w:tcPr>
          <w:p>
            <w:r>
              <w:rPr>
                <w:rFonts w:ascii="Aptos" w:hAnsi="Aptos"/>
                <w:sz w:val="18"/>
              </w:rPr>
            </w:r>
            <w:r>
              <w:rPr>
                <w:rFonts w:ascii="Aptos" w:hAnsi="Aptos"/>
                <w:b w:val="0"/>
                <w:sz w:val="18"/>
              </w:rPr>
              <w:t>Termination meeting</w:t>
            </w:r>
          </w:p>
        </w:tc>
        <w:tc>
          <w:tcPr>
            <w:tcW w:type="dxa" w:w="2304"/>
            <w:vAlign w:val="top"/>
          </w:tcPr>
          <w:p>
            <w:r>
              <w:rPr>
                <w:rFonts w:ascii="Aptos" w:hAnsi="Aptos"/>
                <w:sz w:val="18"/>
              </w:rPr>
            </w:r>
            <w:r>
              <w:rPr>
                <w:rFonts w:ascii="Aptos" w:hAnsi="Aptos"/>
                <w:b w:val="0"/>
                <w:sz w:val="18"/>
              </w:rPr>
              <w:t>BME wording and training questioned</w:t>
            </w:r>
          </w:p>
        </w:tc>
        <w:tc>
          <w:tcPr>
            <w:tcW w:type="dxa" w:w="1872"/>
            <w:vAlign w:val="top"/>
          </w:tcPr>
          <w:p>
            <w:r>
              <w:rPr>
                <w:rFonts w:ascii="Aptos" w:hAnsi="Aptos"/>
                <w:sz w:val="18"/>
              </w:rPr>
            </w:r>
            <w:r>
              <w:rPr>
                <w:rFonts w:ascii="Aptos" w:hAnsi="Aptos"/>
                <w:b w:val="0"/>
                <w:sz w:val="18"/>
              </w:rPr>
              <w:t>Jeff Dolan / Garrett / Corina context</w:t>
            </w:r>
          </w:p>
        </w:tc>
        <w:tc>
          <w:tcPr>
            <w:tcW w:type="dxa" w:w="3312"/>
            <w:vAlign w:val="top"/>
          </w:tcPr>
          <w:p>
            <w:r>
              <w:rPr>
                <w:rFonts w:ascii="Aptos" w:hAnsi="Aptos"/>
                <w:sz w:val="18"/>
              </w:rPr>
            </w:r>
            <w:r>
              <w:rPr>
                <w:rFonts w:ascii="Aptos" w:hAnsi="Aptos"/>
                <w:b w:val="0"/>
                <w:sz w:val="18"/>
              </w:rPr>
              <w:t>Jeff asked whether Garrett told another manager he was in a BME. Garrett stated his wording was "borderline BME" and learned more after Corina corrected him. Jeff stated there had been ample BME training.</w:t>
            </w:r>
          </w:p>
        </w:tc>
        <w:tc>
          <w:tcPr>
            <w:tcW w:type="dxa" w:w="3312"/>
            <w:vAlign w:val="top"/>
          </w:tcPr>
          <w:p>
            <w:r>
              <w:rPr>
                <w:rFonts w:ascii="Aptos" w:hAnsi="Aptos"/>
                <w:sz w:val="18"/>
              </w:rPr>
            </w:r>
            <w:r>
              <w:rPr>
                <w:rFonts w:ascii="Aptos" w:hAnsi="Aptos"/>
                <w:b w:val="0"/>
                <w:sz w:val="18"/>
              </w:rPr>
              <w:t>New concern: user does not recall specific BME training from Corina/Jake/others beyond possible video content; Outlook can verify training/invites. Important for fairness of BME-related critique.</w:t>
            </w:r>
          </w:p>
        </w:tc>
      </w:tr>
    </w:tbl>
    <w:p/>
    <w:p>
      <w:pPr>
        <w:pStyle w:val="Heading1"/>
      </w:pPr>
      <w:r>
        <w:t>4. Communication Pattern Analysis</w:t>
      </w:r>
    </w:p>
    <w:p>
      <w:r>
        <w:t>The communication pattern is consistent enough to be treated as a system rather than a series of isolated misses. The practical pattern is: work begins upstream or laterally; communication and interpretation develop through project leadership, BU HR, HQ HR, or Corina; Garrett is engaged later; he then executes or stabilizes; and the result is interpreted as though he owned the issue from inception.</w:t>
      </w:r>
    </w:p>
    <w:p>
      <w:r>
        <w:t>This pattern appears in both high-stakes and routine examples. High-stakes examples include domestic violence, Carl / MVP, and BME / compliance. Routine examples include Andy routing a hiring inquiry to Corina and Jasmin engaging Jordyn before Garrett is fully positioned. That matters because when the same routing pattern appears in simple HR tasks and complex ER matters, the issue is structural, not situational.</w:t>
      </w:r>
    </w:p>
    <w:p>
      <w:r>
        <w:t>The key communication problem is not only exclusion. It is positioning. Garrett may be copied or eventually included, but being copied is not the same as being established as the first accountable HR owner. Over time, those routing habits teach leaders where to go first and shape who is perceived as the real owner.</w:t>
      </w:r>
    </w:p>
    <w:tbl>
      <w:tblPr>
        <w:tblStyle w:val="TableGrid"/>
        <w:tblW w:type="auto" w:w="0"/>
        <w:tblLook w:firstColumn="1" w:firstRow="1" w:lastColumn="0" w:lastRow="0" w:noHBand="0" w:noVBand="1" w:val="04A0"/>
      </w:tblPr>
      <w:tblGrid>
        <w:gridCol w:w="10224"/>
      </w:tblGrid>
      <w:tr>
        <w:tc>
          <w:tcPr>
            <w:tcW w:type="dxa" w:w="10224"/>
            <w:shd w:fill="EAF2F8"/>
          </w:tcPr>
          <w:p>
            <w:r>
              <w:rPr>
                <w:rFonts w:ascii="Aptos" w:hAnsi="Aptos"/>
                <w:b/>
                <w:color w:val="1F4E79"/>
                <w:sz w:val="18"/>
              </w:rPr>
              <w:t>Communication pattern in one sentence</w:t>
            </w:r>
            <w:r>
              <w:rPr>
                <w:rFonts w:ascii="Aptos" w:hAnsi="Aptos"/>
                <w:sz w:val="18"/>
              </w:rPr>
              <w:br/>
              <w:t>The system repeatedly positions Garrett downstream while preserving upstream accountability expectations.</w:t>
            </w:r>
          </w:p>
        </w:tc>
      </w:tr>
    </w:tbl>
    <w:p/>
    <w:p>
      <w:pPr>
        <w:pStyle w:val="Heading1"/>
      </w:pPr>
      <w:r>
        <w:t>5. Leadership Behavior Analysis</w:t>
      </w:r>
    </w:p>
    <w:p>
      <w:pPr>
        <w:pStyle w:val="Heading3"/>
      </w:pPr>
      <w:r>
        <w:t>Corina</w:t>
      </w:r>
    </w:p>
    <w:p>
      <w:r>
        <w:t>Corina appears as the most visible upstream HR connector. The issue is not framed here as motive. The concern is that her communication often functions as a parallel HR channel rather than support reinforcing the on-project HR lead. When Garrett raises this as a structural concern, he reports that the conversation is repeatedly redirected toward gaps, support needs, self-reflection, or why others come to Corina. The result is that structural concerns are converted into individual-performance discussions.</w:t>
      </w:r>
    </w:p>
    <w:p>
      <w:pPr>
        <w:pStyle w:val="Heading3"/>
      </w:pPr>
      <w:r>
        <w:t>Kevin</w:t>
      </w:r>
    </w:p>
    <w:p>
      <w:r>
        <w:t>Kevin is the leadership recipient who must distinguish between interpersonal conflict and operating-model breakdown. The risk is that the issue can be misread as Garrett versus Corina unless it is presented as a repeatable system pattern affecting routing, accountability, and evaluation.</w:t>
      </w:r>
    </w:p>
    <w:p>
      <w:pPr>
        <w:pStyle w:val="Heading3"/>
      </w:pPr>
      <w:r>
        <w:t>Andy</w:t>
      </w:r>
    </w:p>
    <w:p>
      <w:r>
        <w:t>Andy is central because his routing behavior reflects how project leadership perceives HR ownership. The May 1 hiring email is important not because the task was complicated, but because it shows routine HR action being directed to Corina while Garrett is copied. This suggests that the default HR entry point in Andy's mind may not consistently be the on-project HR lead.</w:t>
      </w:r>
    </w:p>
    <w:p>
      <w:pPr>
        <w:pStyle w:val="Heading3"/>
      </w:pPr>
      <w:r>
        <w:t>Corey</w:t>
      </w:r>
    </w:p>
    <w:p>
      <w:r>
        <w:t>Corey is important because the April 16 HR/Ops context corroborates communication-flow concerns. A senior leader having an action to improve Andy's communication flow supports the idea that the communication issue is not merely Garrett's perception.</w:t>
      </w:r>
    </w:p>
    <w:p>
      <w:pPr>
        <w:pStyle w:val="Heading3"/>
      </w:pPr>
      <w:r>
        <w:t>Joe</w:t>
      </w:r>
    </w:p>
    <w:p>
      <w:r>
        <w:t>Joe is critical because he provides the source-level correction for MVP. If Joe says MVP was driven by Alex Salah / Google and that he complimented Garrett, then any performance-based explanation relayed to Garrett conflicts materially with the source explanation.</w:t>
      </w:r>
    </w:p>
    <w:p>
      <w:pPr>
        <w:pStyle w:val="Heading3"/>
      </w:pPr>
      <w:r>
        <w:t>Danielle and Jasmin</w:t>
      </w:r>
    </w:p>
    <w:p>
      <w:r>
        <w:t>Danielle and Jasmin matter because the HR-group perception concern is broader than Corina. Examples of HRM/BU-level discussions, later inclusion, and direct routing to Jordyn indicate that the perception and routing issue may exist across Texas HR channels, not only in the reporting relationship.</w:t>
      </w:r>
    </w:p>
    <w:p>
      <w:pPr>
        <w:pStyle w:val="Heading1"/>
      </w:pPr>
      <w:r>
        <w:t>6. Work Product Ownership Analysis</w:t>
      </w:r>
    </w:p>
    <w:p>
      <w:r>
        <w:t>The issue is not that Garrett has no work product. The documented record shows Garrett as the full-time HR point of contact, responsible for employee relations, onboarding, performance-management coordination, coaching, consulting, and escalation. The issue is that some of the most visible or urgent workstreams are not consistently originated through him.</w:t>
      </w:r>
    </w:p>
    <w:p>
      <w:r>
        <w:t>BME / ethics / compliance / Our House Our Home are the strongest examples. Corina and HQ appear to originate or coordinate some content upstream. Garrett is later asked for updates or becomes responsible for execution. When urgency requires additional help, that help can appear remedial even when the root problem is that Garrett was not positioned to own the work from the start.</w:t>
      </w:r>
    </w:p>
    <w:p>
      <w:r>
        <w:t>The Tandee example shows an authority problem rather than a simple deliverable problem. Garrett reinforced expectations already communicated by executives and admin leadership, without issuing discipline. The matter then became framed around whether others would investigate or review his handling. That creates uncertainty about whether HR is supported to enforce expectations within scope.</w:t>
      </w:r>
    </w:p>
    <w:p>
      <w:r>
        <w:t>The Andy hiring email is a routine but powerful signal. A basic recruiting inquiry was routed to Corina to grab the resume quickly, with Garrett copied. This is not evidence of bad intent; it is evidence of the practical ownership map the project is using. If routine HR matters default elsewhere, performance judgments about Garrett's engagement need to be evaluated against that routing reality.</w:t>
      </w:r>
    </w:p>
    <w:p>
      <w:pPr>
        <w:pStyle w:val="Heading1"/>
      </w:pPr>
      <w:r>
        <w:t>7. Organizational Power Dynamic Analysis</w:t>
      </w:r>
    </w:p>
    <w:p>
      <w:r>
        <w:t>This matter is not only procedural. It has a clear organizational-power component. In fast-moving project environments, visibility often becomes authority. The person first in the conversation, first to leadership, or first to HQ becomes the perceived owner. When Corina is the visible upstream connector and Garrett is the downstream executor, the organization can start to encode a false operating hierarchy, regardless of the formal role description.</w:t>
      </w:r>
    </w:p>
    <w:p>
      <w:r>
        <w:t>The second power dynamic is attribution. Late engagement produces behaviors that resemble underperformance: asking for context, reacting instead of driving, needing updates, relying on others' prior decisions, or requesting support. Those behaviors may be symptoms of late entry rather than evidence of capability gaps.</w:t>
      </w:r>
    </w:p>
    <w:p>
      <w:r>
        <w:t>The third power dynamic is narrative hardening. Once a statement such as lack of engagement, performance gaps, or need for support circulates in HR channels, later facts are interpreted through that lens. That is why the MVP / Joe contradiction matters: it shows how a support decision can be explained as performance-related even when the source stakeholder says the underlying reason was client-driven and performance feedback was positive.</w:t>
      </w:r>
    </w:p>
    <w:p>
      <w:pPr>
        <w:pStyle w:val="Heading1"/>
      </w:pPr>
      <w:r>
        <w:t>8. Potential Compliance / HR Risk Areas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jc w:val="center"/>
            </w:pPr>
            <w:r>
              <w:rPr>
                <w:rFonts w:ascii="Aptos" w:hAnsi="Aptos"/>
                <w:sz w:val="18"/>
              </w:rPr>
            </w:r>
            <w:r>
              <w:rPr>
                <w:rFonts w:ascii="Aptos" w:hAnsi="Aptos"/>
                <w:b/>
                <w:color w:val="FFFFFF"/>
                <w:sz w:val="18"/>
              </w:rPr>
              <w:t>Risk area</w:t>
            </w:r>
          </w:p>
        </w:tc>
        <w:tc>
          <w:tcPr>
            <w:tcW w:type="dxa" w:w="7920"/>
            <w:shd w:fill="1F4E79"/>
            <w:vAlign w:val="center"/>
          </w:tcPr>
          <w:p>
            <w:pPr>
              <w:jc w:val="center"/>
            </w:pPr>
            <w:r>
              <w:rPr>
                <w:rFonts w:ascii="Aptos" w:hAnsi="Aptos"/>
                <w:sz w:val="18"/>
              </w:rPr>
            </w:r>
            <w:r>
              <w:rPr>
                <w:rFonts w:ascii="Aptos" w:hAnsi="Aptos"/>
                <w:b/>
                <w:color w:val="FFFFFF"/>
                <w:sz w:val="18"/>
              </w:rPr>
              <w:t>Concern</w:t>
            </w:r>
          </w:p>
        </w:tc>
      </w:tr>
      <w:tr>
        <w:tc>
          <w:tcPr>
            <w:tcW w:type="dxa" w:w="2880"/>
            <w:vAlign w:val="top"/>
          </w:tcPr>
          <w:p>
            <w:r>
              <w:rPr>
                <w:rFonts w:ascii="Aptos" w:hAnsi="Aptos"/>
                <w:sz w:val="18"/>
              </w:rPr>
            </w:r>
            <w:r>
              <w:rPr>
                <w:rFonts w:ascii="Aptos" w:hAnsi="Aptos"/>
                <w:b w:val="0"/>
                <w:sz w:val="18"/>
              </w:rPr>
              <w:t>Performance attribution risk</w:t>
            </w:r>
          </w:p>
        </w:tc>
        <w:tc>
          <w:tcPr>
            <w:tcW w:type="dxa" w:w="7920"/>
            <w:vAlign w:val="top"/>
          </w:tcPr>
          <w:p>
            <w:r>
              <w:rPr>
                <w:rFonts w:ascii="Aptos" w:hAnsi="Aptos"/>
                <w:sz w:val="18"/>
              </w:rPr>
            </w:r>
            <w:r>
              <w:rPr>
                <w:rFonts w:ascii="Aptos" w:hAnsi="Aptos"/>
                <w:b w:val="0"/>
                <w:sz w:val="18"/>
              </w:rPr>
              <w:t>A performance narrative may form from outcomes in situations where Garrett was not engaged early enough to lead.</w:t>
            </w:r>
          </w:p>
        </w:tc>
      </w:tr>
      <w:tr>
        <w:tc>
          <w:tcPr>
            <w:tcW w:type="dxa" w:w="2880"/>
            <w:vAlign w:val="top"/>
          </w:tcPr>
          <w:p>
            <w:r>
              <w:rPr>
                <w:rFonts w:ascii="Aptos" w:hAnsi="Aptos"/>
                <w:sz w:val="18"/>
              </w:rPr>
            </w:r>
            <w:r>
              <w:rPr>
                <w:rFonts w:ascii="Aptos" w:hAnsi="Aptos"/>
                <w:b w:val="0"/>
                <w:sz w:val="18"/>
              </w:rPr>
              <w:t>Retaliation / protected-activity sensitivity</w:t>
            </w:r>
          </w:p>
        </w:tc>
        <w:tc>
          <w:tcPr>
            <w:tcW w:type="dxa" w:w="7920"/>
            <w:vAlign w:val="top"/>
          </w:tcPr>
          <w:p>
            <w:r>
              <w:rPr>
                <w:rFonts w:ascii="Aptos" w:hAnsi="Aptos"/>
                <w:sz w:val="18"/>
              </w:rPr>
            </w:r>
            <w:r>
              <w:rPr>
                <w:rFonts w:ascii="Aptos" w:hAnsi="Aptos"/>
                <w:b w:val="0"/>
                <w:sz w:val="18"/>
              </w:rPr>
              <w:t>When support or communication concerns are raised and immediately followed by performance-gap language, the timing can create risk. This document does not allege retaliation; it flags a sensitivity that should be handled carefully.</w:t>
            </w:r>
          </w:p>
        </w:tc>
      </w:tr>
      <w:tr>
        <w:tc>
          <w:tcPr>
            <w:tcW w:type="dxa" w:w="2880"/>
            <w:vAlign w:val="top"/>
          </w:tcPr>
          <w:p>
            <w:r>
              <w:rPr>
                <w:rFonts w:ascii="Aptos" w:hAnsi="Aptos"/>
                <w:sz w:val="18"/>
              </w:rPr>
            </w:r>
            <w:r>
              <w:rPr>
                <w:rFonts w:ascii="Aptos" w:hAnsi="Aptos"/>
                <w:b w:val="0"/>
                <w:sz w:val="18"/>
              </w:rPr>
              <w:t>Employee relations risk</w:t>
            </w:r>
          </w:p>
        </w:tc>
        <w:tc>
          <w:tcPr>
            <w:tcW w:type="dxa" w:w="7920"/>
            <w:vAlign w:val="top"/>
          </w:tcPr>
          <w:p>
            <w:r>
              <w:rPr>
                <w:rFonts w:ascii="Aptos" w:hAnsi="Aptos"/>
                <w:sz w:val="18"/>
              </w:rPr>
            </w:r>
            <w:r>
              <w:rPr>
                <w:rFonts w:ascii="Aptos" w:hAnsi="Aptos"/>
                <w:b w:val="0"/>
                <w:sz w:val="18"/>
              </w:rPr>
              <w:t>Late HR engagement in sensitive matters, including domestic-violence-related concerns, can limit early mitigation, documentation, and consistency.</w:t>
            </w:r>
          </w:p>
        </w:tc>
      </w:tr>
      <w:tr>
        <w:tc>
          <w:tcPr>
            <w:tcW w:type="dxa" w:w="2880"/>
            <w:vAlign w:val="top"/>
          </w:tcPr>
          <w:p>
            <w:r>
              <w:rPr>
                <w:rFonts w:ascii="Aptos" w:hAnsi="Aptos"/>
                <w:sz w:val="18"/>
              </w:rPr>
            </w:r>
            <w:r>
              <w:rPr>
                <w:rFonts w:ascii="Aptos" w:hAnsi="Aptos"/>
                <w:b w:val="0"/>
                <w:sz w:val="18"/>
              </w:rPr>
              <w:t>Compliance / training fairness risk</w:t>
            </w:r>
          </w:p>
        </w:tc>
        <w:tc>
          <w:tcPr>
            <w:tcW w:type="dxa" w:w="7920"/>
            <w:vAlign w:val="top"/>
          </w:tcPr>
          <w:p>
            <w:r>
              <w:rPr>
                <w:rFonts w:ascii="Aptos" w:hAnsi="Aptos"/>
                <w:sz w:val="18"/>
              </w:rPr>
            </w:r>
            <w:r>
              <w:rPr>
                <w:rFonts w:ascii="Aptos" w:hAnsi="Aptos"/>
                <w:b w:val="0"/>
                <w:sz w:val="18"/>
              </w:rPr>
              <w:t>BME-related critique may be unfair if specific training was not actually provided or only provided through video content. Outlook and calendar records should verify training history.</w:t>
            </w:r>
          </w:p>
        </w:tc>
      </w:tr>
      <w:tr>
        <w:tc>
          <w:tcPr>
            <w:tcW w:type="dxa" w:w="2880"/>
            <w:vAlign w:val="top"/>
          </w:tcPr>
          <w:p>
            <w:r>
              <w:rPr>
                <w:rFonts w:ascii="Aptos" w:hAnsi="Aptos"/>
                <w:sz w:val="18"/>
              </w:rPr>
            </w:r>
            <w:r>
              <w:rPr>
                <w:rFonts w:ascii="Aptos" w:hAnsi="Aptos"/>
                <w:b w:val="0"/>
                <w:sz w:val="18"/>
              </w:rPr>
              <w:t>Role clarity risk</w:t>
            </w:r>
          </w:p>
        </w:tc>
        <w:tc>
          <w:tcPr>
            <w:tcW w:type="dxa" w:w="7920"/>
            <w:vAlign w:val="top"/>
          </w:tcPr>
          <w:p>
            <w:r>
              <w:rPr>
                <w:rFonts w:ascii="Aptos" w:hAnsi="Aptos"/>
                <w:sz w:val="18"/>
              </w:rPr>
            </w:r>
            <w:r>
              <w:rPr>
                <w:rFonts w:ascii="Aptos" w:hAnsi="Aptos"/>
                <w:b w:val="0"/>
                <w:sz w:val="18"/>
              </w:rPr>
              <w:t>Unresolved admin responsibilities, direct report routing, and multiple HR entry points create ambiguity about who owns what.</w:t>
            </w:r>
          </w:p>
        </w:tc>
      </w:tr>
      <w:tr>
        <w:tc>
          <w:tcPr>
            <w:tcW w:type="dxa" w:w="2880"/>
            <w:vAlign w:val="top"/>
          </w:tcPr>
          <w:p>
            <w:r>
              <w:rPr>
                <w:rFonts w:ascii="Aptos" w:hAnsi="Aptos"/>
                <w:sz w:val="18"/>
              </w:rPr>
            </w:r>
            <w:r>
              <w:rPr>
                <w:rFonts w:ascii="Aptos" w:hAnsi="Aptos"/>
                <w:b w:val="0"/>
                <w:sz w:val="18"/>
              </w:rPr>
              <w:t>Organizational credibility risk</w:t>
            </w:r>
          </w:p>
        </w:tc>
        <w:tc>
          <w:tcPr>
            <w:tcW w:type="dxa" w:w="7920"/>
            <w:vAlign w:val="top"/>
          </w:tcPr>
          <w:p>
            <w:r>
              <w:rPr>
                <w:rFonts w:ascii="Aptos" w:hAnsi="Aptos"/>
                <w:sz w:val="18"/>
              </w:rPr>
            </w:r>
            <w:r>
              <w:rPr>
                <w:rFonts w:ascii="Aptos" w:hAnsi="Aptos"/>
                <w:b w:val="0"/>
                <w:sz w:val="18"/>
              </w:rPr>
              <w:t>If support is added without clarifying ownership, the support itself can be read as evidence of individual deficiency rather than system correction.</w:t>
            </w:r>
          </w:p>
        </w:tc>
      </w:tr>
      <w:tr>
        <w:tc>
          <w:tcPr>
            <w:tcW w:type="dxa" w:w="2880"/>
            <w:vAlign w:val="top"/>
          </w:tcPr>
          <w:p>
            <w:r>
              <w:rPr>
                <w:rFonts w:ascii="Aptos" w:hAnsi="Aptos"/>
                <w:sz w:val="18"/>
              </w:rPr>
            </w:r>
            <w:r>
              <w:rPr>
                <w:rFonts w:ascii="Aptos" w:hAnsi="Aptos"/>
                <w:b w:val="0"/>
                <w:sz w:val="18"/>
              </w:rPr>
              <w:t>Documentation integrity risk</w:t>
            </w:r>
          </w:p>
        </w:tc>
        <w:tc>
          <w:tcPr>
            <w:tcW w:type="dxa" w:w="7920"/>
            <w:vAlign w:val="top"/>
          </w:tcPr>
          <w:p>
            <w:r>
              <w:rPr>
                <w:rFonts w:ascii="Aptos" w:hAnsi="Aptos"/>
                <w:sz w:val="18"/>
              </w:rPr>
            </w:r>
            <w:r>
              <w:rPr>
                <w:rFonts w:ascii="Aptos" w:hAnsi="Aptos"/>
                <w:b w:val="0"/>
                <w:sz w:val="18"/>
              </w:rPr>
              <w:t>If timelines, source explanations, and performance narratives are not aligned, later documentation may not accurately reflect who knew what, when, and who had authority to act.</w:t>
            </w:r>
          </w:p>
        </w:tc>
      </w:tr>
    </w:tbl>
    <w:p/>
    <w:p>
      <w:pPr>
        <w:pStyle w:val="Heading1"/>
      </w:pPr>
      <w:r>
        <w:t>9. Termination Meeting / BME Training Addendum</w:t>
      </w:r>
    </w:p>
    <w:p>
      <w:r>
        <w:t>One additional context item should be preserved regarding the termination meeting and BME terminology. During that meeting, Jeff Dolan asked whether Garrett had told another manager that he was in a BME. Garrett responded that the exact wording he used was 'borderline BME.' Garrett states that it was not until Corina corrected him after that statement that he learned more about BME terminology and distinctions.</w:t>
      </w:r>
    </w:p>
    <w:p>
      <w:r>
        <w:t>Garrett also asked Jeff where the training had been for BME. Jeff responded that there had been ample training. Garrett does not recall receiving specific BME training from Corina, Jake, or anyone else, other than potentially a video series. This should be verified through Outlook, calendar history, Teams, LMS/training records, and any HR training materials.</w:t>
      </w:r>
    </w:p>
    <w:p>
      <w:r>
        <w:t>This point matters because if BME terminology or process knowledge is being used as part of performance critique, the organization should confirm what training was actually assigned, completed, discussed, or reinforced. A fair performance assessment should account for whether the relevant terminology and process expectations were formally trained, informally assumed, or learned only after correction.</w:t>
      </w:r>
    </w:p>
    <w:p>
      <w:pPr>
        <w:pStyle w:val="Heading1"/>
      </w:pPr>
      <w:r>
        <w:t>10. Missing Evidence and Suggested Searches</w:t>
      </w:r>
    </w:p>
    <w:p>
      <w:r>
        <w:t>The uploaded memo notes that Outlook, Teams, SharePoint / OneDrive, Slack, internal HR case systems, and calendar history were not reviewed in the source environment. Those systems are likely to contain the most important additional evidence. The following searches should be prioritized.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9"/>
            <w:vAlign w:val="center"/>
          </w:tcPr>
          <w:p>
            <w:pPr>
              <w:jc w:val="center"/>
            </w:pPr>
            <w:r>
              <w:rPr>
                <w:rFonts w:ascii="Aptos" w:hAnsi="Aptos"/>
                <w:sz w:val="18"/>
              </w:rPr>
            </w:r>
            <w:r>
              <w:rPr>
                <w:rFonts w:ascii="Aptos" w:hAnsi="Aptos"/>
                <w:b/>
                <w:color w:val="FFFFFF"/>
                <w:sz w:val="18"/>
              </w:rPr>
              <w:t>Source</w:t>
            </w:r>
          </w:p>
        </w:tc>
        <w:tc>
          <w:tcPr>
            <w:tcW w:type="dxa" w:w="8352"/>
            <w:shd w:fill="1F4E79"/>
            <w:vAlign w:val="center"/>
          </w:tcPr>
          <w:p>
            <w:pPr>
              <w:jc w:val="center"/>
            </w:pPr>
            <w:r>
              <w:rPr>
                <w:rFonts w:ascii="Aptos" w:hAnsi="Aptos"/>
                <w:sz w:val="18"/>
              </w:rPr>
            </w:r>
            <w:r>
              <w:rPr>
                <w:rFonts w:ascii="Aptos" w:hAnsi="Aptos"/>
                <w:b/>
                <w:color w:val="FFFFFF"/>
                <w:sz w:val="18"/>
              </w:rPr>
              <w:t>Priority searches</w:t>
            </w:r>
          </w:p>
        </w:tc>
      </w:tr>
      <w:tr>
        <w:tc>
          <w:tcPr>
            <w:tcW w:type="dxa" w:w="2448"/>
            <w:vAlign w:val="top"/>
          </w:tcPr>
          <w:p>
            <w:r>
              <w:rPr>
                <w:rFonts w:ascii="Aptos" w:hAnsi="Aptos"/>
                <w:sz w:val="18"/>
              </w:rPr>
            </w:r>
            <w:r>
              <w:rPr>
                <w:rFonts w:ascii="Aptos" w:hAnsi="Aptos"/>
                <w:b w:val="0"/>
                <w:sz w:val="18"/>
              </w:rPr>
              <w:t>Outlook</w:t>
            </w:r>
          </w:p>
        </w:tc>
        <w:tc>
          <w:tcPr>
            <w:tcW w:type="dxa" w:w="8352"/>
            <w:vAlign w:val="top"/>
          </w:tcPr>
          <w:p>
            <w:r>
              <w:rPr>
                <w:rFonts w:ascii="Aptos" w:hAnsi="Aptos"/>
                <w:sz w:val="18"/>
              </w:rPr>
            </w:r>
            <w:r>
              <w:rPr>
                <w:rFonts w:ascii="Aptos" w:hAnsi="Aptos"/>
                <w:b w:val="0"/>
                <w:sz w:val="18"/>
              </w:rPr>
              <w:t>Corina; Kevin; Jeff; Andy; Corey; Dan; Joe; Danielle; Jasmin; Jordyn; Jill; MVP; Alex Salah; lack of engagement; performance gaps; support; self-reflection; investigate; Our House Our Home; BME; ethics and compliance; admin roles and responsibilities; intern onboarding; TY workbook; ADA; retaliation; remote work; termination</w:t>
            </w:r>
          </w:p>
        </w:tc>
      </w:tr>
      <w:tr>
        <w:tc>
          <w:tcPr>
            <w:tcW w:type="dxa" w:w="2448"/>
            <w:vAlign w:val="top"/>
          </w:tcPr>
          <w:p>
            <w:r>
              <w:rPr>
                <w:rFonts w:ascii="Aptos" w:hAnsi="Aptos"/>
                <w:sz w:val="18"/>
              </w:rPr>
            </w:r>
            <w:r>
              <w:rPr>
                <w:rFonts w:ascii="Aptos" w:hAnsi="Aptos"/>
                <w:b w:val="0"/>
                <w:sz w:val="18"/>
              </w:rPr>
              <w:t>Teams</w:t>
            </w:r>
          </w:p>
        </w:tc>
        <w:tc>
          <w:tcPr>
            <w:tcW w:type="dxa" w:w="8352"/>
            <w:vAlign w:val="top"/>
          </w:tcPr>
          <w:p>
            <w:r>
              <w:rPr>
                <w:rFonts w:ascii="Aptos" w:hAnsi="Aptos"/>
                <w:sz w:val="18"/>
              </w:rPr>
            </w:r>
            <w:r>
              <w:rPr>
                <w:rFonts w:ascii="Aptos" w:hAnsi="Aptos"/>
                <w:b w:val="0"/>
                <w:sz w:val="18"/>
              </w:rPr>
              <w:t>coming to me instead of you; people are going to Corina; communication flow; who to go to; support needed; gaps; not engaged; performance; Tandee; BME; Our House Our Home; MVP</w:t>
            </w:r>
          </w:p>
        </w:tc>
      </w:tr>
      <w:tr>
        <w:tc>
          <w:tcPr>
            <w:tcW w:type="dxa" w:w="2448"/>
            <w:vAlign w:val="top"/>
          </w:tcPr>
          <w:p>
            <w:r>
              <w:rPr>
                <w:rFonts w:ascii="Aptos" w:hAnsi="Aptos"/>
                <w:sz w:val="18"/>
              </w:rPr>
            </w:r>
            <w:r>
              <w:rPr>
                <w:rFonts w:ascii="Aptos" w:hAnsi="Aptos"/>
                <w:b w:val="0"/>
                <w:sz w:val="18"/>
              </w:rPr>
              <w:t>SharePoint / OneDrive</w:t>
            </w:r>
          </w:p>
        </w:tc>
        <w:tc>
          <w:tcPr>
            <w:tcW w:type="dxa" w:w="8352"/>
            <w:vAlign w:val="top"/>
          </w:tcPr>
          <w:p>
            <w:r>
              <w:rPr>
                <w:rFonts w:ascii="Aptos" w:hAnsi="Aptos"/>
                <w:sz w:val="18"/>
              </w:rPr>
            </w:r>
            <w:r>
              <w:rPr>
                <w:rFonts w:ascii="Aptos" w:hAnsi="Aptos"/>
                <w:b w:val="0"/>
                <w:sz w:val="18"/>
              </w:rPr>
              <w:t>HR Coordination folder; BMES procedures; ethics / compliance materials; Our House Our Home materials; onboarding tracker; intern experience deck; onboarding PowerPoints; recruiting and executive presentations; admin role documentation</w:t>
            </w:r>
          </w:p>
        </w:tc>
      </w:tr>
      <w:tr>
        <w:tc>
          <w:tcPr>
            <w:tcW w:type="dxa" w:w="2448"/>
            <w:vAlign w:val="top"/>
          </w:tcPr>
          <w:p>
            <w:r>
              <w:rPr>
                <w:rFonts w:ascii="Aptos" w:hAnsi="Aptos"/>
                <w:sz w:val="18"/>
              </w:rPr>
            </w:r>
            <w:r>
              <w:rPr>
                <w:rFonts w:ascii="Aptos" w:hAnsi="Aptos"/>
                <w:b w:val="0"/>
                <w:sz w:val="18"/>
              </w:rPr>
              <w:t>Calendar / LMS</w:t>
            </w:r>
          </w:p>
        </w:tc>
        <w:tc>
          <w:tcPr>
            <w:tcW w:type="dxa" w:w="8352"/>
            <w:vAlign w:val="top"/>
          </w:tcPr>
          <w:p>
            <w:r>
              <w:rPr>
                <w:rFonts w:ascii="Aptos" w:hAnsi="Aptos"/>
                <w:sz w:val="18"/>
              </w:rPr>
            </w:r>
            <w:r>
              <w:rPr>
                <w:rFonts w:ascii="Aptos" w:hAnsi="Aptos"/>
                <w:b w:val="0"/>
                <w:sz w:val="18"/>
              </w:rPr>
              <w:t>BME training; ethics training; Our House Our Home; HRM meetings; onboarding; ER; escalation; project HR; remote work; termination; attendee lists; original invites versus forwarded/late additions</w:t>
            </w:r>
          </w:p>
        </w:tc>
      </w:tr>
      <w:tr>
        <w:tc>
          <w:tcPr>
            <w:tcW w:type="dxa" w:w="2448"/>
            <w:vAlign w:val="top"/>
          </w:tcPr>
          <w:p>
            <w:r>
              <w:rPr>
                <w:rFonts w:ascii="Aptos" w:hAnsi="Aptos"/>
                <w:sz w:val="18"/>
              </w:rPr>
            </w:r>
            <w:r>
              <w:rPr>
                <w:rFonts w:ascii="Aptos" w:hAnsi="Aptos"/>
                <w:b w:val="0"/>
                <w:sz w:val="18"/>
              </w:rPr>
              <w:t>HR systems / case files</w:t>
            </w:r>
          </w:p>
        </w:tc>
        <w:tc>
          <w:tcPr>
            <w:tcW w:type="dxa" w:w="8352"/>
            <w:vAlign w:val="top"/>
          </w:tcPr>
          <w:p>
            <w:r>
              <w:rPr>
                <w:rFonts w:ascii="Aptos" w:hAnsi="Aptos"/>
                <w:sz w:val="18"/>
              </w:rPr>
            </w:r>
            <w:r>
              <w:rPr>
                <w:rFonts w:ascii="Aptos" w:hAnsi="Aptos"/>
                <w:b w:val="0"/>
                <w:sz w:val="18"/>
              </w:rPr>
              <w:t>Domestic violence matter; Shelby matter; Carl / Troy matter; Tandee role expectations; any documented performance feedback or support-plan discussion</w:t>
            </w:r>
          </w:p>
        </w:tc>
      </w:tr>
    </w:tbl>
    <w:p/>
    <w:p>
      <w:pPr>
        <w:pStyle w:val="Heading1"/>
      </w:pPr>
      <w:r>
        <w:t>11. Most Important Conversations and Records to Preserve</w:t>
      </w:r>
    </w:p>
    <w:p>
      <w:pPr>
        <w:pStyle w:val="ListNumber"/>
      </w:pPr>
      <w:r>
        <w:t>The Corina conversation stating MVP was due to lack of engagement/performance and that leadership wanted more.</w:t>
      </w:r>
    </w:p>
    <w:p>
      <w:pPr>
        <w:pStyle w:val="ListNumber"/>
      </w:pPr>
      <w:r>
        <w:t>The Joe Glowacki conversation clarifying that MVP was driven by Alex Salah / Google and that performance feedback was positive.</w:t>
      </w:r>
    </w:p>
    <w:p>
      <w:pPr>
        <w:pStyle w:val="ListNumber"/>
      </w:pPr>
      <w:r>
        <w:t>The termination meeting notes or recollection involving Jeff Dolan, BME wording, and BME training questions.</w:t>
      </w:r>
    </w:p>
    <w:p>
      <w:pPr>
        <w:pStyle w:val="ListNumber"/>
      </w:pPr>
      <w:r>
        <w:t>The Tandee Butler email thread and any conversations where investigation language was used or later retracted.</w:t>
      </w:r>
    </w:p>
    <w:p>
      <w:pPr>
        <w:pStyle w:val="ListNumber"/>
      </w:pPr>
      <w:r>
        <w:t>All Our House Our Home, BME, ethics, and compliance email threads, especially ownership commitments and Jill involvement.</w:t>
      </w:r>
    </w:p>
    <w:p>
      <w:pPr>
        <w:pStyle w:val="ListNumber"/>
      </w:pPr>
      <w:r>
        <w:t>HRM / Texas HR conversations where perception of lack of engagement was shared or discussed.</w:t>
      </w:r>
    </w:p>
    <w:p>
      <w:pPr>
        <w:pStyle w:val="ListNumber"/>
      </w:pPr>
      <w:r>
        <w:t>Emails or Teams where Jasmin or Danielle routed communication to Jordyn or added Garrett after initial communication.</w:t>
      </w:r>
    </w:p>
    <w:p>
      <w:pPr>
        <w:pStyle w:val="ListNumber"/>
      </w:pPr>
      <w:r>
        <w:t>Andy hiring / recruiting email routing action to Corina while copying Garrett.</w:t>
      </w:r>
    </w:p>
    <w:p>
      <w:pPr>
        <w:pStyle w:val="ListNumber"/>
      </w:pPr>
      <w:r>
        <w:t>HR/Ops Connect notes from March 19 and April 16, plus January/February versions if available.</w:t>
      </w:r>
    </w:p>
    <w:p>
      <w:pPr>
        <w:pStyle w:val="ListNumber"/>
      </w:pPr>
      <w:r>
        <w:t>Any email, Teams, calendar, or LMS record showing whether BME training was provided, assigned, completed, or discussed.</w:t>
      </w:r>
    </w:p>
    <w:p>
      <w:pPr>
        <w:pStyle w:val="ListNumber"/>
      </w:pPr>
      <w:r>
        <w:t>Any ADA, retaliation, remote work, selective enforcement, or termination-related communications.</w:t>
      </w:r>
    </w:p>
    <w:p>
      <w:pPr>
        <w:pStyle w:val="Heading1"/>
      </w:pPr>
      <w:r>
        <w:t>12. Evidence Strength and Caution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4E79"/>
            <w:vAlign w:val="center"/>
          </w:tcPr>
          <w:p>
            <w:pPr>
              <w:jc w:val="center"/>
            </w:pPr>
            <w:r>
              <w:rPr>
                <w:rFonts w:ascii="Aptos" w:hAnsi="Aptos"/>
                <w:sz w:val="18"/>
              </w:rPr>
            </w:r>
            <w:r>
              <w:rPr>
                <w:rFonts w:ascii="Aptos" w:hAnsi="Aptos"/>
                <w:b/>
                <w:color w:val="FFFFFF"/>
                <w:sz w:val="18"/>
              </w:rPr>
              <w:t>Evidence category</w:t>
            </w:r>
          </w:p>
        </w:tc>
        <w:tc>
          <w:tcPr>
            <w:tcW w:type="dxa" w:w="7632"/>
            <w:shd w:fill="1F4E79"/>
            <w:vAlign w:val="center"/>
          </w:tcPr>
          <w:p>
            <w:pPr>
              <w:jc w:val="center"/>
            </w:pPr>
            <w:r>
              <w:rPr>
                <w:rFonts w:ascii="Aptos" w:hAnsi="Aptos"/>
                <w:sz w:val="18"/>
              </w:rPr>
            </w:r>
            <w:r>
              <w:rPr>
                <w:rFonts w:ascii="Aptos" w:hAnsi="Aptos"/>
                <w:b/>
                <w:color w:val="FFFFFF"/>
                <w:sz w:val="18"/>
              </w:rPr>
              <w:t>Current status</w:t>
            </w:r>
          </w:p>
        </w:tc>
      </w:tr>
      <w:tr>
        <w:tc>
          <w:tcPr>
            <w:tcW w:type="dxa" w:w="3168"/>
            <w:vAlign w:val="top"/>
          </w:tcPr>
          <w:p>
            <w:r>
              <w:rPr>
                <w:rFonts w:ascii="Aptos" w:hAnsi="Aptos"/>
                <w:sz w:val="18"/>
              </w:rPr>
            </w:r>
            <w:r>
              <w:rPr>
                <w:rFonts w:ascii="Aptos" w:hAnsi="Aptos"/>
                <w:b w:val="0"/>
                <w:sz w:val="18"/>
              </w:rPr>
              <w:t>Strongly supported from uploaded memo / available record</w:t>
            </w:r>
          </w:p>
        </w:tc>
        <w:tc>
          <w:tcPr>
            <w:tcW w:type="dxa" w:w="7632"/>
            <w:vAlign w:val="top"/>
          </w:tcPr>
          <w:p>
            <w:r>
              <w:rPr>
                <w:rFonts w:ascii="Aptos" w:hAnsi="Aptos"/>
                <w:sz w:val="18"/>
              </w:rPr>
            </w:r>
            <w:r>
              <w:rPr>
                <w:rFonts w:ascii="Aptos" w:hAnsi="Aptos"/>
                <w:b w:val="0"/>
                <w:sz w:val="18"/>
              </w:rPr>
              <w:t>Role clarity ambiguity; two-tier HR structure; communication friction with campus lead; at least one missed operational decision meeting; formal HR role baseline.</w:t>
            </w:r>
          </w:p>
        </w:tc>
      </w:tr>
      <w:tr>
        <w:tc>
          <w:tcPr>
            <w:tcW w:type="dxa" w:w="3168"/>
            <w:vAlign w:val="top"/>
          </w:tcPr>
          <w:p>
            <w:r>
              <w:rPr>
                <w:rFonts w:ascii="Aptos" w:hAnsi="Aptos"/>
                <w:sz w:val="18"/>
              </w:rPr>
            </w:r>
            <w:r>
              <w:rPr>
                <w:rFonts w:ascii="Aptos" w:hAnsi="Aptos"/>
                <w:b w:val="0"/>
                <w:sz w:val="18"/>
              </w:rPr>
              <w:t>Strongly supported from user-provided direct account and screenshots</w:t>
            </w:r>
          </w:p>
        </w:tc>
        <w:tc>
          <w:tcPr>
            <w:tcW w:type="dxa" w:w="7632"/>
            <w:vAlign w:val="top"/>
          </w:tcPr>
          <w:p>
            <w:r>
              <w:rPr>
                <w:rFonts w:ascii="Aptos" w:hAnsi="Aptos"/>
                <w:sz w:val="18"/>
              </w:rPr>
            </w:r>
            <w:r>
              <w:rPr>
                <w:rFonts w:ascii="Aptos" w:hAnsi="Aptos"/>
                <w:b w:val="0"/>
                <w:sz w:val="18"/>
              </w:rPr>
              <w:t>MVP / Joe contradiction; Andy hiring email routing to Corina; HR-group perception statements; Corina responses about gaps/support/self-reflection; BME training discussion in termination meeting.</w:t>
            </w:r>
          </w:p>
        </w:tc>
      </w:tr>
      <w:tr>
        <w:tc>
          <w:tcPr>
            <w:tcW w:type="dxa" w:w="3168"/>
            <w:vAlign w:val="top"/>
          </w:tcPr>
          <w:p>
            <w:r>
              <w:rPr>
                <w:rFonts w:ascii="Aptos" w:hAnsi="Aptos"/>
                <w:sz w:val="18"/>
              </w:rPr>
            </w:r>
            <w:r>
              <w:rPr>
                <w:rFonts w:ascii="Aptos" w:hAnsi="Aptos"/>
                <w:b w:val="0"/>
                <w:sz w:val="18"/>
              </w:rPr>
              <w:t>Partially supported / needs export</w:t>
            </w:r>
          </w:p>
        </w:tc>
        <w:tc>
          <w:tcPr>
            <w:tcW w:type="dxa" w:w="7632"/>
            <w:vAlign w:val="top"/>
          </w:tcPr>
          <w:p>
            <w:r>
              <w:rPr>
                <w:rFonts w:ascii="Aptos" w:hAnsi="Aptos"/>
                <w:sz w:val="18"/>
              </w:rPr>
            </w:r>
            <w:r>
              <w:rPr>
                <w:rFonts w:ascii="Aptos" w:hAnsi="Aptos"/>
                <w:b w:val="0"/>
                <w:sz w:val="18"/>
              </w:rPr>
              <w:t>Domestic violence timeline; Shelby matter; Our House Our Home ownership; full HRM meeting exclusion context; direct report routing frequency; ADA/retaliation/remote work/termination context.</w:t>
            </w:r>
          </w:p>
        </w:tc>
      </w:tr>
      <w:tr>
        <w:tc>
          <w:tcPr>
            <w:tcW w:type="dxa" w:w="3168"/>
            <w:vAlign w:val="top"/>
          </w:tcPr>
          <w:p>
            <w:r>
              <w:rPr>
                <w:rFonts w:ascii="Aptos" w:hAnsi="Aptos"/>
                <w:sz w:val="18"/>
              </w:rPr>
            </w:r>
            <w:r>
              <w:rPr>
                <w:rFonts w:ascii="Aptos" w:hAnsi="Aptos"/>
                <w:b w:val="0"/>
                <w:sz w:val="18"/>
              </w:rPr>
              <w:t>Interpretive / do not state as fact</w:t>
            </w:r>
          </w:p>
        </w:tc>
        <w:tc>
          <w:tcPr>
            <w:tcW w:type="dxa" w:w="7632"/>
            <w:vAlign w:val="top"/>
          </w:tcPr>
          <w:p>
            <w:r>
              <w:rPr>
                <w:rFonts w:ascii="Aptos" w:hAnsi="Aptos"/>
                <w:sz w:val="18"/>
              </w:rPr>
            </w:r>
            <w:r>
              <w:rPr>
                <w:rFonts w:ascii="Aptos" w:hAnsi="Aptos"/>
                <w:b w:val="0"/>
                <w:sz w:val="18"/>
              </w:rPr>
              <w:t>Intentional targeting; deliberate reputation damage; motive behind Corina or others; whether any individual knowingly misrepresented facts.</w:t>
            </w:r>
          </w:p>
        </w:tc>
      </w:tr>
    </w:tbl>
    <w:p/>
    <w:p>
      <w:pPr>
        <w:pStyle w:val="Heading1"/>
      </w:pPr>
      <w:r>
        <w:t>13. Bottom-Line Narrative</w:t>
      </w:r>
    </w:p>
    <w:p>
      <w:r>
        <w:t>The best available reconstruction is that the formal HR role and the practical operating model are not aligned. Garrett is documented and expected as the on-project HR lead, but key workstreams and sensitive issues are often initiated or framed elsewhere. When he is later engaged, he is expected to execute and answer for outcomes shaped upstream or in parallel.</w:t>
      </w:r>
    </w:p>
    <w:p>
      <w:r>
        <w:t>That would be difficult enough as an operational matter. It becomes significantly more serious when the downstream posture created by late engagement is then interpreted as lack of engagement, need for support, or performance gaps. The issue is therefore not only communication. It is performance attribution.</w:t>
      </w:r>
    </w:p>
    <w:p>
      <w:r>
        <w:t>The MVP / Joe contradiction is the clearest example of source facts diverging from relayed performance narrative. The Andy recruiting email is the clearest routine example of leadership routing HR action to Corina rather than Garrett. The Tandee matter shows uncertainty around HR authority. The HR/Ops record shows the underlying role and communication concerns predated the recent escalation. The BME / termination-meeting addendum raises a fairness question about whether process terminology was adequately trained before being used as critique.</w:t>
      </w:r>
    </w:p>
    <w:p>
      <w:r>
        <w:t>This document does not assign motive. It does not seek to get anyone in trouble. It preserves the context needed to evaluate the concern fairly: the current operating model is converting late engagement and fragmented routing into apparent performance deficiencies. That is the issue that needs leadership review and correction.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Self-Prepared Internal Documentation | Garrett Baxley | HR Engagement and Performance Attribution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