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 ATTORNEY-CLIENT COMMUNICATION. NOT FOR FILING OR PRODUCTION.</w:t>
      </w:r>
    </w:p>
    <w:p>
      <w:pPr>
        <w:jc w:val="center"/>
      </w:pPr>
      <w:r>
        <w:rPr>
          <w:b/>
          <w:sz w:val="30"/>
        </w:rPr>
        <w:t>Memorandum to Counsel: Issues That Do Not Belong in the Rebuttal</w:t>
      </w:r>
    </w:p>
    <w:p>
      <w:pPr>
        <w:jc w:val="center"/>
      </w:pPr>
      <w:r>
        <w:rPr>
          <w:sz w:val="21"/>
        </w:rPr>
        <w:t>To: Madeline Garza, Rob Wiley, P.C.  |  From: Garrett Baxley  |  Date: September 30, 2026</w:t>
        <w:br/>
        <w:t>Re: Baxley v. Turner Construction Co., EEOC Charge No. 460-2026-09584; Turner Position Statement dated September 30, 2026</w:t>
      </w:r>
    </w:p>
    <w:p>
      <w:r>
        <w:t>This memo accompanies the draft rebuttal. It covers deadlines and representation, settlement value, the device allegations, and exposures on my side that I would rather you hear from me than from Turner. Items marked UNVERIFIED were not confirmed against a primary source.</w:t>
      </w:r>
    </w:p>
    <w:p>
      <w:pPr>
        <w:pStyle w:val="Heading1"/>
      </w:pPr>
      <w:r>
        <w:t>1. Bottom line</w:t>
      </w:r>
    </w:p>
    <w:p>
      <w:pPr>
        <w:pStyle w:val="ListBullet"/>
      </w:pPr>
      <w:r>
        <w:rPr>
          <w:b/>
        </w:rPr>
        <w:t>Failure to accommodate is the strongest claim, and there is new, directly on-point authority.</w:t>
      </w:r>
      <w:r>
        <w:t xml:space="preserve"> Way v. City of Missouri City, No. 24-20144 (5th Cir. Apr. 9, 2025) (published), reversed summary judgment on ADA and Chapter 21 failure-to-accommodate claims where an employee with anxiety asked her supervisor "for clear expectations, timelines and workflows that work for everyone, and for her to provide this information in writing," and the supervisor "never provided the requested information" (slip op. at 11-13). The same opinion holds those requests "constituted protected activities" (slip op. at 17). Turner's Position Statement does not cite it. Turner's own footnotes supply the notice elements: receipt (PS p. 3), purpose of the manual (n.1), and Murguia's knowledge of my depression and anxiety plus the EAP referral and flexibility offer (n.3).</w:t>
      </w:r>
    </w:p>
    <w:p>
      <w:pPr>
        <w:pStyle w:val="ListBullet"/>
      </w:pPr>
      <w:r>
        <w:rPr>
          <w:b/>
        </w:rPr>
        <w:t>Decisionmaker knowledge is disputed but well supported.</w:t>
      </w:r>
      <w:r>
        <w:t xml:space="preserve"> Dolan's February 23 text ("Corina let me know you texted her and left your work phone at the office"), his own warning memo attributing the remark to "stress" (Ex. B), Murguia as the source of nearly every allegation while Turner says she "played no role" (PS p. 11), and Pope's June 5 statement that the review relied on "Human Resources representatives who worked directly with you."</w:t>
      </w:r>
    </w:p>
    <w:p>
      <w:pPr>
        <w:pStyle w:val="ListBullet"/>
      </w:pPr>
      <w:r>
        <w:rPr>
          <w:b/>
        </w:rPr>
        <w:t>Retaliation is the weakest claim on the later escalations.</w:t>
      </w:r>
      <w:r>
        <w:t xml:space="preserve"> Turner is right that my February 9, April 9, April 20, and May 4 escalations do not use disability or accommodation language (PS p. 13). The claim is solid on February 16 to February 27 (11 days) and supported on Omaha and May 14. Way helps on protected activity. Exhibit C, solicited by Tandon two days after my May 4 memo, is good pretext evidence even if the memo itself is not protected activity.</w:t>
      </w:r>
    </w:p>
    <w:p>
      <w:pPr>
        <w:pStyle w:val="ListBullet"/>
      </w:pPr>
      <w:r>
        <w:rPr>
          <w:b/>
        </w:rPr>
        <w:t>Turner's center of gravity is the device allegations.</w:t>
      </w:r>
      <w:r>
        <w:t xml:space="preserve"> Legally they go only to remedies, and Turner concedes they did not motivate the decision (PS p. 2). Practically they are why Turner opened and closed with them: credibility and settlement value. I will not put any factual statement about them in writing without your direction (Section 4).</w:t>
      </w:r>
    </w:p>
    <w:p>
      <w:pPr>
        <w:pStyle w:val="ListBullet"/>
      </w:pPr>
      <w:r>
        <w:rPr>
          <w:b/>
        </w:rPr>
        <w:t>Time is the immediate problem.</w:t>
      </w:r>
      <w:r>
        <w:t xml:space="preserve"> Your engagement term ends before the rebuttal is due (Section 2).</w:t>
      </w:r>
    </w:p>
    <w:p>
      <w:pPr>
        <w:pStyle w:val="Heading1"/>
      </w:pPr>
      <w:r>
        <w:t>1A. Adverse authority and record corrections you should know about</w:t>
      </w:r>
    </w:p>
    <w:p>
      <w:pPr>
        <w:pStyle w:val="ListBullet"/>
      </w:pPr>
      <w:r>
        <w:rPr>
          <w:b/>
        </w:rPr>
        <w:t>Hayes v. GStek, Inc., No. 25-30392 (5th Cir. May 8, 2026).</w:t>
      </w:r>
      <w:r>
        <w:t xml:space="preserve"> Affirmed dismissal on the pleadings for a plaintiff with autism, major depressive disorder, and social anxiety who requested accommodation and was fired for absenteeism. It held the retaliation claim fails with the accommodation claim: "Without being a qualified individual, his request for accommodation was doomed, and that failed request cannot be the basis for a retaliation claim." Distinguishable (essential functions, attendance), but Turner will find it. The accommodation count is load-bearing for retaliation.</w:t>
      </w:r>
    </w:p>
    <w:p>
      <w:pPr>
        <w:pStyle w:val="ListBullet"/>
      </w:pPr>
      <w:r>
        <w:rPr>
          <w:b/>
        </w:rPr>
        <w:t>Causation standards.</w:t>
      </w:r>
      <w:r>
        <w:t xml:space="preserve"> Prior research (flagged for your confirmation) indicates the Fifth Circuit applies a motivating-factor standard to ADA discrimination (EEOC v. LHC Group, 773 F.3d 688 (5th Cir. 2014)) and but-for to retaliation. Chapter 21 mixed-motive (Tex. Lab. Code 21.125(b)) can limit relief to declaratory relief and fees if Turner proves the same decision.</w:t>
      </w:r>
    </w:p>
    <w:p>
      <w:pPr>
        <w:pStyle w:val="ListBullet"/>
      </w:pPr>
      <w:r>
        <w:rPr>
          <w:b/>
        </w:rPr>
        <w:t>Medical documentation.</w:t>
      </w:r>
      <w:r>
        <w:t xml:space="preserve"> Autism is self-identified in this record. Treating-provider documentation of diagnoses and functional limitations is the cheapest upgrade available; it also raises the privacy and IME trade-off in Section 3.</w:t>
      </w:r>
    </w:p>
    <w:p>
      <w:pPr>
        <w:pStyle w:val="ListBullet"/>
      </w:pPr>
      <w:r>
        <w:rPr>
          <w:b/>
        </w:rPr>
        <w:t>My own exhibit index is wrong on one point.</w:t>
      </w:r>
      <w:r>
        <w:t xml:space="preserve"> It says the May 19 letter states "performance and availability." I re-read the letter (OCR of the signed PDF): it states no reason. The rebuttal uses the correct version.</w:t>
      </w:r>
    </w:p>
    <w:p>
      <w:pPr>
        <w:pStyle w:val="ListBullet"/>
      </w:pPr>
      <w:r>
        <w:rPr>
          <w:b/>
        </w:rPr>
        <w:t>iCloud witness.</w:t>
      </w:r>
      <w:r>
        <w:t xml:space="preserve"> My records identify Dan Blanton as a witness to Turner's practice of having employees sign personal iCloud accounts into company devices (one of the two individuals in your July letter).</w:t>
      </w:r>
    </w:p>
    <w:p>
      <w:pPr>
        <w:pStyle w:val="Heading1"/>
      </w:pPr>
      <w:r>
        <w:t>2. Deadlines and representation</w:t>
      </w:r>
    </w:p>
    <w:tbl>
      <w:tblPr>
        <w:tblStyle w:val="TableGrid"/>
        <w:tblW w:type="auto" w:w="0"/>
        <w:tblLayout w:type="fixed"/>
        <w:tblLook w:firstColumn="1" w:firstRow="1" w:lastColumn="0" w:lastRow="0" w:noHBand="0" w:noVBand="1" w:val="04A0"/>
      </w:tblPr>
      <w:tblGrid>
        <w:gridCol w:w="1872"/>
        <w:gridCol w:w="5616"/>
        <w:gridCol w:w="1872"/>
      </w:tblGrid>
      <w:tr>
        <w:tc>
          <w:tcPr>
            <w:tcW w:type="dxa" w:w="1872"/>
            <w:shd w:val="clear" w:color="auto" w:fill="D9E2F3"/>
          </w:tcPr>
          <w:p>
            <w:r/>
            <w:r>
              <w:rPr>
                <w:b/>
                <w:sz w:val="18"/>
              </w:rPr>
              <w:t>Date</w:t>
            </w:r>
          </w:p>
        </w:tc>
        <w:tc>
          <w:tcPr>
            <w:tcW w:type="dxa" w:w="5616"/>
            <w:shd w:val="clear" w:color="auto" w:fill="D9E2F3"/>
          </w:tcPr>
          <w:p>
            <w:r/>
            <w:r>
              <w:rPr>
                <w:b/>
                <w:sz w:val="18"/>
              </w:rPr>
              <w:t>Event</w:t>
            </w:r>
          </w:p>
        </w:tc>
        <w:tc>
          <w:tcPr>
            <w:tcW w:type="dxa" w:w="1872"/>
            <w:shd w:val="clear" w:color="auto" w:fill="D9E2F3"/>
          </w:tcPr>
          <w:p>
            <w:r/>
            <w:r>
              <w:rPr>
                <w:b/>
                <w:sz w:val="18"/>
              </w:rPr>
              <w:t>Source</w:t>
            </w:r>
          </w:p>
        </w:tc>
      </w:tr>
      <w:tr>
        <w:tc>
          <w:tcPr>
            <w:tcW w:type="dxa" w:w="1872"/>
          </w:tcPr>
          <w:p>
            <w:r>
              <w:rPr>
                <w:sz w:val="18"/>
              </w:rPr>
            </w:r>
            <w:r>
              <w:rPr>
                <w:sz w:val="18"/>
              </w:rPr>
              <w:t>June 8, 2026</w:t>
            </w:r>
          </w:p>
        </w:tc>
        <w:tc>
          <w:tcPr>
            <w:tcW w:type="dxa" w:w="5616"/>
          </w:tcPr>
          <w:p>
            <w:r>
              <w:rPr>
                <w:sz w:val="18"/>
              </w:rPr>
            </w:r>
            <w:r>
              <w:rPr>
                <w:sz w:val="18"/>
              </w:rPr>
              <w:t>Engagement agreement signed</w:t>
            </w:r>
          </w:p>
        </w:tc>
        <w:tc>
          <w:tcPr>
            <w:tcW w:type="dxa" w:w="1872"/>
          </w:tcPr>
          <w:p>
            <w:r>
              <w:rPr>
                <w:sz w:val="18"/>
              </w:rPr>
            </w:r>
            <w:r>
              <w:rPr>
                <w:sz w:val="18"/>
              </w:rPr>
              <w:t>Signed agreement</w:t>
            </w:r>
          </w:p>
        </w:tc>
      </w:tr>
      <w:tr>
        <w:tc>
          <w:tcPr>
            <w:tcW w:type="dxa" w:w="1872"/>
          </w:tcPr>
          <w:p>
            <w:r>
              <w:rPr>
                <w:sz w:val="18"/>
              </w:rPr>
            </w:r>
            <w:r>
              <w:rPr>
                <w:sz w:val="18"/>
              </w:rPr>
              <w:t>October 6, 2026</w:t>
            </w:r>
          </w:p>
        </w:tc>
        <w:tc>
          <w:tcPr>
            <w:tcW w:type="dxa" w:w="5616"/>
          </w:tcPr>
          <w:p>
            <w:r>
              <w:rPr>
                <w:sz w:val="18"/>
              </w:rPr>
            </w:r>
            <w:r>
              <w:rPr>
                <w:sz w:val="18"/>
              </w:rPr>
              <w:t>120 days after engagement. The agreement permits withdrawal at the end of the term and states: "This agreement does not include the filing of a lawsuit or arbitration" and "We have informed you that we will not file a lawsuit or arbitration in your case. At the end of the term of this agreement, you will have to evaluate any offer on the table (if any) and decide whether to take it or to drop your matter."</w:t>
            </w:r>
          </w:p>
        </w:tc>
        <w:tc>
          <w:tcPr>
            <w:tcW w:type="dxa" w:w="1872"/>
          </w:tcPr>
          <w:p>
            <w:r>
              <w:rPr>
                <w:sz w:val="18"/>
              </w:rPr>
            </w:r>
            <w:r>
              <w:rPr>
                <w:sz w:val="18"/>
              </w:rPr>
              <w:t>Signed agreement (quoted verbatim)</w:t>
            </w:r>
          </w:p>
        </w:tc>
      </w:tr>
      <w:tr>
        <w:tc>
          <w:tcPr>
            <w:tcW w:type="dxa" w:w="1872"/>
          </w:tcPr>
          <w:p>
            <w:r>
              <w:rPr>
                <w:sz w:val="18"/>
              </w:rPr>
            </w:r>
            <w:r>
              <w:rPr>
                <w:sz w:val="18"/>
              </w:rPr>
              <w:t>October 15, 2026</w:t>
            </w:r>
          </w:p>
        </w:tc>
        <w:tc>
          <w:tcPr>
            <w:tcW w:type="dxa" w:w="5616"/>
          </w:tcPr>
          <w:p>
            <w:r>
              <w:rPr>
                <w:sz w:val="18"/>
              </w:rPr>
            </w:r>
            <w:r>
              <w:rPr>
                <w:sz w:val="18"/>
              </w:rPr>
              <w:t>Rebuttal due through the EEOC portal</w:t>
            </w:r>
          </w:p>
        </w:tc>
        <w:tc>
          <w:tcPr>
            <w:tcW w:type="dxa" w:w="1872"/>
          </w:tcPr>
          <w:p>
            <w:r>
              <w:rPr>
                <w:sz w:val="18"/>
              </w:rPr>
            </w:r>
            <w:r>
              <w:rPr>
                <w:sz w:val="18"/>
              </w:rPr>
              <w:t>EEOC cover letter</w:t>
            </w:r>
          </w:p>
        </w:tc>
      </w:tr>
      <w:tr>
        <w:tc>
          <w:tcPr>
            <w:tcW w:type="dxa" w:w="1872"/>
          </w:tcPr>
          <w:p>
            <w:r>
              <w:rPr>
                <w:sz w:val="18"/>
              </w:rPr>
            </w:r>
            <w:r>
              <w:rPr>
                <w:sz w:val="18"/>
              </w:rPr>
              <w:t>Any time</w:t>
            </w:r>
          </w:p>
        </w:tc>
        <w:tc>
          <w:tcPr>
            <w:tcW w:type="dxa" w:w="5616"/>
          </w:tcPr>
          <w:p>
            <w:r>
              <w:rPr>
                <w:sz w:val="18"/>
              </w:rPr>
            </w:r>
            <w:r>
              <w:rPr>
                <w:sz w:val="18"/>
              </w:rPr>
              <w:t>EEOC may dismiss and issue a notice of right to sue. Federal suit must be filed within 90 days of receipt.</w:t>
            </w:r>
          </w:p>
        </w:tc>
        <w:tc>
          <w:tcPr>
            <w:tcW w:type="dxa" w:w="1872"/>
          </w:tcPr>
          <w:p>
            <w:r>
              <w:rPr>
                <w:sz w:val="18"/>
              </w:rPr>
            </w:r>
            <w:r>
              <w:rPr>
                <w:sz w:val="18"/>
              </w:rPr>
              <w:t>42 U.S.C. § 2000e-5(f)(1) via 42 U.S.C. § 12117(a)</w:t>
            </w:r>
          </w:p>
        </w:tc>
      </w:tr>
      <w:tr>
        <w:tc>
          <w:tcPr>
            <w:tcW w:type="dxa" w:w="1872"/>
          </w:tcPr>
          <w:p>
            <w:r>
              <w:rPr>
                <w:sz w:val="18"/>
              </w:rPr>
            </w:r>
            <w:r>
              <w:rPr>
                <w:sz w:val="18"/>
              </w:rPr>
              <w:t>February 15, 2027</w:t>
            </w:r>
          </w:p>
        </w:tc>
        <w:tc>
          <w:tcPr>
            <w:tcW w:type="dxa" w:w="5616"/>
          </w:tcPr>
          <w:p>
            <w:r>
              <w:rPr>
                <w:sz w:val="18"/>
              </w:rPr>
            </w:r>
            <w:r>
              <w:rPr>
                <w:sz w:val="18"/>
              </w:rPr>
              <w:t>180 days after the August 19 filing. I can request a federal right-to-sue notice (29 C.F.R. § 1601.28, UNVERIFIED this session). TWC must notify me in writing if the complaint is unresolved (Tex. Lab. Code § 21.208).</w:t>
            </w:r>
          </w:p>
        </w:tc>
        <w:tc>
          <w:tcPr>
            <w:tcW w:type="dxa" w:w="1872"/>
          </w:tcPr>
          <w:p>
            <w:r>
              <w:rPr>
                <w:sz w:val="18"/>
              </w:rPr>
            </w:r>
            <w:r>
              <w:rPr>
                <w:sz w:val="18"/>
              </w:rPr>
              <w:t>Arithmetic from Aug. 19, 2026</w:t>
            </w:r>
          </w:p>
        </w:tc>
      </w:tr>
      <w:tr>
        <w:tc>
          <w:tcPr>
            <w:tcW w:type="dxa" w:w="1872"/>
          </w:tcPr>
          <w:p>
            <w:r>
              <w:rPr>
                <w:sz w:val="18"/>
              </w:rPr>
            </w:r>
            <w:r>
              <w:rPr>
                <w:sz w:val="18"/>
              </w:rPr>
              <w:t>60 days after TWC notice</w:t>
            </w:r>
          </w:p>
        </w:tc>
        <w:tc>
          <w:tcPr>
            <w:tcW w:type="dxa" w:w="5616"/>
          </w:tcPr>
          <w:p>
            <w:r>
              <w:rPr>
                <w:sz w:val="18"/>
              </w:rPr>
            </w:r>
            <w:r>
              <w:rPr>
                <w:sz w:val="18"/>
              </w:rPr>
              <w:t>Deadline to file the Chapter 21 civil action after receiving the notice of right to file (Tex. Lab. Code § 21.254). The notice must be requested in writing (§ 21.252).</w:t>
            </w:r>
          </w:p>
        </w:tc>
        <w:tc>
          <w:tcPr>
            <w:tcW w:type="dxa" w:w="1872"/>
          </w:tcPr>
          <w:p>
            <w:r>
              <w:rPr>
                <w:sz w:val="18"/>
              </w:rPr>
            </w:r>
            <w:r>
              <w:rPr>
                <w:sz w:val="18"/>
              </w:rPr>
              <w:t>Verified statutory text</w:t>
            </w:r>
          </w:p>
        </w:tc>
      </w:tr>
      <w:tr>
        <w:tc>
          <w:tcPr>
            <w:tcW w:type="dxa" w:w="1872"/>
          </w:tcPr>
          <w:p>
            <w:r>
              <w:rPr>
                <w:sz w:val="18"/>
              </w:rPr>
            </w:r>
            <w:r>
              <w:rPr>
                <w:sz w:val="18"/>
              </w:rPr>
              <w:t>August 19, 2028</w:t>
            </w:r>
          </w:p>
        </w:tc>
        <w:tc>
          <w:tcPr>
            <w:tcW w:type="dxa" w:w="5616"/>
          </w:tcPr>
          <w:p>
            <w:r>
              <w:rPr>
                <w:sz w:val="18"/>
              </w:rPr>
            </w:r>
            <w:r>
              <w:rPr>
                <w:sz w:val="18"/>
              </w:rPr>
              <w:t>Outside limit for a Chapter 21 civil action: two years from the complaint filing (Tex. Lab. Code § 21.256).</w:t>
            </w:r>
          </w:p>
        </w:tc>
        <w:tc>
          <w:tcPr>
            <w:tcW w:type="dxa" w:w="1872"/>
          </w:tcPr>
          <w:p>
            <w:r>
              <w:rPr>
                <w:sz w:val="18"/>
              </w:rPr>
            </w:r>
            <w:r>
              <w:rPr>
                <w:sz w:val="18"/>
              </w:rPr>
              <w:t>Verified statutory text</w:t>
            </w:r>
          </w:p>
        </w:tc>
      </w:tr>
    </w:tbl>
    <w:p/>
    <w:p>
      <w:r>
        <w:rPr>
          <w:b/>
        </w:rPr>
        <w:t>The conflict I need resolved.</w:t>
      </w:r>
      <w:r>
        <w:t xml:space="preserve"> Areyana's August 25 message said the only remaining step was a draft arbitration demand. The agreement excludes filing arbitration. If the EEOC closes the file soon after October 15 and your engagement has ended October 6, the 90-day clock could run with no one representing me. I need to know:</w:t>
      </w:r>
    </w:p>
    <w:p>
      <w:pPr>
        <w:pStyle w:val="ListBullet"/>
      </w:pPr>
      <w:r>
        <w:t>Who submits the rebuttal, and whether you will request an extension from the investigator if needed.</w:t>
      </w:r>
    </w:p>
    <w:p>
      <w:pPr>
        <w:pStyle w:val="ListBullet"/>
      </w:pPr>
      <w:r>
        <w:t>Whether the firm will extend the engagement through the EEOC process, and on what terms, or refer me to counsel who will file suit or arbitrate.</w:t>
      </w:r>
    </w:p>
    <w:p>
      <w:pPr>
        <w:pStyle w:val="ListBullet"/>
      </w:pPr>
      <w:r>
        <w:t>What the August 25 arbitration-demand reference meant, given the agreement's exclusion.</w:t>
      </w:r>
    </w:p>
    <w:p>
      <w:pPr>
        <w:pStyle w:val="ListBullet"/>
      </w:pPr>
      <w:r>
        <w:t>The status of the arbitration agreement. Your July letter to Pruzansky says the copy Turner produced is signed only by me and is titled a "Mutual Agreement" with "the Company and I agree" language. Huckaba v. Ref-Chem, L.P., 892 F.3d 686 (5th Cir. 2018), held an employer-unsigned arbitration agreement unenforceable under Texas law where its text showed the parties intended both signatures ("By signing this agreement the parties are giving up any right they may have to sue each other"; modification only "in writing and signed by all parties"). Paxton flags Huckaba with a "caution" citator status, so it needs a current-law check. I need a copy of the agreement to compare its language.</w:t>
      </w:r>
    </w:p>
    <w:p>
      <w:pPr>
        <w:pStyle w:val="Heading1"/>
      </w:pPr>
      <w:r>
        <w:t>3. Settlement value and damages</w:t>
      </w:r>
    </w:p>
    <w:p>
      <w:pPr>
        <w:pStyle w:val="ListBullet"/>
      </w:pPr>
      <w:r>
        <w:rPr>
          <w:b/>
        </w:rPr>
        <w:t>Prior positions.</w:t>
      </w:r>
      <w:r>
        <w:t xml:space="preserve"> Your July letter to Pruzansky (a Rule 408 communication) proposed a bracket of $100,000 to $300,000, or alternatively a $465,000 demand, with a response requested by July 24, 2026. I have left Turner's July 24 response out of the rebuttal entirely because it was a settlement communication.</w:t>
      </w:r>
    </w:p>
    <w:p>
      <w:pPr>
        <w:pStyle w:val="ListBullet"/>
      </w:pPr>
      <w:r>
        <w:rPr>
          <w:b/>
        </w:rPr>
        <w:t>Caps.</w:t>
      </w:r>
      <w:r>
        <w:t xml:space="preserve"> Combined compensatory damages (future pecuniary and nonpecuniary) and punitive damages are capped at $300,000 for an employer with more than 500 employees under both 42 U.S.C. § 1981a(b)(3)(D) and Tex. Lab. Code § 21.2585(d)(4). The jury is not told of the federal cap (§ 1981a(c)(2)). Back pay and front pay are outside the caps. Whether the federal and state caps can be stacked for the same injury: UNVERIFIED, likely not.</w:t>
      </w:r>
    </w:p>
    <w:p>
      <w:pPr>
        <w:pStyle w:val="ListBullet"/>
      </w:pPr>
      <w:r>
        <w:rPr>
          <w:b/>
        </w:rPr>
        <w:t>Good-faith defense.</w:t>
      </w:r>
      <w:r>
        <w:t xml:space="preserve"> In accommodation cases, damages under § 1981a are unavailable if the employer shows good-faith efforts "in consultation with the person with the disability" (42 U.S.C. § 1981a(a)(3); Tex. Lab. Code § 21.128(c)). Turner will point to the EAP referral and the flexibility offer (PS p. 4 n.3). The answer is that no one ever consulted with me about the adjustments the manual described.</w:t>
      </w:r>
    </w:p>
    <w:p>
      <w:pPr>
        <w:pStyle w:val="ListBullet"/>
      </w:pPr>
      <w:r>
        <w:rPr>
          <w:b/>
        </w:rPr>
        <w:t>Back pay.</w:t>
      </w:r>
      <w:r>
        <w:t xml:space="preserve"> At $124,800 a year (about $2,400 a week), May 19 through September 30 is about 19 weeks, roughly $45,600 gross before mitigation. If Turner proved the after-acquired-evidence defense, back pay would stop at about May 26 and front pay and reinstatement would be unavailable (McKennon, 513 U.S. at 361-62).</w:t>
      </w:r>
    </w:p>
    <w:p>
      <w:pPr>
        <w:pStyle w:val="ListBullet"/>
      </w:pPr>
      <w:r>
        <w:rPr>
          <w:b/>
        </w:rPr>
        <w:t>Emotional-distress damages survive the defense</w:t>
      </w:r>
      <w:r>
        <w:t xml:space="preserve"> (EEOC Appeal No. 0120122385: "nothing in McKennon suggests that compensatory damages for emotional harm should be time-limited"), and the failure-to-accommodate period (January through May) is untouched. The evidence is strong: Lyra records, the February 27-28 texts, the Goings text, and family texts documenting acute distress in February and April. Producing mental-health records puts my history at issue and invites a request for an independent medical examination. That trade is yours to weigh.</w:t>
      </w:r>
    </w:p>
    <w:p>
      <w:pPr>
        <w:pStyle w:val="ListBullet"/>
      </w:pPr>
      <w:r>
        <w:rPr>
          <w:b/>
        </w:rPr>
        <w:t>Leverage.</w:t>
      </w:r>
      <w:r>
        <w:t xml:space="preserve"> Turner has its own reasons to prefer a confidential resolution: its Position Statement puts a female HR subordinate's likeness and a sexual-harassment investigation into a federal record, and Way is adverse authority Turner did not address.</w:t>
      </w:r>
    </w:p>
    <w:p>
      <w:pPr>
        <w:pStyle w:val="Heading1"/>
      </w:pPr>
      <w:r>
        <w:t>4. The device allegations (counsel only)</w:t>
      </w:r>
    </w:p>
    <w:p>
      <w:r>
        <w:t>Turner alleges that during a "routine wipe" of my company phone one week after separation, IT found "more than a dozen obscene images and videos," including "homemade pornography, photographs of Baxley's exposed genitalia taken inside Turner's own offices, and digitally manipulated images placing the face of a female HR subordinate onto a nude body" (PS p. 2). The last allegation is the most dangerous item in the file.</w:t>
      </w:r>
    </w:p>
    <w:p>
      <w:pPr>
        <w:pStyle w:val="Heading2"/>
      </w:pPr>
      <w:r>
        <w:t>Legal weight</w:t>
      </w:r>
    </w:p>
    <w:p>
      <w:pPr>
        <w:pStyle w:val="ListBullet"/>
      </w:pPr>
      <w:r>
        <w:t>Remedies only. Turner concedes the material "did not motivate the termination decision" (PS p. 2), and must prove I "in fact would have been terminated on those grounds alone" (McKennon, 513 U.S. at 362-63; Trico, 949 S.W.2d at 312). That turns on Turner's actual practice, which is discoverable.</w:t>
      </w:r>
    </w:p>
    <w:p>
      <w:pPr>
        <w:pStyle w:val="ListBullet"/>
      </w:pPr>
      <w:r>
        <w:t>Turner has offered no sworn statement, custodian, date, forensic report, or chain of custody. The Position Statement disclaims being evidence (PS p. 14).</w:t>
      </w:r>
    </w:p>
    <w:p>
      <w:pPr>
        <w:pStyle w:val="Heading2"/>
      </w:pPr>
      <w:r>
        <w:t>The iCloud explanation and what it does not answer</w:t>
      </w:r>
    </w:p>
    <w:p>
      <w:pPr>
        <w:pStyle w:val="ListBullet"/>
      </w:pPr>
      <w:r>
        <w:t>Your July letter states that two individuals were instructed by Turner to use personal iCloud accounts on company-issued devices and that statements were being obtained. What is the status of those statements?</w:t>
      </w:r>
    </w:p>
    <w:p>
      <w:pPr>
        <w:pStyle w:val="ListBullet"/>
      </w:pPr>
      <w:r>
        <w:t>iCloud sync explains how personal photos reached a company phone. It does not answer the allegation that images of a subordinate were manipulated. You need to know the answer to that from a forensic examiner retained through you, not from me in writing.</w:t>
      </w:r>
    </w:p>
    <w:p>
      <w:pPr>
        <w:pStyle w:val="ListBullet"/>
      </w:pPr>
      <w:r>
        <w:t>The most valuable forensic question: do any items on Turner's list post-date May 19? If so, they reached the device by syncing from my personal account after I surrendered it, which means Turner viewed live personal account content after separation. Related questions: was the device isolated from the network before inspection, and did Turner preserve a forensic image before wiping?</w:t>
      </w:r>
    </w:p>
    <w:p>
      <w:pPr>
        <w:pStyle w:val="Heading2"/>
      </w:pPr>
      <w:r>
        <w:t>Affirmative theories: honest assessment</w:t>
      </w:r>
    </w:p>
    <w:p>
      <w:pPr>
        <w:pStyle w:val="ListBullet"/>
      </w:pPr>
      <w:r>
        <w:rPr>
          <w:b/>
        </w:rPr>
        <w:t>Stored Communications Act: weak.</w:t>
      </w:r>
      <w:r>
        <w:t xml:space="preserve"> Garcia v. City of Laredo, 702 F.3d 788 (5th Cir. 2012), holds the SCA does not reach data stored on a phone; "information that an individual stores to his hard drive or cell phone is not in electronic storage under the statute." It could apply only if Turner accessed content on Apple's servers (for example, through iCloud web access or post-separation sync). The SCA argument in the July letter should not be pressed without that fact.</w:t>
      </w:r>
    </w:p>
    <w:p>
      <w:pPr>
        <w:pStyle w:val="ListBullet"/>
      </w:pPr>
      <w:r>
        <w:rPr>
          <w:b/>
        </w:rPr>
        <w:t>Intrusion upon seclusion: weak</w:t>
      </w:r>
      <w:r>
        <w:t xml:space="preserve"> on a company-owned device.</w:t>
      </w:r>
    </w:p>
    <w:p>
      <w:pPr>
        <w:pStyle w:val="ListBullet"/>
      </w:pPr>
      <w:r>
        <w:rPr>
          <w:b/>
        </w:rPr>
        <w:t>Spoliation: potentially useful.</w:t>
      </w:r>
      <w:r>
        <w:t xml:space="preserve"> The Fifth Circuit requires bad faith for an adverse inference: "Bad faith, in the context of spoliation, generally means destruction for the purpose of hiding adverse evidence." Guzman v. Jones, 804 F.3d 707, 713 (5th Cir. 2015). But bad faith can be a jury question where the most crucial evidence was destroyed soon after notice, the explanations are inconsistent, and there is no retention policy. Winkle v. Rogers, No. 22-30638 (5th Cir. Sept. 15, 2023). Turner says it found the material during a wipe about May 26. My June 2 email to the CEO said I had consulted employment counsel. If Turner wiped the device without imaging it, it destroyed the metadata on origin and dates that its own defense depends on. Separately, a Turner IT ticket (S486379) on July 28 asked me to return a phone Turner says it wiped around May 26. UNVERIFIED which device the ticket referred to; please obtain the ticket.</w:t>
      </w:r>
    </w:p>
    <w:p>
      <w:pPr>
        <w:pStyle w:val="ListBullet"/>
      </w:pPr>
      <w:r>
        <w:rPr>
          <w:b/>
        </w:rPr>
        <w:t>Dissemination.</w:t>
      </w:r>
      <w:r>
        <w:t xml:space="preserve"> 15 U.S.C. § 6851 creates a civil action for disclosing intimate images without consent, with exceptions for good-faith disclosure in reporting or investigating unlawful or unwelcome conduct or in a legal proceeding. Routine IT and HR review likely falls within an exception. Wider circulation might not. Who at Turner viewed, copied, or received the files is a legitimate discovery question.</w:t>
      </w:r>
    </w:p>
    <w:p>
      <w:pPr>
        <w:pStyle w:val="Heading2"/>
      </w:pPr>
      <w:r>
        <w:t>My own exposure</w:t>
      </w:r>
    </w:p>
    <w:p>
      <w:r>
        <w:t>Texas and federal law address sexually explicit digital forgeries. As retrieved in an earlier session, Tex. Penal Code § 21.165 covers deep fake video; 2025 amendments may extend it to images (UNVERIFIED). Tex. Penal Code § 21.16 and Tex. Civ. Prac. &amp; Rem. Code ch. 98B are disclosure-based and require intent to harm. The federal TAKE IT DOWN Act (2025) addresses publication of nonconsensual intimate imagery, including digital forgeries (UNVERIFIED details). I am asking for a referral for a short criminal-defense consultation before anyone makes any written or oral factual statement about these files, including to the EEOC.</w:t>
      </w:r>
    </w:p>
    <w:p>
      <w:pPr>
        <w:pStyle w:val="Heading2"/>
      </w:pPr>
      <w:r>
        <w:t>Recommendation</w:t>
      </w:r>
    </w:p>
    <w:p>
      <w:pPr>
        <w:pStyle w:val="ListBullet"/>
      </w:pPr>
      <w:r>
        <w:t>No factual statement about the device in the rebuttal. The draft's Section X is limited to law and burden.</w:t>
      </w:r>
    </w:p>
    <w:p>
      <w:pPr>
        <w:pStyle w:val="ListBullet"/>
      </w:pPr>
      <w:r>
        <w:t>Retain a forensic examiner through counsel so the work is privileged.</w:t>
      </w:r>
    </w:p>
    <w:p>
      <w:pPr>
        <w:pStyle w:val="ListBullet"/>
      </w:pPr>
      <w:r>
        <w:t>Confirm that the July 28 preservation demand covered the device image, wipe logs, MDM logs, iCloud access logs, and the IT ticket, and send a supplemental demand if not.</w:t>
      </w:r>
    </w:p>
    <w:p>
      <w:pPr>
        <w:pStyle w:val="Heading1"/>
      </w:pPr>
      <w:r>
        <w:t>5. EFAA</w:t>
      </w:r>
    </w:p>
    <w:p>
      <w:r>
        <w:t>The Ending Forced Arbitration Act (9 U.S.C. §§ 401-402) would take the whole case out of arbitration only if a sexual-harassment dispute is alleged. My charge does not allege sexual harassment, and Rossman v. Applied Materials (W.D. Tex. 2024) held the EFAA inapplicable where sexual harassment was not alleged in the EEOC charge. The firm declined to amend the charge. I am not relying on the EFAA.</w:t>
      </w:r>
    </w:p>
    <w:p>
      <w:pPr>
        <w:pStyle w:val="Heading1"/>
      </w:pPr>
      <w:r>
        <w:t>6. Risks in my own sworn charge</w:t>
      </w:r>
    </w:p>
    <w:p>
      <w:pPr>
        <w:pStyle w:val="ListBullet"/>
      </w:pPr>
      <w:r>
        <w:rPr>
          <w:b/>
        </w:rPr>
        <w:t>Exhibit B timing.</w:t>
      </w:r>
      <w:r>
        <w:t xml:space="preserve"> The charge, signed around August 17, says the warning was never given to me in writing and "no record of it has ever been shown to him." Your July letter refers to "the documentation your office provided." If Exhibit B was in Turner's July production and I saw it before signing, Turner can attack that sentence. Please confirm what Turner produced in July and whether it was sent to me.</w:t>
      </w:r>
    </w:p>
    <w:p>
      <w:pPr>
        <w:pStyle w:val="ListBullet"/>
      </w:pPr>
      <w:r>
        <w:rPr>
          <w:b/>
        </w:rPr>
        <w:t>Corrections.</w:t>
      </w:r>
      <w:r>
        <w:t xml:space="preserve"> The rebuttal corrects the February 17 date (February 16), the April 22 date (April 20), and Ward's title (Senior Human Resources Director, not SVP), and flags "merit raise" for correction if the notice calls it a cost-of-living or annual increase.</w:t>
      </w:r>
    </w:p>
    <w:p>
      <w:pPr>
        <w:pStyle w:val="ListBullet"/>
      </w:pPr>
      <w:r>
        <w:rPr>
          <w:b/>
        </w:rPr>
        <w:t>"No written discipline of any kind."</w:t>
      </w:r>
      <w:r>
        <w:t xml:space="preserve"> Accurate as to what I received. The rebuttal frames it that way: Exhibit B says a written notice "will be issued," and none was.</w:t>
      </w:r>
    </w:p>
    <w:p>
      <w:pPr>
        <w:pStyle w:val="Heading1"/>
      </w:pPr>
      <w:r>
        <w:t>7. Exposures on my side to manage</w:t>
      </w:r>
    </w:p>
    <w:tbl>
      <w:tblPr>
        <w:tblStyle w:val="TableGrid"/>
        <w:tblW w:type="auto" w:w="0"/>
        <w:tblLayout w:type="fixed"/>
        <w:tblLook w:firstColumn="1" w:firstRow="1" w:lastColumn="0" w:lastRow="0" w:noHBand="0" w:noVBand="1" w:val="04A0"/>
      </w:tblPr>
      <w:tblGrid>
        <w:gridCol w:w="2592"/>
        <w:gridCol w:w="3456"/>
        <w:gridCol w:w="3312"/>
      </w:tblGrid>
      <w:tr>
        <w:tc>
          <w:tcPr>
            <w:tcW w:type="dxa" w:w="2592"/>
            <w:shd w:val="clear" w:color="auto" w:fill="D9E2F3"/>
          </w:tcPr>
          <w:p>
            <w:r/>
            <w:r>
              <w:rPr>
                <w:b/>
                <w:sz w:val="18"/>
              </w:rPr>
              <w:t>Item</w:t>
            </w:r>
          </w:p>
        </w:tc>
        <w:tc>
          <w:tcPr>
            <w:tcW w:type="dxa" w:w="3456"/>
            <w:shd w:val="clear" w:color="auto" w:fill="D9E2F3"/>
          </w:tcPr>
          <w:p>
            <w:r/>
            <w:r>
              <w:rPr>
                <w:b/>
                <w:sz w:val="18"/>
              </w:rPr>
              <w:t>Risk</w:t>
            </w:r>
          </w:p>
        </w:tc>
        <w:tc>
          <w:tcPr>
            <w:tcW w:type="dxa" w:w="3312"/>
            <w:shd w:val="clear" w:color="auto" w:fill="D9E2F3"/>
          </w:tcPr>
          <w:p>
            <w:r/>
            <w:r>
              <w:rPr>
                <w:b/>
                <w:sz w:val="18"/>
              </w:rPr>
              <w:t>What I propose</w:t>
            </w:r>
          </w:p>
        </w:tc>
      </w:tr>
      <w:tr>
        <w:tc>
          <w:tcPr>
            <w:tcW w:type="dxa" w:w="2592"/>
          </w:tcPr>
          <w:p>
            <w:r>
              <w:rPr>
                <w:sz w:val="18"/>
              </w:rPr>
            </w:r>
            <w:r>
              <w:rPr>
                <w:sz w:val="18"/>
              </w:rPr>
              <w:t>Mailbox content I extracted with AI tools on May 19</w:t>
            </w:r>
          </w:p>
        </w:tc>
        <w:tc>
          <w:tcPr>
            <w:tcW w:type="dxa" w:w="3456"/>
          </w:tcPr>
          <w:p>
            <w:r>
              <w:rPr>
                <w:sz w:val="18"/>
              </w:rPr>
            </w:r>
            <w:r>
              <w:rPr>
                <w:sz w:val="18"/>
              </w:rPr>
              <w:t>Turner could treat retained company data as a second after-acquired-evidence ground or a separate claim.</w:t>
            </w:r>
          </w:p>
        </w:tc>
        <w:tc>
          <w:tcPr>
            <w:tcW w:type="dxa" w:w="3312"/>
          </w:tcPr>
          <w:p>
            <w:r>
              <w:rPr>
                <w:sz w:val="18"/>
              </w:rPr>
            </w:r>
            <w:r>
              <w:rPr>
                <w:sz w:val="18"/>
              </w:rPr>
              <w:t>Counsel review of what exists; return or certified destruction through counsel; do not produce or cite.</w:t>
            </w:r>
          </w:p>
        </w:tc>
      </w:tr>
      <w:tr>
        <w:tc>
          <w:tcPr>
            <w:tcW w:type="dxa" w:w="2592"/>
          </w:tcPr>
          <w:p>
            <w:r>
              <w:rPr>
                <w:sz w:val="18"/>
              </w:rPr>
            </w:r>
            <w:r>
              <w:rPr>
                <w:sz w:val="18"/>
              </w:rPr>
              <w:t>Files containing intern personal information</w:t>
            </w:r>
          </w:p>
        </w:tc>
        <w:tc>
          <w:tcPr>
            <w:tcW w:type="dxa" w:w="3456"/>
          </w:tcPr>
          <w:p>
            <w:r>
              <w:rPr>
                <w:sz w:val="18"/>
              </w:rPr>
            </w:r>
            <w:r>
              <w:rPr>
                <w:sz w:val="18"/>
              </w:rPr>
              <w:t>Privacy exposure; after-acquired-evidence argument.</w:t>
            </w:r>
          </w:p>
        </w:tc>
        <w:tc>
          <w:tcPr>
            <w:tcW w:type="dxa" w:w="3312"/>
          </w:tcPr>
          <w:p>
            <w:r>
              <w:rPr>
                <w:sz w:val="18"/>
              </w:rPr>
            </w:r>
            <w:r>
              <w:rPr>
                <w:sz w:val="18"/>
              </w:rPr>
              <w:t>Same: counsel-directed return or destruction.</w:t>
            </w:r>
          </w:p>
        </w:tc>
      </w:tr>
      <w:tr>
        <w:tc>
          <w:tcPr>
            <w:tcW w:type="dxa" w:w="2592"/>
          </w:tcPr>
          <w:p>
            <w:r>
              <w:rPr>
                <w:sz w:val="18"/>
              </w:rPr>
            </w:r>
            <w:r>
              <w:rPr>
                <w:sz w:val="18"/>
              </w:rPr>
              <w:t>Screenshot of a privileged sexual-harassment investigation thread</w:t>
            </w:r>
          </w:p>
        </w:tc>
        <w:tc>
          <w:tcPr>
            <w:tcW w:type="dxa" w:w="3456"/>
          </w:tcPr>
          <w:p>
            <w:r>
              <w:rPr>
                <w:sz w:val="18"/>
              </w:rPr>
            </w:r>
            <w:r>
              <w:rPr>
                <w:sz w:val="18"/>
              </w:rPr>
              <w:t>Privilege and confidentiality breach if used.</w:t>
            </w:r>
          </w:p>
        </w:tc>
        <w:tc>
          <w:tcPr>
            <w:tcW w:type="dxa" w:w="3312"/>
          </w:tcPr>
          <w:p>
            <w:r>
              <w:rPr>
                <w:sz w:val="18"/>
              </w:rPr>
            </w:r>
            <w:r>
              <w:rPr>
                <w:sz w:val="18"/>
              </w:rPr>
              <w:t>Segregated. Never produce, cite, or describe.</w:t>
            </w:r>
          </w:p>
        </w:tc>
      </w:tr>
      <w:tr>
        <w:tc>
          <w:tcPr>
            <w:tcW w:type="dxa" w:w="2592"/>
          </w:tcPr>
          <w:p>
            <w:r>
              <w:rPr>
                <w:sz w:val="18"/>
              </w:rPr>
            </w:r>
            <w:r>
              <w:rPr>
                <w:sz w:val="18"/>
              </w:rPr>
              <w:t>Turner iPad (locked)</w:t>
            </w:r>
          </w:p>
        </w:tc>
        <w:tc>
          <w:tcPr>
            <w:tcW w:type="dxa" w:w="3456"/>
          </w:tcPr>
          <w:p>
            <w:r>
              <w:rPr>
                <w:sz w:val="18"/>
              </w:rPr>
            </w:r>
            <w:r>
              <w:rPr>
                <w:sz w:val="18"/>
              </w:rPr>
              <w:t>Retention of company property.</w:t>
            </w:r>
          </w:p>
        </w:tc>
        <w:tc>
          <w:tcPr>
            <w:tcW w:type="dxa" w:w="3312"/>
          </w:tcPr>
          <w:p>
            <w:r>
              <w:rPr>
                <w:sz w:val="18"/>
              </w:rPr>
            </w:r>
            <w:r>
              <w:rPr>
                <w:sz w:val="18"/>
              </w:rPr>
              <w:t>Return through counsel with photos, a written custody record, and a receipt.</w:t>
            </w:r>
          </w:p>
        </w:tc>
      </w:tr>
      <w:tr>
        <w:tc>
          <w:tcPr>
            <w:tcW w:type="dxa" w:w="2592"/>
          </w:tcPr>
          <w:p>
            <w:r>
              <w:rPr>
                <w:sz w:val="18"/>
              </w:rPr>
            </w:r>
            <w:r>
              <w:rPr>
                <w:sz w:val="18"/>
              </w:rPr>
              <w:t>My claim that $3,000 was deducted for the iPad</w:t>
            </w:r>
          </w:p>
        </w:tc>
        <w:tc>
          <w:tcPr>
            <w:tcW w:type="dxa" w:w="3456"/>
          </w:tcPr>
          <w:p>
            <w:r>
              <w:rPr>
                <w:sz w:val="18"/>
              </w:rPr>
            </w:r>
            <w:r>
              <w:rPr>
                <w:sz w:val="18"/>
              </w:rPr>
              <w:t>Turner's paystub appears to contradict it.</w:t>
            </w:r>
          </w:p>
        </w:tc>
        <w:tc>
          <w:tcPr>
            <w:tcW w:type="dxa" w:w="3312"/>
          </w:tcPr>
          <w:p>
            <w:r>
              <w:rPr>
                <w:sz w:val="18"/>
              </w:rPr>
            </w:r>
            <w:r>
              <w:rPr>
                <w:sz w:val="18"/>
              </w:rPr>
              <w:t>I will verify against the bank deposit before repeating it anywhere.</w:t>
            </w:r>
          </w:p>
        </w:tc>
      </w:tr>
      <w:tr>
        <w:tc>
          <w:tcPr>
            <w:tcW w:type="dxa" w:w="2592"/>
          </w:tcPr>
          <w:p>
            <w:r>
              <w:rPr>
                <w:sz w:val="18"/>
              </w:rPr>
            </w:r>
            <w:r>
              <w:rPr>
                <w:sz w:val="18"/>
              </w:rPr>
              <w:t>Ward's April 20 email screenshot shows a "Deleted / Undo" banner</w:t>
            </w:r>
          </w:p>
        </w:tc>
        <w:tc>
          <w:tcPr>
            <w:tcW w:type="dxa" w:w="3456"/>
          </w:tcPr>
          <w:p>
            <w:r>
              <w:rPr>
                <w:sz w:val="18"/>
              </w:rPr>
            </w:r>
            <w:r>
              <w:rPr>
                <w:sz w:val="18"/>
              </w:rPr>
              <w:t>Spoliation optics if produced as is.</w:t>
            </w:r>
          </w:p>
        </w:tc>
        <w:tc>
          <w:tcPr>
            <w:tcW w:type="dxa" w:w="3312"/>
          </w:tcPr>
          <w:p>
            <w:r>
              <w:rPr>
                <w:sz w:val="18"/>
              </w:rPr>
            </w:r>
            <w:r>
              <w:rPr>
                <w:sz w:val="18"/>
              </w:rPr>
              <w:t>Use a clean copy; be ready to explain the banner.</w:t>
            </w:r>
          </w:p>
        </w:tc>
      </w:tr>
      <w:tr>
        <w:tc>
          <w:tcPr>
            <w:tcW w:type="dxa" w:w="2592"/>
          </w:tcPr>
          <w:p>
            <w:r>
              <w:rPr>
                <w:sz w:val="18"/>
              </w:rPr>
            </w:r>
            <w:r>
              <w:rPr>
                <w:sz w:val="18"/>
              </w:rPr>
              <w:t>May 4 memorandum</w:t>
            </w:r>
          </w:p>
        </w:tc>
        <w:tc>
          <w:tcPr>
            <w:tcW w:type="dxa" w:w="3456"/>
          </w:tcPr>
          <w:p>
            <w:r>
              <w:rPr>
                <w:sz w:val="18"/>
              </w:rPr>
            </w:r>
            <w:r>
              <w:rPr>
                <w:sz w:val="18"/>
              </w:rPr>
              <w:t>Internal inconsistencies: Part One dates the "OK fine Garrett goodbye" comment April 24 while the timeline says May 1; it cites April 22 for the April 20 email; it calls Ward a Senior Vice President. It also quotes a witness describing Murguia using profanity.</w:t>
            </w:r>
          </w:p>
        </w:tc>
        <w:tc>
          <w:tcPr>
            <w:tcW w:type="dxa" w:w="3312"/>
          </w:tcPr>
          <w:p>
            <w:r>
              <w:rPr>
                <w:sz w:val="18"/>
              </w:rPr>
            </w:r>
            <w:r>
              <w:rPr>
                <w:sz w:val="18"/>
              </w:rPr>
              <w:t>Counsel decision whether to attach; the rebuttal cites only its title and the forwarding email.</w:t>
            </w:r>
          </w:p>
        </w:tc>
      </w:tr>
      <w:tr>
        <w:tc>
          <w:tcPr>
            <w:tcW w:type="dxa" w:w="2592"/>
          </w:tcPr>
          <w:p>
            <w:r>
              <w:rPr>
                <w:sz w:val="18"/>
              </w:rPr>
            </w:r>
            <w:r>
              <w:rPr>
                <w:sz w:val="18"/>
              </w:rPr>
              <w:t>TWC unemployment finding</w:t>
            </w:r>
          </w:p>
        </w:tc>
        <w:tc>
          <w:tcPr>
            <w:tcW w:type="dxa" w:w="3456"/>
          </w:tcPr>
          <w:p>
            <w:r>
              <w:rPr>
                <w:sz w:val="18"/>
              </w:rPr>
            </w:r>
            <w:r>
              <w:rPr>
                <w:sz w:val="18"/>
              </w:rPr>
              <w:t>Findings are not binding and may not be used as evidence in other proceedings (Tex. Lab. Code § 213.007).</w:t>
            </w:r>
          </w:p>
        </w:tc>
        <w:tc>
          <w:tcPr>
            <w:tcW w:type="dxa" w:w="3312"/>
          </w:tcPr>
          <w:p>
            <w:r>
              <w:rPr>
                <w:sz w:val="18"/>
              </w:rPr>
            </w:r>
            <w:r>
              <w:rPr>
                <w:sz w:val="18"/>
              </w:rPr>
              <w:t>Kept out of the rebuttal.</w:t>
            </w:r>
          </w:p>
        </w:tc>
      </w:tr>
      <w:tr>
        <w:tc>
          <w:tcPr>
            <w:tcW w:type="dxa" w:w="2592"/>
          </w:tcPr>
          <w:p>
            <w:r>
              <w:rPr>
                <w:sz w:val="18"/>
              </w:rPr>
            </w:r>
            <w:r>
              <w:rPr>
                <w:sz w:val="18"/>
              </w:rPr>
              <w:t>Mental-health records and family texts</w:t>
            </w:r>
          </w:p>
        </w:tc>
        <w:tc>
          <w:tcPr>
            <w:tcW w:type="dxa" w:w="3456"/>
          </w:tcPr>
          <w:p>
            <w:r>
              <w:rPr>
                <w:sz w:val="18"/>
              </w:rPr>
            </w:r>
            <w:r>
              <w:rPr>
                <w:sz w:val="18"/>
              </w:rPr>
              <w:t>Puts my history at issue; independent medical examination request.</w:t>
            </w:r>
          </w:p>
        </w:tc>
        <w:tc>
          <w:tcPr>
            <w:tcW w:type="dxa" w:w="3312"/>
          </w:tcPr>
          <w:p>
            <w:r>
              <w:rPr>
                <w:sz w:val="18"/>
              </w:rPr>
            </w:r>
            <w:r>
              <w:rPr>
                <w:sz w:val="18"/>
              </w:rPr>
              <w:t>Counsel decision; the rebuttal cites only Lyra headers, flagged.</w:t>
            </w:r>
          </w:p>
        </w:tc>
      </w:tr>
    </w:tbl>
    <w:p/>
    <w:p>
      <w:pPr>
        <w:pStyle w:val="Heading1"/>
      </w:pPr>
      <w:r>
        <w:t>8. Witnesses</w:t>
      </w:r>
    </w:p>
    <w:p>
      <w:r>
        <w:t>Plans should not depend on me making cold calls. I would like counsel or an investigator to approach witnesses, and I would rather the EEOC interview them. Priority: Brandon Goings (February 28 request), Joe Glowacki ("I complimented your engagement"), Jill Lause (Omaha disclosure), and Jake Overman (October 2025 items). The two individuals referenced in your July letter regarding personal iCloud accounts on company devices are separate and high priority.</w:t>
      </w:r>
    </w:p>
    <w:p>
      <w:pPr>
        <w:pStyle w:val="Heading1"/>
      </w:pPr>
      <w:r>
        <w:t>9. Questions I need answered</w:t>
      </w:r>
    </w:p>
    <w:p>
      <w:pPr>
        <w:pStyle w:val="ListBullet"/>
      </w:pPr>
      <w:r>
        <w:t>Will the firm file the rebuttal, and will it request an extension if needed?</w:t>
      </w:r>
    </w:p>
    <w:p>
      <w:pPr>
        <w:pStyle w:val="ListBullet"/>
      </w:pPr>
      <w:r>
        <w:t>What happens to my representation on October 6?</w:t>
      </w:r>
    </w:p>
    <w:p>
      <w:pPr>
        <w:pStyle w:val="ListBullet"/>
      </w:pPr>
      <w:r>
        <w:t>What did the August 25 arbitration-demand reference mean?</w:t>
      </w:r>
    </w:p>
    <w:p>
      <w:pPr>
        <w:pStyle w:val="ListBullet"/>
      </w:pPr>
      <w:r>
        <w:t>May I have a copy of the arbitration agreement Turner produced?</w:t>
      </w:r>
    </w:p>
    <w:p>
      <w:pPr>
        <w:pStyle w:val="ListBullet"/>
      </w:pPr>
      <w:r>
        <w:t>What did Turner produce in July, and did it include Exhibit B?</w:t>
      </w:r>
    </w:p>
    <w:p>
      <w:pPr>
        <w:pStyle w:val="ListBullet"/>
      </w:pPr>
      <w:r>
        <w:t>What is the status of the iCloud witness statements referenced in your July letter?</w:t>
      </w:r>
    </w:p>
    <w:p>
      <w:pPr>
        <w:pStyle w:val="ListBullet"/>
      </w:pPr>
      <w:r>
        <w:t>Can you refer me for a criminal-defense consultation and retain a forensic examiner?</w:t>
      </w:r>
    </w:p>
    <w:p>
      <w:pPr>
        <w:pStyle w:val="ListBullet"/>
      </w:pPr>
      <w:r>
        <w:t>Should the rebuttal be supported by my declaration, given that Turner's statement is expressly unsworn?</w:t>
      </w:r>
    </w:p>
    <w:p>
      <w:pPr>
        <w:pStyle w:val="Heading1"/>
      </w:pPr>
      <w:r>
        <w:t>10. Authorities checked for this memo and the draft</w:t>
      </w:r>
    </w:p>
    <w:tbl>
      <w:tblPr>
        <w:tblStyle w:val="TableGrid"/>
        <w:tblW w:type="auto" w:w="0"/>
        <w:tblLayout w:type="fixed"/>
        <w:tblLook w:firstColumn="1" w:firstRow="1" w:lastColumn="0" w:lastRow="0" w:noHBand="0" w:noVBand="1" w:val="04A0"/>
      </w:tblPr>
      <w:tblGrid>
        <w:gridCol w:w="3744"/>
        <w:gridCol w:w="3744"/>
        <w:gridCol w:w="1872"/>
      </w:tblGrid>
      <w:tr>
        <w:tc>
          <w:tcPr>
            <w:tcW w:type="dxa" w:w="3744"/>
            <w:shd w:val="clear" w:color="auto" w:fill="D9E2F3"/>
          </w:tcPr>
          <w:p>
            <w:r/>
            <w:r>
              <w:rPr>
                <w:b/>
                <w:sz w:val="18"/>
              </w:rPr>
              <w:t>Authority</w:t>
            </w:r>
          </w:p>
        </w:tc>
        <w:tc>
          <w:tcPr>
            <w:tcW w:type="dxa" w:w="3744"/>
            <w:shd w:val="clear" w:color="auto" w:fill="D9E2F3"/>
          </w:tcPr>
          <w:p>
            <w:r/>
            <w:r>
              <w:rPr>
                <w:b/>
                <w:sz w:val="18"/>
              </w:rPr>
              <w:t>Use</w:t>
            </w:r>
          </w:p>
        </w:tc>
        <w:tc>
          <w:tcPr>
            <w:tcW w:type="dxa" w:w="1872"/>
            <w:shd w:val="clear" w:color="auto" w:fill="D9E2F3"/>
          </w:tcPr>
          <w:p>
            <w:r/>
            <w:r>
              <w:rPr>
                <w:b/>
                <w:sz w:val="18"/>
              </w:rPr>
              <w:t>Status</w:t>
            </w:r>
          </w:p>
        </w:tc>
      </w:tr>
      <w:tr>
        <w:tc>
          <w:tcPr>
            <w:tcW w:type="dxa" w:w="3744"/>
          </w:tcPr>
          <w:p>
            <w:r>
              <w:rPr>
                <w:sz w:val="18"/>
              </w:rPr>
            </w:r>
            <w:r>
              <w:rPr>
                <w:sz w:val="18"/>
              </w:rPr>
              <w:t>Way v. City of Missouri City, No. 24-20144 (5th Cir. Apr. 9, 2025) (published)</w:t>
            </w:r>
          </w:p>
        </w:tc>
        <w:tc>
          <w:tcPr>
            <w:tcW w:type="dxa" w:w="3744"/>
          </w:tcPr>
          <w:p>
            <w:r>
              <w:rPr>
                <w:sz w:val="18"/>
              </w:rPr>
            </w:r>
            <w:r>
              <w:rPr>
                <w:sz w:val="18"/>
              </w:rPr>
              <w:t>Clear written expectations for anxiety are an accommodation request and protected activity; FTA reversal</w:t>
            </w:r>
          </w:p>
        </w:tc>
        <w:tc>
          <w:tcPr>
            <w:tcW w:type="dxa" w:w="1872"/>
          </w:tcPr>
          <w:p>
            <w:r>
              <w:rPr>
                <w:sz w:val="18"/>
              </w:rPr>
            </w:r>
            <w:r>
              <w:rPr>
                <w:sz w:val="18"/>
              </w:rPr>
              <w:t>Text reviewed; citator likely good</w:t>
            </w:r>
          </w:p>
        </w:tc>
      </w:tr>
      <w:tr>
        <w:tc>
          <w:tcPr>
            <w:tcW w:type="dxa" w:w="3744"/>
          </w:tcPr>
          <w:p>
            <w:r>
              <w:rPr>
                <w:sz w:val="18"/>
              </w:rPr>
            </w:r>
            <w:r>
              <w:rPr>
                <w:sz w:val="18"/>
              </w:rPr>
              <w:t>Strife v. Aldine ISD, No. 24-20269 (5th Cir. May 16, 2025) (published)</w:t>
            </w:r>
          </w:p>
        </w:tc>
        <w:tc>
          <w:tcPr>
            <w:tcW w:type="dxa" w:w="3744"/>
          </w:tcPr>
          <w:p>
            <w:r>
              <w:rPr>
                <w:sz w:val="18"/>
              </w:rPr>
            </w:r>
            <w:r>
              <w:rPr>
                <w:sz w:val="18"/>
              </w:rPr>
              <w:t>FTA elements; Loulseged n.6 "simply document"; ADA, RA, and Chapter 21 coextensive</w:t>
            </w:r>
          </w:p>
        </w:tc>
        <w:tc>
          <w:tcPr>
            <w:tcW w:type="dxa" w:w="1872"/>
          </w:tcPr>
          <w:p>
            <w:r>
              <w:rPr>
                <w:sz w:val="18"/>
              </w:rPr>
            </w:r>
            <w:r>
              <w:rPr>
                <w:sz w:val="18"/>
              </w:rPr>
              <w:t>Text reviewed; likely good</w:t>
            </w:r>
          </w:p>
        </w:tc>
      </w:tr>
      <w:tr>
        <w:tc>
          <w:tcPr>
            <w:tcW w:type="dxa" w:w="3744"/>
          </w:tcPr>
          <w:p>
            <w:r>
              <w:rPr>
                <w:sz w:val="18"/>
              </w:rPr>
            </w:r>
            <w:r>
              <w:rPr>
                <w:sz w:val="18"/>
              </w:rPr>
              <w:t>EEOC v. Chevron Phillips Chem. Co., 570 F.3d 606 (5th Cir. 2009)</w:t>
            </w:r>
          </w:p>
        </w:tc>
        <w:tc>
          <w:tcPr>
            <w:tcW w:type="dxa" w:w="3744"/>
          </w:tcPr>
          <w:p>
            <w:r>
              <w:rPr>
                <w:sz w:val="18"/>
              </w:rPr>
            </w:r>
            <w:r>
              <w:rPr>
                <w:sz w:val="18"/>
              </w:rPr>
              <w:t>Plain English; no need to supply solution; Cutrera preemptive termination</w:t>
            </w:r>
          </w:p>
        </w:tc>
        <w:tc>
          <w:tcPr>
            <w:tcW w:type="dxa" w:w="1872"/>
          </w:tcPr>
          <w:p>
            <w:r>
              <w:rPr>
                <w:sz w:val="18"/>
              </w:rPr>
            </w:r>
            <w:r>
              <w:rPr>
                <w:sz w:val="18"/>
              </w:rPr>
              <w:t>Text reviewed; citator caution</w:t>
            </w:r>
          </w:p>
        </w:tc>
      </w:tr>
      <w:tr>
        <w:tc>
          <w:tcPr>
            <w:tcW w:type="dxa" w:w="3744"/>
          </w:tcPr>
          <w:p>
            <w:r>
              <w:rPr>
                <w:sz w:val="18"/>
              </w:rPr>
            </w:r>
            <w:r>
              <w:rPr>
                <w:sz w:val="18"/>
              </w:rPr>
              <w:t>Phillips v. Enterprise Products, No. 25-30222 (5th Cir. Jan. 9, 2026) (unpublished)</w:t>
            </w:r>
          </w:p>
        </w:tc>
        <w:tc>
          <w:tcPr>
            <w:tcW w:type="dxa" w:w="3744"/>
          </w:tcPr>
          <w:p>
            <w:r>
              <w:rPr>
                <w:sz w:val="18"/>
              </w:rPr>
            </w:r>
            <w:r>
              <w:rPr>
                <w:sz w:val="18"/>
              </w:rPr>
              <w:t>Solicitation of negative information after complaint; timing plus other evidence</w:t>
            </w:r>
          </w:p>
        </w:tc>
        <w:tc>
          <w:tcPr>
            <w:tcW w:type="dxa" w:w="1872"/>
          </w:tcPr>
          <w:p>
            <w:r>
              <w:rPr>
                <w:sz w:val="18"/>
              </w:rPr>
            </w:r>
            <w:r>
              <w:rPr>
                <w:sz w:val="18"/>
              </w:rPr>
              <w:t>Text reviewed; likely good</w:t>
            </w:r>
          </w:p>
        </w:tc>
      </w:tr>
      <w:tr>
        <w:tc>
          <w:tcPr>
            <w:tcW w:type="dxa" w:w="3744"/>
          </w:tcPr>
          <w:p>
            <w:r>
              <w:rPr>
                <w:sz w:val="18"/>
              </w:rPr>
            </w:r>
            <w:r>
              <w:rPr>
                <w:sz w:val="18"/>
              </w:rPr>
              <w:t>McKennon, 513 U.S. 352 (1995); Trico, 949 S.W.2d 308 (Tex. 1997)</w:t>
            </w:r>
          </w:p>
        </w:tc>
        <w:tc>
          <w:tcPr>
            <w:tcW w:type="dxa" w:w="3744"/>
          </w:tcPr>
          <w:p>
            <w:r>
              <w:rPr>
                <w:sz w:val="18"/>
              </w:rPr>
            </w:r>
            <w:r>
              <w:rPr>
                <w:sz w:val="18"/>
              </w:rPr>
              <w:t>After-acquired evidence: remedies only; employer's burden</w:t>
            </w:r>
          </w:p>
        </w:tc>
        <w:tc>
          <w:tcPr>
            <w:tcW w:type="dxa" w:w="1872"/>
          </w:tcPr>
          <w:p>
            <w:r>
              <w:rPr>
                <w:sz w:val="18"/>
              </w:rPr>
            </w:r>
            <w:r>
              <w:rPr>
                <w:sz w:val="18"/>
              </w:rPr>
              <w:t>Text reviewed</w:t>
            </w:r>
          </w:p>
        </w:tc>
      </w:tr>
      <w:tr>
        <w:tc>
          <w:tcPr>
            <w:tcW w:type="dxa" w:w="3744"/>
          </w:tcPr>
          <w:p>
            <w:r>
              <w:rPr>
                <w:sz w:val="18"/>
              </w:rPr>
            </w:r>
            <w:r>
              <w:rPr>
                <w:sz w:val="18"/>
              </w:rPr>
              <w:t>Huckaba v. Ref-Chem, L.P., 892 F.3d 686 (5th Cir. 2018)</w:t>
            </w:r>
          </w:p>
        </w:tc>
        <w:tc>
          <w:tcPr>
            <w:tcW w:type="dxa" w:w="3744"/>
          </w:tcPr>
          <w:p>
            <w:r>
              <w:rPr>
                <w:sz w:val="18"/>
              </w:rPr>
            </w:r>
            <w:r>
              <w:rPr>
                <w:sz w:val="18"/>
              </w:rPr>
              <w:t>Employer-unsigned arbitration agreement</w:t>
            </w:r>
          </w:p>
        </w:tc>
        <w:tc>
          <w:tcPr>
            <w:tcW w:type="dxa" w:w="1872"/>
          </w:tcPr>
          <w:p>
            <w:r>
              <w:rPr>
                <w:sz w:val="18"/>
              </w:rPr>
            </w:r>
            <w:r>
              <w:rPr>
                <w:sz w:val="18"/>
              </w:rPr>
              <w:t>Text reviewed; citator caution</w:t>
            </w:r>
          </w:p>
        </w:tc>
      </w:tr>
      <w:tr>
        <w:tc>
          <w:tcPr>
            <w:tcW w:type="dxa" w:w="3744"/>
          </w:tcPr>
          <w:p>
            <w:r>
              <w:rPr>
                <w:sz w:val="18"/>
              </w:rPr>
            </w:r>
            <w:r>
              <w:rPr>
                <w:sz w:val="18"/>
              </w:rPr>
              <w:t>Garcia v. City of Laredo, 702 F.3d 788 (5th Cir. 2012)</w:t>
            </w:r>
          </w:p>
        </w:tc>
        <w:tc>
          <w:tcPr>
            <w:tcW w:type="dxa" w:w="3744"/>
          </w:tcPr>
          <w:p>
            <w:r>
              <w:rPr>
                <w:sz w:val="18"/>
              </w:rPr>
            </w:r>
            <w:r>
              <w:rPr>
                <w:sz w:val="18"/>
              </w:rPr>
              <w:t>SCA does not reach data stored on a phone</w:t>
            </w:r>
          </w:p>
        </w:tc>
        <w:tc>
          <w:tcPr>
            <w:tcW w:type="dxa" w:w="1872"/>
          </w:tcPr>
          <w:p>
            <w:r>
              <w:rPr>
                <w:sz w:val="18"/>
              </w:rPr>
            </w:r>
            <w:r>
              <w:rPr>
                <w:sz w:val="18"/>
              </w:rPr>
              <w:t>Text reviewed; likely good</w:t>
            </w:r>
          </w:p>
        </w:tc>
      </w:tr>
      <w:tr>
        <w:tc>
          <w:tcPr>
            <w:tcW w:type="dxa" w:w="3744"/>
          </w:tcPr>
          <w:p>
            <w:r>
              <w:rPr>
                <w:sz w:val="18"/>
              </w:rPr>
            </w:r>
            <w:r>
              <w:rPr>
                <w:sz w:val="18"/>
              </w:rPr>
              <w:t>Guzman v. Jones, 804 F.3d 707 (5th Cir. 2015); Winkle v. Rogers, No. 22-30638 (5th Cir. 2023)</w:t>
            </w:r>
          </w:p>
        </w:tc>
        <w:tc>
          <w:tcPr>
            <w:tcW w:type="dxa" w:w="3744"/>
          </w:tcPr>
          <w:p>
            <w:r>
              <w:rPr>
                <w:sz w:val="18"/>
              </w:rPr>
            </w:r>
            <w:r>
              <w:rPr>
                <w:sz w:val="18"/>
              </w:rPr>
              <w:t>Spoliation: bad faith; jury question</w:t>
            </w:r>
          </w:p>
        </w:tc>
        <w:tc>
          <w:tcPr>
            <w:tcW w:type="dxa" w:w="1872"/>
          </w:tcPr>
          <w:p>
            <w:r>
              <w:rPr>
                <w:sz w:val="18"/>
              </w:rPr>
            </w:r>
            <w:r>
              <w:rPr>
                <w:sz w:val="18"/>
              </w:rPr>
              <w:t>Text reviewed; likely good</w:t>
            </w:r>
          </w:p>
        </w:tc>
      </w:tr>
      <w:tr>
        <w:tc>
          <w:tcPr>
            <w:tcW w:type="dxa" w:w="3744"/>
          </w:tcPr>
          <w:p>
            <w:r>
              <w:rPr>
                <w:sz w:val="18"/>
              </w:rPr>
            </w:r>
            <w:r>
              <w:rPr>
                <w:sz w:val="18"/>
              </w:rPr>
              <w:t>42 U.S.C. § 1981a; Tex. Lab. Code §§ 21.128, 21.208, 21.252, 21.254, 21.256, 21.2585</w:t>
            </w:r>
          </w:p>
        </w:tc>
        <w:tc>
          <w:tcPr>
            <w:tcW w:type="dxa" w:w="3744"/>
          </w:tcPr>
          <w:p>
            <w:r>
              <w:rPr>
                <w:sz w:val="18"/>
              </w:rPr>
            </w:r>
            <w:r>
              <w:rPr>
                <w:sz w:val="18"/>
              </w:rPr>
              <w:t>Caps, good-faith defense, Chapter 21 procedure</w:t>
            </w:r>
          </w:p>
        </w:tc>
        <w:tc>
          <w:tcPr>
            <w:tcW w:type="dxa" w:w="1872"/>
          </w:tcPr>
          <w:p>
            <w:r>
              <w:rPr>
                <w:sz w:val="18"/>
              </w:rPr>
            </w:r>
            <w:r>
              <w:rPr>
                <w:sz w:val="18"/>
              </w:rPr>
              <w:t>Statutory text reviewed</w:t>
            </w:r>
          </w:p>
        </w:tc>
      </w:tr>
      <w:tr>
        <w:tc>
          <w:tcPr>
            <w:tcW w:type="dxa" w:w="3744"/>
          </w:tcPr>
          <w:p>
            <w:r>
              <w:rPr>
                <w:sz w:val="18"/>
              </w:rPr>
            </w:r>
            <w:r>
              <w:rPr>
                <w:sz w:val="18"/>
              </w:rPr>
              <w:t>Hamilton v. Dallas County, 79 F.4th 494 (5th Cir. 2023) (en banc); Miller v. Raytheon, 716 F.3d 138 (5th Cir. 2013); Tex. Lab. Code § 213.007; Rossman v. Applied Materials (W.D. Tex. 2024)</w:t>
            </w:r>
          </w:p>
        </w:tc>
        <w:tc>
          <w:tcPr>
            <w:tcW w:type="dxa" w:w="3744"/>
          </w:tcPr>
          <w:p>
            <w:r>
              <w:rPr>
                <w:sz w:val="18"/>
              </w:rPr>
            </w:r>
            <w:r>
              <w:rPr>
                <w:sz w:val="18"/>
              </w:rPr>
              <w:t>Adverse action; position-statement errors as pretext evidence; TWC findings; EFAA</w:t>
            </w:r>
          </w:p>
        </w:tc>
        <w:tc>
          <w:tcPr>
            <w:tcW w:type="dxa" w:w="1872"/>
          </w:tcPr>
          <w:p>
            <w:r>
              <w:rPr>
                <w:sz w:val="18"/>
              </w:rPr>
            </w:r>
            <w:r>
              <w:rPr>
                <w:sz w:val="18"/>
              </w:rPr>
              <w:t>Reviewed in an earlier session</w:t>
            </w:r>
          </w:p>
        </w:tc>
      </w:tr>
    </w:tbl>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Privileged and confidential. Attorney-client communication. Baxley v. Turner, EEOC No. 460-2026-09584.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