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Comprehensive Architecture Audit: Multi-Agent Fleet Orchestration, Verification Doctrine, and Quantitative Reasoning Systems</w:t>
      </w:r>
    </w:p>
    <w:p w:rsidR="00000000" w:rsidDel="00000000" w:rsidP="00000000" w:rsidRDefault="00000000" w:rsidRPr="00000000" w14:paraId="00000002">
      <w:pPr>
        <w:rPr/>
      </w:pPr>
      <w:r w:rsidDel="00000000" w:rsidR="00000000" w:rsidRPr="00000000">
        <w:rPr>
          <w:rtl w:val="0"/>
        </w:rPr>
        <w:t xml:space="preserve">Structural Ecosystem Assessment and Operational Topology</w:t>
      </w:r>
    </w:p>
    <w:p w:rsidR="00000000" w:rsidDel="00000000" w:rsidP="00000000" w:rsidRDefault="00000000" w:rsidRPr="00000000" w14:paraId="00000003">
      <w:pPr>
        <w:rPr/>
      </w:pPr>
      <w:r w:rsidDel="00000000" w:rsidR="00000000" w:rsidRPr="00000000">
        <w:rPr>
          <w:rtl w:val="0"/>
        </w:rPr>
        <w:t xml:space="preserve">The technical infrastructure across the Galaxy Sports Edge (GSE) cognitive engine and its associated autonomous commercial pipelines spans a heterogeneous, distributed execution environment. The operational footprint consists of an asynchronous orchestration host executing on a dedicated Linux virtual machine (Motif), mobile-tethered terminal execution interfaces (Hermes operating via OpenCode on the Minis mobile client), Google's asynchronous background coding worker (Jules), local prompt-defined micro-agents (the fourteen OpenDots entities), a Windows-bound calibration and statistical workstation (Mimo), and secondary analytical models including Grok 4.7, DeepSeek, and Google Antigravity.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While each specialized node processes isolated tasks, the lack of an integrated, automated state machine forces the human operator to act as a manual message courier across disparate environments. Asynchronous background workers frequently stall without raising actionable alerts, pull requests remain unreviewed, unmerged feature branches accumulate across remote repositories, and local checkouts become isolated data silos holding uncommitted project assets.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Within the predictive core of Galaxy Sports Edge, the primary vulnerability is a structural disconnect between feature context and directional modeling. The predictive pipeline maintains forty-seven registered signals producing descriptive context—such as Expected Points Added (EPA), localized wind velocities, and rest differentials—yet it lacks a functional bridge model to map these scalars into directional win probabilities (P(outcome)) supported by verified empirical sample sizes. Consequently, downstream reasoning traces stall with insufficient inputs, while automated slate generation fails open by minting selections without verified causal derivations.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Concurrently, external verification layers have historically treated calibration artifacts—such as the Brier score, Expected Calibration Error (ECE), and Kelly capital allocations—as objective optimization targets rather than baseline empirical inputs. This orientation has driven optimization toward artificial test benchmarks instead of building robust, end-to-end data pipelines.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eliminate operational friction and quantitative vulnerabilities, this audit establishes a unified operating blueprint. The architecture standardizes on a fail-closed verification pipeline, decouples inference execution across CPU and GPU hardware, establishes cryptographic credential brokering, and transitions multi-agent coordination from manual intervention to an automated, asynchronous state machine.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Comparative Evaluation of Agent Orchestration, Memory, and Model Runtimes</w:t>
      </w:r>
    </w:p>
    <w:p w:rsidR="00000000" w:rsidDel="00000000" w:rsidP="00000000" w:rsidRDefault="00000000" w:rsidRPr="00000000" w14:paraId="0000000E">
      <w:pPr>
        <w:rPr/>
      </w:pPr>
      <w:r w:rsidDel="00000000" w:rsidR="00000000" w:rsidRPr="00000000">
        <w:rPr>
          <w:rtl w:val="0"/>
        </w:rPr>
        <w:t xml:space="preserve">Selecting appropriate orchestration frameworks, memory architectures, and execution runtimes requires evaluating existing and prospective tools across six operational dimensions: framework maturity, mobile command capability, expenditure governance, strict review gates, fault recovery, and single-operator maintenance sustainability.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System / Component</w:t>
        <w:tab/>
        <w:t xml:space="preserve">Canonical Reference / License</w:t>
        <w:tab/>
        <w:t xml:space="preserve">Verification Status (October 2026)</w:t>
        <w:tab/>
        <w:t xml:space="preserve">Direct Operational Cost</w:t>
        <w:tab/>
        <w:t xml:space="preserve">Mobile Control Surface</w:t>
        <w:tab/>
        <w:t xml:space="preserve">Architectural Fit &amp; Primary Constraints</w:t>
      </w:r>
    </w:p>
    <w:p w:rsidR="00000000" w:rsidDel="00000000" w:rsidP="00000000" w:rsidRDefault="00000000" w:rsidRPr="00000000" w14:paraId="00000011">
      <w:pPr>
        <w:rPr/>
      </w:pPr>
      <w:r w:rsidDel="00000000" w:rsidR="00000000" w:rsidRPr="00000000">
        <w:rPr>
          <w:rtl w:val="0"/>
        </w:rPr>
        <w:t xml:space="preserve">Orca ADE</w:t>
        <w:tab/>
      </w:r>
    </w:p>
    <w:p w:rsidR="00000000" w:rsidDel="00000000" w:rsidP="00000000" w:rsidRDefault="00000000" w:rsidRPr="00000000" w14:paraId="00000012">
      <w:pPr>
        <w:rPr/>
      </w:pPr>
      <w:r w:rsidDel="00000000" w:rsidR="00000000" w:rsidRPr="00000000">
        <w:rPr>
          <w:rtl w:val="0"/>
        </w:rPr>
        <w:t xml:space="preserve">stablyai/orca (MIT)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Active; 87k stars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Free, open-source core; user-provided API keys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Dedicated iOS (App Store ID: 6766130217) and Android APK; peer-to-peer encrypted terminal streaming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High fit for parallel Git worktree management; natively hosts OpenCode, Claude Code, and Codex. Requires an active desktop daemon.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Paperclip</w:t>
        <w:tab/>
      </w:r>
    </w:p>
    <w:p w:rsidR="00000000" w:rsidDel="00000000" w:rsidP="00000000" w:rsidRDefault="00000000" w:rsidRPr="00000000" w14:paraId="0000001D">
      <w:pPr>
        <w:rPr/>
      </w:pPr>
      <w:r w:rsidDel="00000000" w:rsidR="00000000" w:rsidRPr="00000000">
        <w:rPr>
          <w:rtl w:val="0"/>
        </w:rPr>
        <w:t xml:space="preserve">paperclipai/paperclip (MIT)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Active; 98k stars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Free, self-hosted Node.js and React server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Web-based responsive dashboard; lacks native push signaling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Strong task-board semantics and per-agent token spend caps. Lacks native adapters for Jules or custom shell daemons; carries over 6,200 open issues.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Google Antigravity</w:t>
        <w:tab/>
      </w:r>
    </w:p>
    <w:p w:rsidR="00000000" w:rsidDel="00000000" w:rsidP="00000000" w:rsidRDefault="00000000" w:rsidRPr="00000000" w14:paraId="00000028">
      <w:pPr>
        <w:rPr/>
      </w:pPr>
      <w:r w:rsidDel="00000000" w:rsidR="00000000" w:rsidRPr="00000000">
        <w:rPr>
          <w:rtl w:val="0"/>
        </w:rPr>
        <w:t xml:space="preserve">google-antigravity/antigravity-cli (Proprietary / Managed API)</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Active release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Free individual tier; consumption metered via Google AI Studio and Gemini API</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Antigravity CLI accessible via remote SSH; Home Assistant Ingress integration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Agentic harness powered by Gemini 3 Pro and Claude Sonnet 4.5. Produces verifiable review artifacts. Constrained by cloud sandbox dependencies.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Grok 4.7</w:t>
        <w:tab/>
      </w:r>
    </w:p>
    <w:p w:rsidR="00000000" w:rsidDel="00000000" w:rsidP="00000000" w:rsidRDefault="00000000" w:rsidRPr="00000000" w14:paraId="00000033">
      <w:pPr>
        <w:rPr/>
      </w:pPr>
      <w:r w:rsidDel="00000000" w:rsidR="00000000" w:rsidRPr="00000000">
        <w:rPr>
          <w:rtl w:val="0"/>
        </w:rPr>
        <w:t xml:space="preserve">xAI API / SpaceXAI</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Released September 21, 2026</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$2.00 / 1M input ($0.50 cached), $6.00 / 1M output; 500k token context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API-only; integration requires terminal clients or webhook couriers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High throughput on analytical code synthesis and complex extraction. Lacks an integrated stateful workspace harness.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Hindsight Memory</w:t>
        <w:tab/>
      </w:r>
    </w:p>
    <w:p w:rsidR="00000000" w:rsidDel="00000000" w:rsidP="00000000" w:rsidRDefault="00000000" w:rsidRPr="00000000" w14:paraId="0000003E">
      <w:pPr>
        <w:rPr/>
      </w:pPr>
      <w:r w:rsidDel="00000000" w:rsidR="00000000" w:rsidRPr="00000000">
        <w:rPr>
          <w:rtl w:val="0"/>
        </w:rPr>
        <w:t xml:space="preserve">vectorize-io/hindsight (MIT)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Active; 46.5k stars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Free open-source engine; requires PostgreSQL with pgvector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[cite: 23, 25, 26]</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Headless REST and Model Context Protocol (MCP) endpoints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Four-tier memory taxonomy (facts, experiences, observations, mental models). Mitigates context bloat, but introduces token consumption during background reflection.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Efficient-Claude Routing</w:t>
        <w:tab/>
      </w:r>
    </w:p>
    <w:p w:rsidR="00000000" w:rsidDel="00000000" w:rsidP="00000000" w:rsidRDefault="00000000" w:rsidRPr="00000000" w14:paraId="0000004B">
      <w:pPr>
        <w:rPr/>
      </w:pPr>
      <w:r w:rsidDel="00000000" w:rsidR="00000000" w:rsidRPr="00000000">
        <w:rPr>
          <w:rtl w:val="0"/>
        </w:rPr>
        <w:t xml:space="preserve">thevrus/efficient-claude (Community Skill)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Active deployment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Model dependent (Opus 5.5: $4/$20, Sonnet 5.5: $2/$10, Haiku 4.5: $1/$5 per 1M tokens)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Inherits CLI host capabilities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High economic leverage via deterministic tier routing (Opus orchestrates, Sonnet builds, Haiku scans). Prevents expensive models from running basic file searches.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The Orca Agent Development Environment addresses the friction of managing parallel terminal sessions across independent Git branches. Constructed upon an Electron three-process model separating system-level operations, secure bridging, and UI rendering, Orca orchestrates isolated Git worktrees via native node-pty terminal instances. Its architectural differentiator is its paired mobile client for iOS and Android, which links to the desktop daemon through local-network public key exchanges and QR pairing. Operating as a zero-trust thin client, the mobile interface mirrors xterm.js terminal outputs, captures process status shifts, and dispatches native notifications when background jobs finish. However, Orca functions strictly as an execution harness rather than an autonomous decision-making engine. It cannot parse inter-agent file handoffs or resolve conflicting code outputs without an external supervisory process.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Paperclip models multi-agent coordination after human enterprise hierarchies. Built around a Node.js server and React dashboard, it encapsulates work within structured tickets featuring dependency trees, runtime skill injection, and hard spend budgets enforced via execution cutoffs. Its key technical strength is atomic task checkout, utilizing database locks to prevent concurrent agents from claiming identical work items. The primary argument against adopting Paperclip as the core fleet leader is its maintenance overhead and narrow integration surface. With over 6,200 open issues, it lacks pre-built adapters for bespoke shell loops or specialized cloud services like Google Jules. Deploying Paperclip would require developing and maintaining custom adapters, adding infrastructure complexity for a single operator.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Google Antigravity platform shifts agent development from line-by-line code completion toward autonomous project management. Operating through the standalone Antigravity 2.0 application, a terminal CLI, and a Python SDK (google-antigravity), the system provisions isolated Linux execution environments backed by Gemini 3 Pro and Claude Sonnet 4.5. The platform relies on "Artifacts"—structured deliverables (such as diffs, test logs, and Markdown summaries) generated by the agent to prove task completion before changes are applied. While effective for isolated feature development, Antigravity’s deep integration with Google Cloud ecosystems introduces architectural lock-in, and its cloud-hosted sandboxes complicate local multi-repository orchestration.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Hindsight replaces unstructured Retrieval-Augmented Generation (RAG) buffers with an organized cognitive architecture. The system separates stored information into four distinct tiers: World Facts (immutable external statements), Experiences (first-person operational run histories), Observations (consolidated beliefs synthesized across multiple runs), and Mental Models (high-level abstractions of system dynamics). Operating over PostgreSQL via pgvector or pgvectorscale, Hindsight exposes standard retain, recall, and reflect APIs through Model Context Protocol (MCP) servers. This bank-per-agent model prevents cross-agent context contamination. However, the automatic "reflect" cycle continuously consumes background tokens, requiring explicit configuration of minimum vector thresholds (HINDSIGHT_API_VECTOR_INDEX_MIN_ROWS) to control API costs.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Complementing these tools, the efficient-claude routing configuration formalizes task distribution across specialized model tiers. Architectural synthesis, frame loop choreography, and final verification remain anchored to Claude Opus 5.5, while direct implementation from established specifications routes to Sonnet 5.5, and mechanical file parsing, log filtering, and syntax validation execute on Haiku 4.5. This routing policy achieves significant cost reductions compared to unmanaged model usage, reducing monthly token expenses while maintaining rigorous oversight over production deliverables.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Mathematical Verification and Cognitive Architecture of Galaxy Sports Edge</w:t>
      </w:r>
    </w:p>
    <w:p w:rsidR="00000000" w:rsidDel="00000000" w:rsidP="00000000" w:rsidRDefault="00000000" w:rsidRPr="00000000" w14:paraId="00000061">
      <w:pPr>
        <w:rPr/>
      </w:pPr>
      <w:r w:rsidDel="00000000" w:rsidR="00000000" w:rsidRPr="00000000">
        <w:rPr>
          <w:rtl w:val="0"/>
        </w:rPr>
        <w:t xml:space="preserve">Galaxy Sports Edge is fundamentally an expert system driven by causal reasoning, not a monolithic predictive model. In this architecture, mathematical calibration, Brier decomposition, Expected Calibration Error (ECE), and Kelly capital allocations function as operational inputs and safety constraints, rather than primary optimization objectives.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reasoning engine processes inputs through a structured quantitative pipeline. Raw inputs—such as weather velocity vectors, tracking metrics, and roster configurations—are first evaluated by a bridge model that converts descriptive signals into directional probabilities (P(outcome)) accompanied by rigorous sample sizes and feature directional indicators (homeSign). The generated reasoning traces are then evaluated by a Process Reward Model enforcing step-level validity through a monotonic Bellman Q-decay constraint.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Valid reasoning traces pass into high-dimensional copula models to capture asymmetric tail dependencies across game events. Finally, predictions are calibrated using split conformal inference and evaluated against Murphy Brier score partitions, where models violating the reliability-to-resolution ratio are isolated via a fail-closed execution halt before capital is allocated.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Process Supervision and Bellman Q-Decay Monotonicity</w:t>
      </w:r>
    </w:p>
    <w:p w:rsidR="00000000" w:rsidDel="00000000" w:rsidP="00000000" w:rsidRDefault="00000000" w:rsidRPr="00000000" w14:paraId="00000068">
      <w:pPr>
        <w:rPr/>
      </w:pPr>
      <w:r w:rsidDel="00000000" w:rsidR="00000000" w:rsidRPr="00000000">
        <w:rPr>
          <w:rtl w:val="0"/>
        </w:rPr>
        <w:t xml:space="preserve">Standard Outcome Reward Models (ORMs) provide feedback only on terminal results, making them inadequate for complex multi-step sports reasoning. Under an ORM, models can easily arrive at correct betting conclusions through flawed or compensatory logic. The engine enforces process-level verification by deploying a Process Reward Model (PRM) that scores each intermediate deduction step.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Error Topology</w:t>
        <w:tab/>
        <w:t xml:space="preserve">Mathematical and Logical Definition</w:t>
        <w:tab/>
        <w:t xml:space="preserve">Manifestation in Quantitative Sports Modeling</w:t>
      </w:r>
    </w:p>
    <w:p w:rsidR="00000000" w:rsidDel="00000000" w:rsidP="00000000" w:rsidRDefault="00000000" w:rsidRPr="00000000" w14:paraId="0000006B">
      <w:pPr>
        <w:rPr/>
      </w:pPr>
      <w:r w:rsidDel="00000000" w:rsidR="00000000" w:rsidRPr="00000000">
        <w:rPr>
          <w:rtl w:val="0"/>
        </w:rPr>
        <w:t xml:space="preserve">Arithmetic</w:t>
        <w:tab/>
      </w:r>
    </w:p>
    <w:p w:rsidR="00000000" w:rsidDel="00000000" w:rsidP="00000000" w:rsidRDefault="00000000" w:rsidRPr="00000000" w14:paraId="0000006C">
      <w:pPr>
        <w:rPr/>
      </w:pPr>
      <w:r w:rsidDel="00000000" w:rsidR="00000000" w:rsidRPr="00000000">
        <w:rPr>
          <w:rtl w:val="0"/>
        </w:rPr>
        <w:t xml:space="preserve">Violation of algebraic operations, rounding thresholds, or numerical precision limits.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Computing 0.40×0.30=0.15 instead of 0.12 during joint probability calculation.</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Logical</w:t>
        <w:tab/>
      </w:r>
    </w:p>
    <w:p w:rsidR="00000000" w:rsidDel="00000000" w:rsidP="00000000" w:rsidRDefault="00000000" w:rsidRPr="00000000" w14:paraId="00000071">
      <w:pPr>
        <w:rPr/>
      </w:pPr>
      <w:r w:rsidDel="00000000" w:rsidR="00000000" w:rsidRPr="00000000">
        <w:rPr>
          <w:rtl w:val="0"/>
        </w:rPr>
        <w:t xml:space="preserve">Violation of probability axioms, directional sign inversions, or invalid independence assumptions.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Assuming team cover margins and primary running back rushing attempts are independent.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Factual</w:t>
        <w:tab/>
      </w:r>
    </w:p>
    <w:p w:rsidR="00000000" w:rsidDel="00000000" w:rsidP="00000000" w:rsidRDefault="00000000" w:rsidRPr="00000000" w14:paraId="00000076">
      <w:pPr>
        <w:rPr/>
      </w:pPr>
      <w:r w:rsidDel="00000000" w:rsidR="00000000" w:rsidRPr="00000000">
        <w:rPr>
          <w:rtl w:val="0"/>
        </w:rPr>
        <w:t xml:space="preserve">Integration of hallucinated, unverified, or stale prior distributions.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Utilizing outdated closing line values or inaccurate player injury designations.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Omission</w:t>
        <w:tab/>
      </w:r>
    </w:p>
    <w:p w:rsidR="00000000" w:rsidDel="00000000" w:rsidP="00000000" w:rsidRDefault="00000000" w:rsidRPr="00000000" w14:paraId="0000007B">
      <w:pPr>
        <w:rPr/>
      </w:pPr>
      <w:r w:rsidDel="00000000" w:rsidR="00000000" w:rsidRPr="00000000">
        <w:rPr>
          <w:rtl w:val="0"/>
        </w:rPr>
        <w:t xml:space="preserve">Failure to condition the posterior on active causal covariates.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Forecasting downfield passing volume without adjusting for cross-winds exceeding 20 knots.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Consistency</w:t>
        <w:tab/>
      </w:r>
    </w:p>
    <w:p w:rsidR="00000000" w:rsidDel="00000000" w:rsidP="00000000" w:rsidRDefault="00000000" w:rsidRPr="00000000" w14:paraId="00000080">
      <w:pPr>
        <w:rPr/>
      </w:pPr>
      <w:r w:rsidDel="00000000" w:rsidR="00000000" w:rsidRPr="00000000">
        <w:rPr>
          <w:rtl w:val="0"/>
        </w:rPr>
        <w:t xml:space="preserve">Internal contradiction across distinct reasoning nodes.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Projecting a blowout team victory while simultaneously predicting negative game-script volume for the opposing offense.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t xml:space="preserve">The PRM evaluates step correctness as a binary indicator c </w:t>
      </w:r>
    </w:p>
    <w:p w:rsidR="00000000" w:rsidDel="00000000" w:rsidP="00000000" w:rsidRDefault="00000000" w:rsidRPr="00000000" w14:paraId="00000086">
      <w:pPr>
        <w:rPr/>
      </w:pPr>
      <w:r w:rsidDel="00000000" w:rsidR="00000000" w:rsidRPr="00000000">
        <w:rPr>
          <w:rtl w:val="0"/>
        </w:rPr>
        <w:t xml:space="preserve">t</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∈{0,1}. To prevent flawed intermediate reasoning from propagating downstream, the reasoning trace value obeys a multiplicative Bellman Q-decay constraint: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Q </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C">
      <w:pPr>
        <w:rPr/>
      </w:pPr>
      <w:r w:rsidDel="00000000" w:rsidR="00000000" w:rsidRPr="00000000">
        <w:rPr>
          <w:rtl w:val="0"/>
        </w:rPr>
        <w:t xml:space="preserve"> (s </w:t>
      </w:r>
    </w:p>
    <w:p w:rsidR="00000000" w:rsidDel="00000000" w:rsidP="00000000" w:rsidRDefault="00000000" w:rsidRPr="00000000" w14:paraId="0000008D">
      <w:pPr>
        <w:rPr/>
      </w:pPr>
      <w:r w:rsidDel="00000000" w:rsidR="00000000" w:rsidRPr="00000000">
        <w:rPr>
          <w:rtl w:val="0"/>
        </w:rPr>
        <w:t xml:space="preserve">t</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t xml:space="preserve"> ,a </w:t>
      </w:r>
    </w:p>
    <w:p w:rsidR="00000000" w:rsidDel="00000000" w:rsidP="00000000" w:rsidRDefault="00000000" w:rsidRPr="00000000" w14:paraId="00000090">
      <w:pPr>
        <w:rPr/>
      </w:pPr>
      <w:r w:rsidDel="00000000" w:rsidR="00000000" w:rsidRPr="00000000">
        <w:rPr>
          <w:rtl w:val="0"/>
        </w:rPr>
        <w:t xml:space="preserve">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 )=E </w:t>
      </w:r>
    </w:p>
    <w:p w:rsidR="00000000" w:rsidDel="00000000" w:rsidP="00000000" w:rsidRDefault="00000000" w:rsidRPr="00000000" w14:paraId="00000093">
      <w:pPr>
        <w:rPr/>
      </w:pPr>
      <w:r w:rsidDel="00000000" w:rsidR="00000000" w:rsidRPr="00000000">
        <w:rPr>
          <w:rtl w:val="0"/>
        </w:rPr>
        <w:t xml:space="preserve">τ </w:t>
      </w:r>
    </w:p>
    <w:p w:rsidR="00000000" w:rsidDel="00000000" w:rsidP="00000000" w:rsidRDefault="00000000" w:rsidRPr="00000000" w14:paraId="00000094">
      <w:pPr>
        <w:rPr/>
      </w:pPr>
      <w:r w:rsidDel="00000000" w:rsidR="00000000" w:rsidRPr="00000000">
        <w:rPr>
          <w:rtl w:val="0"/>
        </w:rPr>
        <w:t xml:space="preserve">t+1:T</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 ∼π</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 [ </w:t>
      </w:r>
    </w:p>
    <w:p w:rsidR="00000000" w:rsidDel="00000000" w:rsidP="00000000" w:rsidRDefault="00000000" w:rsidRPr="00000000" w14:paraId="00000099">
      <w:pPr>
        <w:rPr/>
      </w:pPr>
      <w:r w:rsidDel="00000000" w:rsidR="00000000" w:rsidRPr="00000000">
        <w:rPr>
          <w:rtl w:val="0"/>
        </w:rPr>
        <w:t xml:space="preserve">i=t</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rPr/>
      </w:pPr>
      <w:r w:rsidDel="00000000" w:rsidR="00000000" w:rsidRPr="00000000">
        <w:rPr>
          <w:rtl w:val="0"/>
        </w:rPr>
        <w:t xml:space="preserve">T</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 I(c </w:t>
      </w:r>
    </w:p>
    <w:p w:rsidR="00000000" w:rsidDel="00000000" w:rsidP="00000000" w:rsidRDefault="00000000" w:rsidRPr="00000000" w14:paraId="0000009E">
      <w:pPr>
        <w:rPr/>
      </w:pPr>
      <w:r w:rsidDel="00000000" w:rsidR="00000000" w:rsidRPr="00000000">
        <w:rPr>
          <w:rtl w:val="0"/>
        </w:rPr>
        <w:t xml:space="preserve">i</w:t>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t xml:space="preserve"> =1)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 s </w:t>
      </w:r>
    </w:p>
    <w:p w:rsidR="00000000" w:rsidDel="00000000" w:rsidP="00000000" w:rsidRDefault="00000000" w:rsidRPr="00000000" w14:paraId="000000A4">
      <w:pPr>
        <w:rPr/>
      </w:pPr>
      <w:r w:rsidDel="00000000" w:rsidR="00000000" w:rsidRPr="00000000">
        <w:rPr>
          <w:rtl w:val="0"/>
        </w:rPr>
        <w:t xml:space="preserve">t</w:t>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 ,a </w:t>
      </w:r>
    </w:p>
    <w:p w:rsidR="00000000" w:rsidDel="00000000" w:rsidP="00000000" w:rsidRDefault="00000000" w:rsidRPr="00000000" w14:paraId="000000A7">
      <w:pPr>
        <w:rPr/>
      </w:pPr>
      <w:r w:rsidDel="00000000" w:rsidR="00000000" w:rsidRPr="00000000">
        <w:rPr>
          <w:rtl w:val="0"/>
        </w:rPr>
        <w:t xml:space="preserve">t</w:t>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If an intermediate reasoning node introduces a logical, arithmetic, or factual error, its step score evaluates to zero, immediately nullifying the cumulative trajectory product. This terminates search along that branch and prevents ungrounded predictions from reaching the selection engine.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Verifier Error Correction Dynamics</w:t>
      </w:r>
    </w:p>
    <w:p w:rsidR="00000000" w:rsidDel="00000000" w:rsidP="00000000" w:rsidRDefault="00000000" w:rsidRPr="00000000" w14:paraId="000000AD">
      <w:pPr>
        <w:rPr/>
      </w:pPr>
      <w:r w:rsidDel="00000000" w:rsidR="00000000" w:rsidRPr="00000000">
        <w:rPr>
          <w:rtl w:val="0"/>
        </w:rPr>
        <w:t xml:space="preserve">Programmatic checkers and auxiliary LLM judges introduce stochastic verification noise, generating false positives (rewarding invalid derivations that arrive at the correct outcome) and false negatives (rejecting valid deductions due to strict syntax requirements). Left uncorrected, verifier noise distorts policy gradients during reinforcement learning iterations, biasing policies toward exploiting parsing blind spots.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Following Cai et al. (2025), the verifier is modeled as a binary stochastic channel mapping true latent validity R </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∈{0,1} to observed noisy feedback  </w:t>
      </w:r>
    </w:p>
    <w:p w:rsidR="00000000" w:rsidDel="00000000" w:rsidP="00000000" w:rsidRDefault="00000000" w:rsidRPr="00000000" w14:paraId="000000B2">
      <w:pPr>
        <w:rPr/>
      </w:pPr>
      <w:r w:rsidDel="00000000" w:rsidR="00000000" w:rsidRPr="00000000">
        <w:rPr>
          <w:rtl w:val="0"/>
        </w:rPr>
        <w:t xml:space="preserve">R</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 ∈{0,1}, parameterized by false positive rate ρ </w:t>
      </w:r>
    </w:p>
    <w:p w:rsidR="00000000" w:rsidDel="00000000" w:rsidP="00000000" w:rsidRDefault="00000000" w:rsidRPr="00000000" w14:paraId="000000B5">
      <w:pPr>
        <w:rPr/>
      </w:pPr>
      <w:r w:rsidDel="00000000" w:rsidR="00000000" w:rsidRPr="00000000">
        <w:rPr>
          <w:rtl w:val="0"/>
        </w:rPr>
        <w:t xml:space="preserve">0</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 =P( </w:t>
      </w:r>
    </w:p>
    <w:p w:rsidR="00000000" w:rsidDel="00000000" w:rsidP="00000000" w:rsidRDefault="00000000" w:rsidRPr="00000000" w14:paraId="000000B8">
      <w:pPr>
        <w:rPr/>
      </w:pPr>
      <w:r w:rsidDel="00000000" w:rsidR="00000000" w:rsidRPr="00000000">
        <w:rPr>
          <w:rtl w:val="0"/>
        </w:rPr>
        <w:t xml:space="preserve">R</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=1∣R </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BC">
      <w:pPr>
        <w:rPr/>
      </w:pPr>
      <w:r w:rsidDel="00000000" w:rsidR="00000000" w:rsidRPr="00000000">
        <w:rPr>
          <w:rtl w:val="0"/>
        </w:rPr>
        <w:t xml:space="preserve"> =0) and false negative rate ρ </w:t>
      </w:r>
    </w:p>
    <w:p w:rsidR="00000000" w:rsidDel="00000000" w:rsidP="00000000" w:rsidRDefault="00000000" w:rsidRPr="00000000" w14:paraId="000000BD">
      <w:pPr>
        <w:rPr/>
      </w:pPr>
      <w:r w:rsidDel="00000000" w:rsidR="00000000" w:rsidRPr="00000000">
        <w:rPr>
          <w:rtl w:val="0"/>
        </w:rPr>
        <w:t xml:space="preserve">1</w:t>
      </w:r>
    </w:p>
    <w:p w:rsidR="00000000" w:rsidDel="00000000" w:rsidP="00000000" w:rsidRDefault="00000000" w:rsidRPr="00000000" w14:paraId="000000BE">
      <w:pPr>
        <w:rPr/>
      </w:pPr>
      <w:r w:rsidDel="00000000" w:rsidR="00000000" w:rsidRPr="00000000">
        <w:rPr>
          <w:rtl w:val="0"/>
        </w:rPr>
        <w:t xml:space="preserve">​</w:t>
      </w:r>
    </w:p>
    <w:p w:rsidR="00000000" w:rsidDel="00000000" w:rsidP="00000000" w:rsidRDefault="00000000" w:rsidRPr="00000000" w14:paraId="000000BF">
      <w:pPr>
        <w:rPr/>
      </w:pPr>
      <w:r w:rsidDel="00000000" w:rsidR="00000000" w:rsidRPr="00000000">
        <w:rPr>
          <w:rtl w:val="0"/>
        </w:rPr>
        <w:t xml:space="preserve"> =P( </w:t>
      </w:r>
    </w:p>
    <w:p w:rsidR="00000000" w:rsidDel="00000000" w:rsidP="00000000" w:rsidRDefault="00000000" w:rsidRPr="00000000" w14:paraId="000000C0">
      <w:pPr>
        <w:rPr/>
      </w:pPr>
      <w:r w:rsidDel="00000000" w:rsidR="00000000" w:rsidRPr="00000000">
        <w:rPr>
          <w:rtl w:val="0"/>
        </w:rPr>
        <w:t xml:space="preserve">R</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=0∣R </w:t>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4">
      <w:pPr>
        <w:rPr/>
      </w:pPr>
      <w:r w:rsidDel="00000000" w:rsidR="00000000" w:rsidRPr="00000000">
        <w:rPr>
          <w:rtl w:val="0"/>
        </w:rPr>
        <w:t xml:space="preserve"> =1). The engine applies backward error correction to construct an unbiased surrogate reward:   </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 </w:t>
      </w:r>
    </w:p>
    <w:p w:rsidR="00000000" w:rsidDel="00000000" w:rsidP="00000000" w:rsidRDefault="00000000" w:rsidRPr="00000000" w14:paraId="000000C7">
      <w:pPr>
        <w:rPr/>
      </w:pPr>
      <w:r w:rsidDel="00000000" w:rsidR="00000000" w:rsidRPr="00000000">
        <w:rPr>
          <w:rtl w:val="0"/>
        </w:rPr>
        <w:t xml:space="preserve">backward</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t xml:space="preserve"> = </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1−ρ </w:t>
      </w:r>
    </w:p>
    <w:p w:rsidR="00000000" w:rsidDel="00000000" w:rsidP="00000000" w:rsidRDefault="00000000" w:rsidRPr="00000000" w14:paraId="000000CB">
      <w:pPr>
        <w:rPr/>
      </w:pPr>
      <w:r w:rsidDel="00000000" w:rsidR="00000000" w:rsidRPr="00000000">
        <w:rPr>
          <w:rtl w:val="0"/>
        </w:rPr>
        <w:t xml:space="preserve">0</w:t>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−ρ </w:t>
      </w:r>
    </w:p>
    <w:p w:rsidR="00000000" w:rsidDel="00000000" w:rsidP="00000000" w:rsidRDefault="00000000" w:rsidRPr="00000000" w14:paraId="000000CE">
      <w:pPr>
        <w:rPr/>
      </w:pPr>
      <w:r w:rsidDel="00000000" w:rsidR="00000000" w:rsidRPr="00000000">
        <w:rPr>
          <w:rtl w:val="0"/>
        </w:rPr>
        <w:t xml:space="preserve">1</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 </w:t>
      </w:r>
    </w:p>
    <w:p w:rsidR="00000000" w:rsidDel="00000000" w:rsidP="00000000" w:rsidRDefault="00000000" w:rsidRPr="00000000" w14:paraId="000000D1">
      <w:pPr>
        <w:rPr/>
      </w:pPr>
      <w:r w:rsidDel="00000000" w:rsidR="00000000" w:rsidRPr="00000000">
        <w:rPr>
          <w:rtl w:val="0"/>
        </w:rPr>
        <w:t xml:space="preserve">R</w:t>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−ρ </w:t>
      </w:r>
    </w:p>
    <w:p w:rsidR="00000000" w:rsidDel="00000000" w:rsidP="00000000" w:rsidRDefault="00000000" w:rsidRPr="00000000" w14:paraId="000000D4">
      <w:pPr>
        <w:rPr/>
      </w:pPr>
      <w:r w:rsidDel="00000000" w:rsidR="00000000" w:rsidRPr="00000000">
        <w:rPr>
          <w:rtl w:val="0"/>
        </w:rPr>
        <w:t xml:space="preserve">0</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 </w:t>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If the verifier becomes uninformative (1−ρ </w:t>
      </w:r>
    </w:p>
    <w:p w:rsidR="00000000" w:rsidDel="00000000" w:rsidP="00000000" w:rsidRDefault="00000000" w:rsidRPr="00000000" w14:paraId="000000DA">
      <w:pPr>
        <w:rPr/>
      </w:pPr>
      <w:r w:rsidDel="00000000" w:rsidR="00000000" w:rsidRPr="00000000">
        <w:rPr>
          <w:rtl w:val="0"/>
        </w:rPr>
        <w:t xml:space="preserve">0</w:t>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−ρ </w:t>
      </w:r>
    </w:p>
    <w:p w:rsidR="00000000" w:rsidDel="00000000" w:rsidP="00000000" w:rsidRDefault="00000000" w:rsidRPr="00000000" w14:paraId="000000DD">
      <w:pPr>
        <w:rPr/>
      </w:pPr>
      <w:r w:rsidDel="00000000" w:rsidR="00000000" w:rsidRPr="00000000">
        <w:rPr>
          <w:rtl w:val="0"/>
        </w:rPr>
        <w:t xml:space="preserve">1</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≤0), execution halts immediately to prevent policy corruption. In parallel, forward error correction reweights the score-function terms within the policy gradient directly, matching the clean update trajectory without amplifying sampling variance.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Conformal Prediction, Adaptive Calibration, and Capital Allocation</w:t>
      </w:r>
    </w:p>
    <w:p w:rsidR="00000000" w:rsidDel="00000000" w:rsidP="00000000" w:rsidRDefault="00000000" w:rsidRPr="00000000" w14:paraId="000000E2">
      <w:pPr>
        <w:rPr/>
      </w:pPr>
      <w:r w:rsidDel="00000000" w:rsidR="00000000" w:rsidRPr="00000000">
        <w:rPr>
          <w:rtl w:val="0"/>
        </w:rPr>
        <w:t xml:space="preserve">To deliver statistical coverage guarantees without relying on restrictive parametric assumptions, the engine integrates split conformal prediction. Given a calibration set of n exchangeable historical events (X </w:t>
      </w:r>
    </w:p>
    <w:p w:rsidR="00000000" w:rsidDel="00000000" w:rsidP="00000000" w:rsidRDefault="00000000" w:rsidRPr="00000000" w14:paraId="000000E3">
      <w:pPr>
        <w:rPr/>
      </w:pPr>
      <w:r w:rsidDel="00000000" w:rsidR="00000000" w:rsidRPr="00000000">
        <w:rPr>
          <w:rtl w:val="0"/>
        </w:rPr>
        <w:t xml:space="preserve">i</w:t>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t xml:space="preserve"> ,Y </w:t>
      </w:r>
    </w:p>
    <w:p w:rsidR="00000000" w:rsidDel="00000000" w:rsidP="00000000" w:rsidRDefault="00000000" w:rsidRPr="00000000" w14:paraId="000000E6">
      <w:pPr>
        <w:rPr/>
      </w:pPr>
      <w:r w:rsidDel="00000000" w:rsidR="00000000" w:rsidRPr="00000000">
        <w:rPr>
          <w:rtl w:val="0"/>
        </w:rPr>
        <w:t xml:space="preserve">i</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 ) with non-conformity scores s </w:t>
      </w:r>
    </w:p>
    <w:p w:rsidR="00000000" w:rsidDel="00000000" w:rsidP="00000000" w:rsidRDefault="00000000" w:rsidRPr="00000000" w14:paraId="000000E9">
      <w:pPr>
        <w:rPr/>
      </w:pPr>
      <w:r w:rsidDel="00000000" w:rsidR="00000000" w:rsidRPr="00000000">
        <w:rPr>
          <w:rtl w:val="0"/>
        </w:rPr>
        <w:t xml:space="preserve">i</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=∣Y </w:t>
      </w:r>
    </w:p>
    <w:p w:rsidR="00000000" w:rsidDel="00000000" w:rsidP="00000000" w:rsidRDefault="00000000" w:rsidRPr="00000000" w14:paraId="000000EC">
      <w:pPr>
        <w:rPr/>
      </w:pPr>
      <w:r w:rsidDel="00000000" w:rsidR="00000000" w:rsidRPr="00000000">
        <w:rPr>
          <w:rtl w:val="0"/>
        </w:rPr>
        <w:t xml:space="preserve">i</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0EF">
      <w:pPr>
        <w:rPr/>
      </w:pPr>
      <w:r w:rsidDel="00000000" w:rsidR="00000000" w:rsidRPr="00000000">
        <w:rPr>
          <w:rtl w:val="0"/>
        </w:rPr>
        <w:t xml:space="preserve">μ</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rPr/>
      </w:pPr>
      <w:r w:rsidDel="00000000" w:rsidR="00000000" w:rsidRPr="00000000">
        <w:rPr>
          <w:rtl w:val="0"/>
        </w:rPr>
        <w:t xml:space="preserve"> (X </w:t>
      </w:r>
    </w:p>
    <w:p w:rsidR="00000000" w:rsidDel="00000000" w:rsidP="00000000" w:rsidRDefault="00000000" w:rsidRPr="00000000" w14:paraId="000000F3">
      <w:pPr>
        <w:rPr/>
      </w:pPr>
      <w:r w:rsidDel="00000000" w:rsidR="00000000" w:rsidRPr="00000000">
        <w:rPr>
          <w:rtl w:val="0"/>
        </w:rPr>
        <w:t xml:space="preserve">i</w:t>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 the non-conformity quantile threshold  </w:t>
      </w:r>
    </w:p>
    <w:p w:rsidR="00000000" w:rsidDel="00000000" w:rsidP="00000000" w:rsidRDefault="00000000" w:rsidRPr="00000000" w14:paraId="000000F6">
      <w:pPr>
        <w:rPr/>
      </w:pPr>
      <w:r w:rsidDel="00000000" w:rsidR="00000000" w:rsidRPr="00000000">
        <w:rPr>
          <w:rtl w:val="0"/>
        </w:rPr>
        <w:t xml:space="preserve">q</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at target coverage 1−α is defined as: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q</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t xml:space="preserve"> =inf{q: </w:t>
      </w:r>
    </w:p>
    <w:p w:rsidR="00000000" w:rsidDel="00000000" w:rsidP="00000000" w:rsidRDefault="00000000" w:rsidRPr="00000000" w14:paraId="000000FF">
      <w:pPr>
        <w:rPr/>
      </w:pPr>
      <w:r w:rsidDel="00000000" w:rsidR="00000000" w:rsidRPr="00000000">
        <w:rPr>
          <w:rtl w:val="0"/>
        </w:rPr>
        <w:t xml:space="preserve">n</w:t>
      </w:r>
    </w:p>
    <w:p w:rsidR="00000000" w:rsidDel="00000000" w:rsidP="00000000" w:rsidRDefault="00000000" w:rsidRPr="00000000" w14:paraId="00000100">
      <w:pPr>
        <w:rPr/>
      </w:pPr>
      <w:r w:rsidDel="00000000" w:rsidR="00000000" w:rsidRPr="00000000">
        <w:rPr>
          <w:rtl w:val="0"/>
        </w:rPr>
        <w:t xml:space="preserve">1</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i=1</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5">
      <w:pPr>
        <w:rPr/>
      </w:pPr>
      <w:r w:rsidDel="00000000" w:rsidR="00000000" w:rsidRPr="00000000">
        <w:rPr>
          <w:rtl w:val="0"/>
        </w:rPr>
        <w:t xml:space="preserve">n</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 I(s </w:t>
      </w:r>
    </w:p>
    <w:p w:rsidR="00000000" w:rsidDel="00000000" w:rsidP="00000000" w:rsidRDefault="00000000" w:rsidRPr="00000000" w14:paraId="00000108">
      <w:pPr>
        <w:rPr/>
      </w:pPr>
      <w:r w:rsidDel="00000000" w:rsidR="00000000" w:rsidRPr="00000000">
        <w:rPr>
          <w:rtl w:val="0"/>
        </w:rPr>
        <w:t xml:space="preserve">i</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 ≤q)≥ </w:t>
      </w:r>
    </w:p>
    <w:p w:rsidR="00000000" w:rsidDel="00000000" w:rsidP="00000000" w:rsidRDefault="00000000" w:rsidRPr="00000000" w14:paraId="0000010B">
      <w:pPr>
        <w:rPr/>
      </w:pPr>
      <w:r w:rsidDel="00000000" w:rsidR="00000000" w:rsidRPr="00000000">
        <w:rPr>
          <w:rtl w:val="0"/>
        </w:rPr>
        <w:t xml:space="preserve">n</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⌈(n+1)(1−α)⌉</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This formulation guarantees marginal coverage over the feature space: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P(Y </w:t>
      </w:r>
    </w:p>
    <w:p w:rsidR="00000000" w:rsidDel="00000000" w:rsidP="00000000" w:rsidRDefault="00000000" w:rsidRPr="00000000" w14:paraId="00000112">
      <w:pPr>
        <w:rPr/>
      </w:pPr>
      <w:r w:rsidDel="00000000" w:rsidR="00000000" w:rsidRPr="00000000">
        <w:rPr>
          <w:rtl w:val="0"/>
        </w:rPr>
        <w:t xml:space="preserve">n+1</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∈C(X </w:t>
      </w:r>
    </w:p>
    <w:p w:rsidR="00000000" w:rsidDel="00000000" w:rsidP="00000000" w:rsidRDefault="00000000" w:rsidRPr="00000000" w14:paraId="00000115">
      <w:pPr>
        <w:rPr/>
      </w:pPr>
      <w:r w:rsidDel="00000000" w:rsidR="00000000" w:rsidRPr="00000000">
        <w:rPr>
          <w:rtl w:val="0"/>
        </w:rPr>
        <w:t xml:space="preserve">n+1</w:t>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))≥1−α</w:t>
      </w:r>
    </w:p>
    <w:p w:rsidR="00000000" w:rsidDel="00000000" w:rsidP="00000000" w:rsidRDefault="00000000" w:rsidRPr="00000000" w14:paraId="00000118">
      <w:pPr>
        <w:rPr/>
      </w:pPr>
      <w:r w:rsidDel="00000000" w:rsidR="00000000" w:rsidRPr="00000000">
        <w:rPr>
          <w:rtl w:val="0"/>
        </w:rPr>
        <w:t xml:space="preserve">Because athletic competitions exhibit distribution drift across seasons and tactical shifts, exchangeability is frequently violated. To maintain target coverage under non-exchangeable conditions, the system deploys Adaptive Conformal Inference (ACI), updating the rolling miscoverage level dynamically: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α </w:t>
      </w:r>
    </w:p>
    <w:p w:rsidR="00000000" w:rsidDel="00000000" w:rsidP="00000000" w:rsidRDefault="00000000" w:rsidRPr="00000000" w14:paraId="0000011B">
      <w:pPr>
        <w:rPr/>
      </w:pPr>
      <w:r w:rsidDel="00000000" w:rsidR="00000000" w:rsidRPr="00000000">
        <w:rPr>
          <w:rtl w:val="0"/>
        </w:rPr>
        <w:t xml:space="preserve">t+1</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 =α </w:t>
      </w:r>
    </w:p>
    <w:p w:rsidR="00000000" w:rsidDel="00000000" w:rsidP="00000000" w:rsidRDefault="00000000" w:rsidRPr="00000000" w14:paraId="0000011E">
      <w:pPr>
        <w:rPr/>
      </w:pPr>
      <w:r w:rsidDel="00000000" w:rsidR="00000000" w:rsidRPr="00000000">
        <w:rPr>
          <w:rtl w:val="0"/>
        </w:rPr>
        <w:t xml:space="preserve">t</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+γ(α−err </w:t>
      </w:r>
    </w:p>
    <w:p w:rsidR="00000000" w:rsidDel="00000000" w:rsidP="00000000" w:rsidRDefault="00000000" w:rsidRPr="00000000" w14:paraId="00000121">
      <w:pPr>
        <w:rPr/>
      </w:pPr>
      <w:r w:rsidDel="00000000" w:rsidR="00000000" w:rsidRPr="00000000">
        <w:rPr>
          <w:rtl w:val="0"/>
        </w:rPr>
        <w:t xml:space="preserve">t</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where err </w:t>
      </w:r>
    </w:p>
    <w:p w:rsidR="00000000" w:rsidDel="00000000" w:rsidP="00000000" w:rsidRDefault="00000000" w:rsidRPr="00000000" w14:paraId="00000125">
      <w:pPr>
        <w:rPr/>
      </w:pPr>
      <w:r w:rsidDel="00000000" w:rsidR="00000000" w:rsidRPr="00000000">
        <w:rPr>
          <w:rtl w:val="0"/>
        </w:rPr>
        <w:t xml:space="preserve">t</w:t>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=I{Y </w:t>
      </w:r>
    </w:p>
    <w:p w:rsidR="00000000" w:rsidDel="00000000" w:rsidP="00000000" w:rsidRDefault="00000000" w:rsidRPr="00000000" w14:paraId="00000128">
      <w:pPr>
        <w:rPr/>
      </w:pPr>
      <w:r w:rsidDel="00000000" w:rsidR="00000000" w:rsidRPr="00000000">
        <w:rPr>
          <w:rtl w:val="0"/>
        </w:rPr>
        <w:t xml:space="preserve">t</w:t>
      </w:r>
    </w:p>
    <w:p w:rsidR="00000000" w:rsidDel="00000000" w:rsidP="00000000" w:rsidRDefault="00000000" w:rsidRPr="00000000" w14:paraId="00000129">
      <w:pPr>
        <w:rPr/>
      </w:pPr>
      <w:r w:rsidDel="00000000" w:rsidR="00000000" w:rsidRPr="00000000">
        <w:rPr>
          <w:rtl w:val="0"/>
        </w:rPr>
        <w:t xml:space="preserve">​</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t xml:space="preserve">C </w:t>
      </w:r>
    </w:p>
    <w:p w:rsidR="00000000" w:rsidDel="00000000" w:rsidP="00000000" w:rsidRDefault="00000000" w:rsidRPr="00000000" w14:paraId="0000012D">
      <w:pPr>
        <w:rPr/>
      </w:pPr>
      <w:r w:rsidDel="00000000" w:rsidR="00000000" w:rsidRPr="00000000">
        <w:rPr>
          <w:rtl w:val="0"/>
        </w:rPr>
        <w:t xml:space="preserve">t</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 } and γ represents the learning rate. For time-series variance, a Conformal PID controller incorporates proportional, integral, and derivative terms to stabilize empirical coverage error around zero: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q </w:t>
      </w:r>
    </w:p>
    <w:p w:rsidR="00000000" w:rsidDel="00000000" w:rsidP="00000000" w:rsidRDefault="00000000" w:rsidRPr="00000000" w14:paraId="00000132">
      <w:pPr>
        <w:rPr/>
      </w:pPr>
      <w:r w:rsidDel="00000000" w:rsidR="00000000" w:rsidRPr="00000000">
        <w:rPr>
          <w:rtl w:val="0"/>
        </w:rPr>
        <w:t xml:space="preserve">t+1</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=ηg </w:t>
      </w:r>
    </w:p>
    <w:p w:rsidR="00000000" w:rsidDel="00000000" w:rsidP="00000000" w:rsidRDefault="00000000" w:rsidRPr="00000000" w14:paraId="00000135">
      <w:pPr>
        <w:rPr/>
      </w:pPr>
      <w:r w:rsidDel="00000000" w:rsidR="00000000" w:rsidRPr="00000000">
        <w:rPr>
          <w:rtl w:val="0"/>
        </w:rPr>
        <w:t xml:space="preserve">t</w:t>
      </w:r>
    </w:p>
    <w:p w:rsidR="00000000" w:rsidDel="00000000" w:rsidP="00000000" w:rsidRDefault="00000000" w:rsidRPr="00000000" w14:paraId="00000136">
      <w:pPr>
        <w:rPr/>
      </w:pPr>
      <w:r w:rsidDel="00000000" w:rsidR="00000000" w:rsidRPr="00000000">
        <w:rPr>
          <w:rtl w:val="0"/>
        </w:rPr>
        <w:t xml:space="preserve">​</w:t>
      </w:r>
    </w:p>
    <w:p w:rsidR="00000000" w:rsidDel="00000000" w:rsidP="00000000" w:rsidRDefault="00000000" w:rsidRPr="00000000" w14:paraId="00000137">
      <w:pPr>
        <w:rPr/>
      </w:pPr>
      <w:r w:rsidDel="00000000" w:rsidR="00000000" w:rsidRPr="00000000">
        <w:rPr>
          <w:rtl w:val="0"/>
        </w:rPr>
        <w:t xml:space="preserve"> +r </w:t>
      </w:r>
    </w:p>
    <w:p w:rsidR="00000000" w:rsidDel="00000000" w:rsidP="00000000" w:rsidRDefault="00000000" w:rsidRPr="00000000" w14:paraId="00000138">
      <w:pPr>
        <w:rPr/>
      </w:pPr>
      <w:r w:rsidDel="00000000" w:rsidR="00000000" w:rsidRPr="00000000">
        <w:rPr>
          <w:rtl w:val="0"/>
        </w:rPr>
        <w:t xml:space="preserve">t</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 ( </w:t>
      </w:r>
    </w:p>
    <w:p w:rsidR="00000000" w:rsidDel="00000000" w:rsidP="00000000" w:rsidRDefault="00000000" w:rsidRPr="00000000" w14:paraId="0000013B">
      <w:pPr>
        <w:rPr/>
      </w:pPr>
      <w:r w:rsidDel="00000000" w:rsidR="00000000" w:rsidRPr="00000000">
        <w:rPr>
          <w:rtl w:val="0"/>
        </w:rPr>
        <w:t xml:space="preserve">i=1</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3D">
      <w:pPr>
        <w:rPr/>
      </w:pPr>
      <w:r w:rsidDel="00000000" w:rsidR="00000000" w:rsidRPr="00000000">
        <w:rPr>
          <w:rtl w:val="0"/>
        </w:rPr>
        <w:t xml:space="preserve">t</w:t>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t xml:space="preserve"> g </w:t>
      </w:r>
    </w:p>
    <w:p w:rsidR="00000000" w:rsidDel="00000000" w:rsidP="00000000" w:rsidRDefault="00000000" w:rsidRPr="00000000" w14:paraId="00000140">
      <w:pPr>
        <w:rPr/>
      </w:pPr>
      <w:r w:rsidDel="00000000" w:rsidR="00000000" w:rsidRPr="00000000">
        <w:rPr>
          <w:rtl w:val="0"/>
        </w:rPr>
        <w:t xml:space="preserve">i</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 )+g </w:t>
      </w:r>
    </w:p>
    <w:p w:rsidR="00000000" w:rsidDel="00000000" w:rsidP="00000000" w:rsidRDefault="00000000" w:rsidRPr="00000000" w14:paraId="00000143">
      <w:pPr>
        <w:rPr/>
      </w:pPr>
      <w:r w:rsidDel="00000000" w:rsidR="00000000" w:rsidRPr="00000000">
        <w:rPr>
          <w:rtl w:val="0"/>
        </w:rPr>
        <w:t xml:space="preserve">t</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where g </w:t>
      </w:r>
    </w:p>
    <w:p w:rsidR="00000000" w:rsidDel="00000000" w:rsidP="00000000" w:rsidRDefault="00000000" w:rsidRPr="00000000" w14:paraId="00000148">
      <w:pPr>
        <w:rPr/>
      </w:pPr>
      <w:r w:rsidDel="00000000" w:rsidR="00000000" w:rsidRPr="00000000">
        <w:rPr>
          <w:rtl w:val="0"/>
        </w:rPr>
        <w:t xml:space="preserve">t</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 =err </w:t>
      </w:r>
    </w:p>
    <w:p w:rsidR="00000000" w:rsidDel="00000000" w:rsidP="00000000" w:rsidRDefault="00000000" w:rsidRPr="00000000" w14:paraId="0000014B">
      <w:pPr>
        <w:rPr/>
      </w:pPr>
      <w:r w:rsidDel="00000000" w:rsidR="00000000" w:rsidRPr="00000000">
        <w:rPr>
          <w:rtl w:val="0"/>
        </w:rPr>
        <w:t xml:space="preserve">t</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 −α. When sizing capital allocations under conformal uncertainty, the optimal Kelly fraction scales inversely with the prediction band half-width σ: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f </w:t>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51">
      <w:pPr>
        <w:rPr/>
      </w:pPr>
      <w:r w:rsidDel="00000000" w:rsidR="00000000" w:rsidRPr="00000000">
        <w:rPr>
          <w:rtl w:val="0"/>
        </w:rPr>
        <w:t xml:space="preserve"> = </w:t>
      </w:r>
    </w:p>
    <w:p w:rsidR="00000000" w:rsidDel="00000000" w:rsidP="00000000" w:rsidRDefault="00000000" w:rsidRPr="00000000" w14:paraId="00000152">
      <w:pPr>
        <w:rPr/>
      </w:pPr>
      <w:r w:rsidDel="00000000" w:rsidR="00000000" w:rsidRPr="00000000">
        <w:rPr>
          <w:rtl w:val="0"/>
        </w:rPr>
        <w:t xml:space="preserve">σ </w:t>
      </w:r>
    </w:p>
    <w:p w:rsidR="00000000" w:rsidDel="00000000" w:rsidP="00000000" w:rsidRDefault="00000000" w:rsidRPr="00000000" w14:paraId="00000153">
      <w:pPr>
        <w:rPr/>
      </w:pPr>
      <w:r w:rsidDel="00000000" w:rsidR="00000000" w:rsidRPr="00000000">
        <w:rPr>
          <w:rtl w:val="0"/>
        </w:rPr>
        <w:t xml:space="preserve">2</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μ</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Multivariate Copula Formulations and Asymmetric Tail Dependencies</w:t>
      </w:r>
    </w:p>
    <w:p w:rsidR="00000000" w:rsidDel="00000000" w:rsidP="00000000" w:rsidRDefault="00000000" w:rsidRPr="00000000" w14:paraId="00000159">
      <w:pPr>
        <w:rPr/>
      </w:pPr>
      <w:r w:rsidDel="00000000" w:rsidR="00000000" w:rsidRPr="00000000">
        <w:rPr>
          <w:rtl w:val="0"/>
        </w:rPr>
        <w:t xml:space="preserve">Calculating joint probabilities across multiple proposition outcomes (such as Same-Game Parlays) requires isolating marginal distributions from their underlying dependence structures. Direct probability multiplication assumes statistical independence, which fails to reflect sport-specific correlation profiles. In accordance with Sklar’s Theorem, the multivariate joint distribution decomposes into marginals and a copula C: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F(x </w:t>
      </w:r>
    </w:p>
    <w:p w:rsidR="00000000" w:rsidDel="00000000" w:rsidP="00000000" w:rsidRDefault="00000000" w:rsidRPr="00000000" w14:paraId="0000015C">
      <w:pPr>
        <w:rPr/>
      </w:pPr>
      <w:r w:rsidDel="00000000" w:rsidR="00000000" w:rsidRPr="00000000">
        <w:rPr>
          <w:rtl w:val="0"/>
        </w:rPr>
        <w:t xml:space="preserve">1</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,…,x </w:t>
      </w:r>
    </w:p>
    <w:p w:rsidR="00000000" w:rsidDel="00000000" w:rsidP="00000000" w:rsidRDefault="00000000" w:rsidRPr="00000000" w14:paraId="0000015F">
      <w:pPr>
        <w:rPr/>
      </w:pPr>
      <w:r w:rsidDel="00000000" w:rsidR="00000000" w:rsidRPr="00000000">
        <w:rPr>
          <w:rtl w:val="0"/>
        </w:rPr>
        <w:t xml:space="preserve">d</w:t>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t xml:space="preserve"> )=C(F </w:t>
      </w:r>
    </w:p>
    <w:p w:rsidR="00000000" w:rsidDel="00000000" w:rsidP="00000000" w:rsidRDefault="00000000" w:rsidRPr="00000000" w14:paraId="00000162">
      <w:pPr>
        <w:rPr/>
      </w:pPr>
      <w:r w:rsidDel="00000000" w:rsidR="00000000" w:rsidRPr="00000000">
        <w:rPr>
          <w:rtl w:val="0"/>
        </w:rPr>
        <w:t xml:space="preserve">1</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 (x </w:t>
      </w:r>
    </w:p>
    <w:p w:rsidR="00000000" w:rsidDel="00000000" w:rsidP="00000000" w:rsidRDefault="00000000" w:rsidRPr="00000000" w14:paraId="00000165">
      <w:pPr>
        <w:rPr/>
      </w:pPr>
      <w:r w:rsidDel="00000000" w:rsidR="00000000" w:rsidRPr="00000000">
        <w:rPr>
          <w:rtl w:val="0"/>
        </w:rPr>
        <w:t xml:space="preserve">1</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t xml:space="preserve"> ),…,F </w:t>
      </w:r>
    </w:p>
    <w:p w:rsidR="00000000" w:rsidDel="00000000" w:rsidP="00000000" w:rsidRDefault="00000000" w:rsidRPr="00000000" w14:paraId="00000168">
      <w:pPr>
        <w:rPr/>
      </w:pPr>
      <w:r w:rsidDel="00000000" w:rsidR="00000000" w:rsidRPr="00000000">
        <w:rPr>
          <w:rtl w:val="0"/>
        </w:rPr>
        <w:t xml:space="preserve">d</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(x </w:t>
      </w:r>
    </w:p>
    <w:p w:rsidR="00000000" w:rsidDel="00000000" w:rsidP="00000000" w:rsidRDefault="00000000" w:rsidRPr="00000000" w14:paraId="0000016B">
      <w:pPr>
        <w:rPr/>
      </w:pPr>
      <w:r w:rsidDel="00000000" w:rsidR="00000000" w:rsidRPr="00000000">
        <w:rPr>
          <w:rtl w:val="0"/>
        </w:rPr>
        <w:t xml:space="preserve">d</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All joint formulations are strictly evaluated against the Fréchet-Hoeffding bounds: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max(1−d+ </w:t>
      </w:r>
    </w:p>
    <w:p w:rsidR="00000000" w:rsidDel="00000000" w:rsidP="00000000" w:rsidRDefault="00000000" w:rsidRPr="00000000" w14:paraId="00000171">
      <w:pPr>
        <w:rPr/>
      </w:pPr>
      <w:r w:rsidDel="00000000" w:rsidR="00000000" w:rsidRPr="00000000">
        <w:rPr>
          <w:rtl w:val="0"/>
        </w:rPr>
        <w:t xml:space="preserve">i=1</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73">
      <w:pPr>
        <w:rPr/>
      </w:pPr>
      <w:r w:rsidDel="00000000" w:rsidR="00000000" w:rsidRPr="00000000">
        <w:rPr>
          <w:rtl w:val="0"/>
        </w:rPr>
        <w:t xml:space="preserve">d</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 u </w:t>
      </w:r>
    </w:p>
    <w:p w:rsidR="00000000" w:rsidDel="00000000" w:rsidP="00000000" w:rsidRDefault="00000000" w:rsidRPr="00000000" w14:paraId="00000176">
      <w:pPr>
        <w:rPr/>
      </w:pPr>
      <w:r w:rsidDel="00000000" w:rsidR="00000000" w:rsidRPr="00000000">
        <w:rPr>
          <w:rtl w:val="0"/>
        </w:rPr>
        <w:t xml:space="preserve">i</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,0)≤C(u </w:t>
      </w:r>
    </w:p>
    <w:p w:rsidR="00000000" w:rsidDel="00000000" w:rsidP="00000000" w:rsidRDefault="00000000" w:rsidRPr="00000000" w14:paraId="00000179">
      <w:pPr>
        <w:rPr/>
      </w:pPr>
      <w:r w:rsidDel="00000000" w:rsidR="00000000" w:rsidRPr="00000000">
        <w:rPr>
          <w:rtl w:val="0"/>
        </w:rPr>
        <w:t xml:space="preserve">1</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 ,…,u </w:t>
      </w:r>
    </w:p>
    <w:p w:rsidR="00000000" w:rsidDel="00000000" w:rsidP="00000000" w:rsidRDefault="00000000" w:rsidRPr="00000000" w14:paraId="0000017C">
      <w:pPr>
        <w:rPr/>
      </w:pPr>
      <w:r w:rsidDel="00000000" w:rsidR="00000000" w:rsidRPr="00000000">
        <w:rPr>
          <w:rtl w:val="0"/>
        </w:rPr>
        <w:t xml:space="preserve">d</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 )≤min(u </w:t>
      </w:r>
    </w:p>
    <w:p w:rsidR="00000000" w:rsidDel="00000000" w:rsidP="00000000" w:rsidRDefault="00000000" w:rsidRPr="00000000" w14:paraId="0000017F">
      <w:pPr>
        <w:rPr/>
      </w:pPr>
      <w:r w:rsidDel="00000000" w:rsidR="00000000" w:rsidRPr="00000000">
        <w:rPr>
          <w:rtl w:val="0"/>
        </w:rPr>
        <w:t xml:space="preserve">1</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 ,…,u </w:t>
      </w:r>
    </w:p>
    <w:p w:rsidR="00000000" w:rsidDel="00000000" w:rsidP="00000000" w:rsidRDefault="00000000" w:rsidRPr="00000000" w14:paraId="00000182">
      <w:pPr>
        <w:rPr/>
      </w:pPr>
      <w:r w:rsidDel="00000000" w:rsidR="00000000" w:rsidRPr="00000000">
        <w:rPr>
          <w:rtl w:val="0"/>
        </w:rPr>
        <w:t xml:space="preserve">d</w:t>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Because correlations in athletic contests are frequently asymmetric, the engine pairs symmetric Frank copulas with Clayton (lower-tail clustering, such as defensive slugfests) and Gumbel copulas (upper-tail clustering, such as high-scoring overtime shootouts):   </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Clayton: C </w:t>
      </w:r>
    </w:p>
    <w:p w:rsidR="00000000" w:rsidDel="00000000" w:rsidP="00000000" w:rsidRDefault="00000000" w:rsidRPr="00000000" w14:paraId="00000188">
      <w:pPr>
        <w:rPr/>
      </w:pPr>
      <w:r w:rsidDel="00000000" w:rsidR="00000000" w:rsidRPr="00000000">
        <w:rPr>
          <w:rtl w:val="0"/>
        </w:rPr>
        <w:t xml:space="preserve">θ</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 (u </w:t>
      </w:r>
    </w:p>
    <w:p w:rsidR="00000000" w:rsidDel="00000000" w:rsidP="00000000" w:rsidRDefault="00000000" w:rsidRPr="00000000" w14:paraId="0000018B">
      <w:pPr>
        <w:rPr/>
      </w:pPr>
      <w:r w:rsidDel="00000000" w:rsidR="00000000" w:rsidRPr="00000000">
        <w:rPr>
          <w:rtl w:val="0"/>
        </w:rPr>
        <w:t xml:space="preserve">1</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 ,u </w:t>
      </w:r>
    </w:p>
    <w:p w:rsidR="00000000" w:rsidDel="00000000" w:rsidP="00000000" w:rsidRDefault="00000000" w:rsidRPr="00000000" w14:paraId="0000018E">
      <w:pPr>
        <w:rPr/>
      </w:pPr>
      <w:r w:rsidDel="00000000" w:rsidR="00000000" w:rsidRPr="00000000">
        <w:rPr>
          <w:rtl w:val="0"/>
        </w:rPr>
        <w:t xml:space="preserve">2</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 )=(u </w:t>
      </w:r>
    </w:p>
    <w:p w:rsidR="00000000" w:rsidDel="00000000" w:rsidP="00000000" w:rsidRDefault="00000000" w:rsidRPr="00000000" w14:paraId="00000191">
      <w:pPr>
        <w:rPr/>
      </w:pPr>
      <w:r w:rsidDel="00000000" w:rsidR="00000000" w:rsidRPr="00000000">
        <w:rPr>
          <w:rtl w:val="0"/>
        </w:rPr>
        <w:t xml:space="preserve">1</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−θ</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+u </w:t>
      </w:r>
    </w:p>
    <w:p w:rsidR="00000000" w:rsidDel="00000000" w:rsidP="00000000" w:rsidRDefault="00000000" w:rsidRPr="00000000" w14:paraId="00000195">
      <w:pPr>
        <w:rPr/>
      </w:pPr>
      <w:r w:rsidDel="00000000" w:rsidR="00000000" w:rsidRPr="00000000">
        <w:rPr>
          <w:rtl w:val="0"/>
        </w:rPr>
        <w:t xml:space="preserve">2</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−θ</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 −1) </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−1/θ</w:t>
      </w:r>
    </w:p>
    <w:p w:rsidR="00000000" w:rsidDel="00000000" w:rsidP="00000000" w:rsidRDefault="00000000" w:rsidRPr="00000000" w14:paraId="0000019A">
      <w:pPr>
        <w:rPr/>
      </w:pPr>
      <w:r w:rsidDel="00000000" w:rsidR="00000000" w:rsidRPr="00000000">
        <w:rPr>
          <w:rtl w:val="0"/>
        </w:rPr>
        <w:t xml:space="preserve"> ,λ </w:t>
      </w:r>
    </w:p>
    <w:p w:rsidR="00000000" w:rsidDel="00000000" w:rsidP="00000000" w:rsidRDefault="00000000" w:rsidRPr="00000000" w14:paraId="0000019B">
      <w:pPr>
        <w:rPr/>
      </w:pPr>
      <w:r w:rsidDel="00000000" w:rsidR="00000000" w:rsidRPr="00000000">
        <w:rPr>
          <w:rtl w:val="0"/>
        </w:rPr>
        <w:t xml:space="preserve">L</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 =2 </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−1/θ</w:t>
      </w:r>
    </w:p>
    <w:p w:rsidR="00000000" w:rsidDel="00000000" w:rsidP="00000000" w:rsidRDefault="00000000" w:rsidRPr="00000000" w14:paraId="0000019F">
      <w:pPr>
        <w:rPr/>
      </w:pPr>
      <w:r w:rsidDel="00000000" w:rsidR="00000000" w:rsidRPr="00000000">
        <w:rPr>
          <w:rtl w:val="0"/>
        </w:rPr>
        <w:t xml:space="preserve"> ,λ </w:t>
      </w:r>
    </w:p>
    <w:p w:rsidR="00000000" w:rsidDel="00000000" w:rsidP="00000000" w:rsidRDefault="00000000" w:rsidRPr="00000000" w14:paraId="000001A0">
      <w:pPr>
        <w:rPr/>
      </w:pPr>
      <w:r w:rsidDel="00000000" w:rsidR="00000000" w:rsidRPr="00000000">
        <w:rPr>
          <w:rtl w:val="0"/>
        </w:rPr>
        <w:t xml:space="preserve">U</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 =0</w:t>
      </w:r>
    </w:p>
    <w:p w:rsidR="00000000" w:rsidDel="00000000" w:rsidP="00000000" w:rsidRDefault="00000000" w:rsidRPr="00000000" w14:paraId="000001A3">
      <w:pPr>
        <w:rPr/>
      </w:pPr>
      <w:r w:rsidDel="00000000" w:rsidR="00000000" w:rsidRPr="00000000">
        <w:rPr>
          <w:rtl w:val="0"/>
        </w:rPr>
        <w:t xml:space="preserve">Gumbel: C </w:t>
      </w:r>
    </w:p>
    <w:p w:rsidR="00000000" w:rsidDel="00000000" w:rsidP="00000000" w:rsidRDefault="00000000" w:rsidRPr="00000000" w14:paraId="000001A4">
      <w:pPr>
        <w:rPr/>
      </w:pPr>
      <w:r w:rsidDel="00000000" w:rsidR="00000000" w:rsidRPr="00000000">
        <w:rPr>
          <w:rtl w:val="0"/>
        </w:rPr>
        <w:t xml:space="preserve">θ</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 (u </w:t>
      </w:r>
    </w:p>
    <w:p w:rsidR="00000000" w:rsidDel="00000000" w:rsidP="00000000" w:rsidRDefault="00000000" w:rsidRPr="00000000" w14:paraId="000001A7">
      <w:pPr>
        <w:rPr/>
      </w:pPr>
      <w:r w:rsidDel="00000000" w:rsidR="00000000" w:rsidRPr="00000000">
        <w:rPr>
          <w:rtl w:val="0"/>
        </w:rPr>
        <w:t xml:space="preserve">1</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 ,u </w:t>
      </w:r>
    </w:p>
    <w:p w:rsidR="00000000" w:rsidDel="00000000" w:rsidP="00000000" w:rsidRDefault="00000000" w:rsidRPr="00000000" w14:paraId="000001AA">
      <w:pPr>
        <w:rPr/>
      </w:pPr>
      <w:r w:rsidDel="00000000" w:rsidR="00000000" w:rsidRPr="00000000">
        <w:rPr>
          <w:rtl w:val="0"/>
        </w:rPr>
        <w:t xml:space="preserve">2</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)=exp(−[(−lnu </w:t>
      </w:r>
    </w:p>
    <w:p w:rsidR="00000000" w:rsidDel="00000000" w:rsidP="00000000" w:rsidRDefault="00000000" w:rsidRPr="00000000" w14:paraId="000001AD">
      <w:pPr>
        <w:rPr/>
      </w:pPr>
      <w:r w:rsidDel="00000000" w:rsidR="00000000" w:rsidRPr="00000000">
        <w:rPr>
          <w:rtl w:val="0"/>
        </w:rPr>
        <w:t xml:space="preserve">1</w:t>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 ) </w:t>
      </w:r>
    </w:p>
    <w:p w:rsidR="00000000" w:rsidDel="00000000" w:rsidP="00000000" w:rsidRDefault="00000000" w:rsidRPr="00000000" w14:paraId="000001B0">
      <w:pPr>
        <w:rPr/>
      </w:pPr>
      <w:r w:rsidDel="00000000" w:rsidR="00000000" w:rsidRPr="00000000">
        <w:rPr>
          <w:rtl w:val="0"/>
        </w:rPr>
        <w:t xml:space="preserve">θ</w:t>
      </w:r>
    </w:p>
    <w:p w:rsidR="00000000" w:rsidDel="00000000" w:rsidP="00000000" w:rsidRDefault="00000000" w:rsidRPr="00000000" w14:paraId="000001B1">
      <w:pPr>
        <w:rPr/>
      </w:pPr>
      <w:r w:rsidDel="00000000" w:rsidR="00000000" w:rsidRPr="00000000">
        <w:rPr>
          <w:rFonts w:ascii="Arial Unicode MS" w:cs="Arial Unicode MS" w:eastAsia="Arial Unicode MS" w:hAnsi="Arial Unicode MS"/>
          <w:rtl w:val="0"/>
        </w:rPr>
        <w:t xml:space="preserve"> +(−lnu </w:t>
      </w:r>
    </w:p>
    <w:p w:rsidR="00000000" w:rsidDel="00000000" w:rsidP="00000000" w:rsidRDefault="00000000" w:rsidRPr="00000000" w14:paraId="000001B2">
      <w:pPr>
        <w:rPr/>
      </w:pPr>
      <w:r w:rsidDel="00000000" w:rsidR="00000000" w:rsidRPr="00000000">
        <w:rPr>
          <w:rtl w:val="0"/>
        </w:rPr>
        <w:t xml:space="preserve">2</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 ) </w:t>
      </w:r>
    </w:p>
    <w:p w:rsidR="00000000" w:rsidDel="00000000" w:rsidP="00000000" w:rsidRDefault="00000000" w:rsidRPr="00000000" w14:paraId="000001B5">
      <w:pPr>
        <w:rPr/>
      </w:pPr>
      <w:r w:rsidDel="00000000" w:rsidR="00000000" w:rsidRPr="00000000">
        <w:rPr>
          <w:rtl w:val="0"/>
        </w:rPr>
        <w:t xml:space="preserve">θ</w:t>
      </w:r>
    </w:p>
    <w:p w:rsidR="00000000" w:rsidDel="00000000" w:rsidP="00000000" w:rsidRDefault="00000000" w:rsidRPr="00000000" w14:paraId="000001B6">
      <w:pPr>
        <w:rPr/>
      </w:pPr>
      <w:r w:rsidDel="00000000" w:rsidR="00000000" w:rsidRPr="00000000">
        <w:rPr>
          <w:rtl w:val="0"/>
        </w:rPr>
        <w:t xml:space="preserve"> ] </w:t>
      </w:r>
    </w:p>
    <w:p w:rsidR="00000000" w:rsidDel="00000000" w:rsidP="00000000" w:rsidRDefault="00000000" w:rsidRPr="00000000" w14:paraId="000001B7">
      <w:pPr>
        <w:rPr/>
      </w:pPr>
      <w:r w:rsidDel="00000000" w:rsidR="00000000" w:rsidRPr="00000000">
        <w:rPr>
          <w:rtl w:val="0"/>
        </w:rPr>
        <w:t xml:space="preserve">1/θ</w:t>
      </w:r>
    </w:p>
    <w:p w:rsidR="00000000" w:rsidDel="00000000" w:rsidP="00000000" w:rsidRDefault="00000000" w:rsidRPr="00000000" w14:paraId="000001B8">
      <w:pPr>
        <w:rPr/>
      </w:pPr>
      <w:r w:rsidDel="00000000" w:rsidR="00000000" w:rsidRPr="00000000">
        <w:rPr>
          <w:rtl w:val="0"/>
        </w:rPr>
        <w:t xml:space="preserve"> ),λ </w:t>
      </w:r>
    </w:p>
    <w:p w:rsidR="00000000" w:rsidDel="00000000" w:rsidP="00000000" w:rsidRDefault="00000000" w:rsidRPr="00000000" w14:paraId="000001B9">
      <w:pPr>
        <w:rPr/>
      </w:pPr>
      <w:r w:rsidDel="00000000" w:rsidR="00000000" w:rsidRPr="00000000">
        <w:rPr>
          <w:rtl w:val="0"/>
        </w:rPr>
        <w:t xml:space="preserve">L</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 =0,λ </w:t>
      </w:r>
    </w:p>
    <w:p w:rsidR="00000000" w:rsidDel="00000000" w:rsidP="00000000" w:rsidRDefault="00000000" w:rsidRPr="00000000" w14:paraId="000001BC">
      <w:pPr>
        <w:rPr/>
      </w:pPr>
      <w:r w:rsidDel="00000000" w:rsidR="00000000" w:rsidRPr="00000000">
        <w:rPr>
          <w:rtl w:val="0"/>
        </w:rPr>
        <w:t xml:space="preserve">U</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 =2−2 </w:t>
      </w:r>
    </w:p>
    <w:p w:rsidR="00000000" w:rsidDel="00000000" w:rsidP="00000000" w:rsidRDefault="00000000" w:rsidRPr="00000000" w14:paraId="000001BF">
      <w:pPr>
        <w:rPr/>
      </w:pPr>
      <w:r w:rsidDel="00000000" w:rsidR="00000000" w:rsidRPr="00000000">
        <w:rPr>
          <w:rtl w:val="0"/>
        </w:rPr>
        <w:t xml:space="preserve">1/θ</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Estimating parameters solely through scalar Brent solvers on Frank copulas ignores these tail dynamics, producing substantial pricing errors in correlated market segments.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Biomechanical Workload Modeling and Market Microstructure De-Biasing</w:t>
      </w:r>
    </w:p>
    <w:p w:rsidR="00000000" w:rsidDel="00000000" w:rsidP="00000000" w:rsidRDefault="00000000" w:rsidRPr="00000000" w14:paraId="000001C4">
      <w:pPr>
        <w:rPr/>
      </w:pPr>
      <w:r w:rsidDel="00000000" w:rsidR="00000000" w:rsidRPr="00000000">
        <w:rPr>
          <w:rtl w:val="0"/>
        </w:rPr>
        <w:t xml:space="preserve">To project individual fatigue curves, the engine implements Eric Banister’s two-component impulse-response model. Net functional capacity p </w:t>
      </w:r>
    </w:p>
    <w:p w:rsidR="00000000" w:rsidDel="00000000" w:rsidP="00000000" w:rsidRDefault="00000000" w:rsidRPr="00000000" w14:paraId="000001C5">
      <w:pPr>
        <w:rPr/>
      </w:pPr>
      <w:r w:rsidDel="00000000" w:rsidR="00000000" w:rsidRPr="00000000">
        <w:rPr>
          <w:rtl w:val="0"/>
        </w:rPr>
        <w:t xml:space="preserve">t</w:t>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t xml:space="preserve">  represents the difference between baseline fitness and accumulated fatigue driven by daily workload doses w </w:t>
      </w:r>
    </w:p>
    <w:p w:rsidR="00000000" w:rsidDel="00000000" w:rsidP="00000000" w:rsidRDefault="00000000" w:rsidRPr="00000000" w14:paraId="000001C8">
      <w:pPr>
        <w:rPr/>
      </w:pPr>
      <w:r w:rsidDel="00000000" w:rsidR="00000000" w:rsidRPr="00000000">
        <w:rPr>
          <w:rtl w:val="0"/>
        </w:rPr>
        <w:t xml:space="preserve">i</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 :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p </w:t>
      </w:r>
    </w:p>
    <w:p w:rsidR="00000000" w:rsidDel="00000000" w:rsidP="00000000" w:rsidRDefault="00000000" w:rsidRPr="00000000" w14:paraId="000001CD">
      <w:pPr>
        <w:rPr/>
      </w:pPr>
      <w:r w:rsidDel="00000000" w:rsidR="00000000" w:rsidRPr="00000000">
        <w:rPr>
          <w:rtl w:val="0"/>
        </w:rPr>
        <w:t xml:space="preserve">t</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 =p </w:t>
      </w:r>
    </w:p>
    <w:p w:rsidR="00000000" w:rsidDel="00000000" w:rsidP="00000000" w:rsidRDefault="00000000" w:rsidRPr="00000000" w14:paraId="000001D0">
      <w:pPr>
        <w:rPr/>
      </w:pPr>
      <w:r w:rsidDel="00000000" w:rsidR="00000000" w:rsidRPr="00000000">
        <w:rPr>
          <w:rtl w:val="0"/>
        </w:rPr>
        <w:t xml:space="preserve">0</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t xml:space="preserve"> +k </w:t>
      </w:r>
    </w:p>
    <w:p w:rsidR="00000000" w:rsidDel="00000000" w:rsidP="00000000" w:rsidRDefault="00000000" w:rsidRPr="00000000" w14:paraId="000001D3">
      <w:pPr>
        <w:rPr/>
      </w:pPr>
      <w:r w:rsidDel="00000000" w:rsidR="00000000" w:rsidRPr="00000000">
        <w:rPr>
          <w:rtl w:val="0"/>
        </w:rPr>
        <w:t xml:space="preserve">1</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i=1</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rPr/>
      </w:pPr>
      <w:r w:rsidDel="00000000" w:rsidR="00000000" w:rsidRPr="00000000">
        <w:rPr>
          <w:rFonts w:ascii="Arial Unicode MS" w:cs="Arial Unicode MS" w:eastAsia="Arial Unicode MS" w:hAnsi="Arial Unicode MS"/>
          <w:rtl w:val="0"/>
        </w:rPr>
        <w:t xml:space="preserve">t−1</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 w </w:t>
      </w:r>
    </w:p>
    <w:p w:rsidR="00000000" w:rsidDel="00000000" w:rsidP="00000000" w:rsidRDefault="00000000" w:rsidRPr="00000000" w14:paraId="000001DB">
      <w:pPr>
        <w:rPr/>
      </w:pPr>
      <w:r w:rsidDel="00000000" w:rsidR="00000000" w:rsidRPr="00000000">
        <w:rPr>
          <w:rtl w:val="0"/>
        </w:rPr>
        <w:t xml:space="preserve">i</w:t>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t xml:space="preserve"> e </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−(t−i)/τ </w:t>
      </w:r>
    </w:p>
    <w:p w:rsidR="00000000" w:rsidDel="00000000" w:rsidP="00000000" w:rsidRDefault="00000000" w:rsidRPr="00000000" w14:paraId="000001DF">
      <w:pPr>
        <w:rPr/>
      </w:pPr>
      <w:r w:rsidDel="00000000" w:rsidR="00000000" w:rsidRPr="00000000">
        <w:rPr>
          <w:rtl w:val="0"/>
        </w:rPr>
        <w:t xml:space="preserve">1</w:t>
      </w:r>
    </w:p>
    <w:p w:rsidR="00000000" w:rsidDel="00000000" w:rsidP="00000000" w:rsidRDefault="00000000" w:rsidRPr="00000000" w14:paraId="000001E0">
      <w:pPr>
        <w:rPr/>
      </w:pP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t xml:space="preserve"> </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 −k </w:t>
      </w:r>
    </w:p>
    <w:p w:rsidR="00000000" w:rsidDel="00000000" w:rsidP="00000000" w:rsidRDefault="00000000" w:rsidRPr="00000000" w14:paraId="000001E3">
      <w:pPr>
        <w:rPr/>
      </w:pPr>
      <w:r w:rsidDel="00000000" w:rsidR="00000000" w:rsidRPr="00000000">
        <w:rPr>
          <w:rtl w:val="0"/>
        </w:rPr>
        <w:t xml:space="preserve">2</w:t>
      </w:r>
    </w:p>
    <w:p w:rsidR="00000000" w:rsidDel="00000000" w:rsidP="00000000" w:rsidRDefault="00000000" w:rsidRPr="00000000" w14:paraId="000001E4">
      <w:pPr>
        <w:rPr/>
      </w:pPr>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i=1</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t−1</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 w </w:t>
      </w:r>
    </w:p>
    <w:p w:rsidR="00000000" w:rsidDel="00000000" w:rsidP="00000000" w:rsidRDefault="00000000" w:rsidRPr="00000000" w14:paraId="000001EB">
      <w:pPr>
        <w:rPr/>
      </w:pPr>
      <w:r w:rsidDel="00000000" w:rsidR="00000000" w:rsidRPr="00000000">
        <w:rPr>
          <w:rtl w:val="0"/>
        </w:rPr>
        <w:t xml:space="preserve">i</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 e </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−(t−i)/τ </w:t>
      </w:r>
    </w:p>
    <w:p w:rsidR="00000000" w:rsidDel="00000000" w:rsidP="00000000" w:rsidRDefault="00000000" w:rsidRPr="00000000" w14:paraId="000001EF">
      <w:pPr>
        <w:rPr/>
      </w:pPr>
      <w:r w:rsidDel="00000000" w:rsidR="00000000" w:rsidRPr="00000000">
        <w:rPr>
          <w:rtl w:val="0"/>
        </w:rPr>
        <w:t xml:space="preserve">2</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w:t>
      </w:r>
    </w:p>
    <w:p w:rsidR="00000000" w:rsidDel="00000000" w:rsidP="00000000" w:rsidRDefault="00000000" w:rsidRPr="00000000" w14:paraId="000001F3">
      <w:pPr>
        <w:rPr/>
      </w:pPr>
      <w:r w:rsidDel="00000000" w:rsidR="00000000" w:rsidRPr="00000000">
        <w:rPr>
          <w:rtl w:val="0"/>
        </w:rPr>
        <w:t xml:space="preserve">where decay constants are parameterized at τ </w:t>
      </w:r>
    </w:p>
    <w:p w:rsidR="00000000" w:rsidDel="00000000" w:rsidP="00000000" w:rsidRDefault="00000000" w:rsidRPr="00000000" w14:paraId="000001F4">
      <w:pPr>
        <w:rPr/>
      </w:pPr>
      <w:r w:rsidDel="00000000" w:rsidR="00000000" w:rsidRPr="00000000">
        <w:rPr>
          <w:rtl w:val="0"/>
        </w:rPr>
        <w:t xml:space="preserve">1</w:t>
      </w:r>
    </w:p>
    <w:p w:rsidR="00000000" w:rsidDel="00000000" w:rsidP="00000000" w:rsidRDefault="00000000" w:rsidRPr="00000000" w14:paraId="000001F5">
      <w:pPr>
        <w:rPr/>
      </w:pPr>
      <w:r w:rsidDel="00000000" w:rsidR="00000000" w:rsidRPr="00000000">
        <w:rPr>
          <w:rtl w:val="0"/>
        </w:rPr>
        <w:t xml:space="preserve">​</w:t>
      </w:r>
    </w:p>
    <w:p w:rsidR="00000000" w:rsidDel="00000000" w:rsidP="00000000" w:rsidRDefault="00000000" w:rsidRPr="00000000" w14:paraId="000001F6">
      <w:pPr>
        <w:rPr/>
      </w:pPr>
      <w:r w:rsidDel="00000000" w:rsidR="00000000" w:rsidRPr="00000000">
        <w:rPr>
          <w:rtl w:val="0"/>
        </w:rPr>
        <w:t xml:space="preserve"> =45 days (fitness adaptation) and τ </w:t>
      </w:r>
    </w:p>
    <w:p w:rsidR="00000000" w:rsidDel="00000000" w:rsidP="00000000" w:rsidRDefault="00000000" w:rsidRPr="00000000" w14:paraId="000001F7">
      <w:pPr>
        <w:rPr/>
      </w:pPr>
      <w:r w:rsidDel="00000000" w:rsidR="00000000" w:rsidRPr="00000000">
        <w:rPr>
          <w:rtl w:val="0"/>
        </w:rPr>
        <w:t xml:space="preserve">2</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 =11 days (fatigue recovery). Concurrently, the engine tracks the Acute:Chronic Workload Ratio (ACWR) via coupled Exponentially Weighted Moving Averages (EWMA):   </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ACWR </w:t>
      </w:r>
    </w:p>
    <w:p w:rsidR="00000000" w:rsidDel="00000000" w:rsidP="00000000" w:rsidRDefault="00000000" w:rsidRPr="00000000" w14:paraId="000001FC">
      <w:pPr>
        <w:rPr/>
      </w:pPr>
      <w:r w:rsidDel="00000000" w:rsidR="00000000" w:rsidRPr="00000000">
        <w:rPr>
          <w:rtl w:val="0"/>
        </w:rPr>
        <w:t xml:space="preserve">t</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 = </w:t>
      </w:r>
    </w:p>
    <w:p w:rsidR="00000000" w:rsidDel="00000000" w:rsidP="00000000" w:rsidRDefault="00000000" w:rsidRPr="00000000" w14:paraId="000001FF">
      <w:pPr>
        <w:rPr/>
      </w:pPr>
      <w:r w:rsidDel="00000000" w:rsidR="00000000" w:rsidRPr="00000000">
        <w:rPr>
          <w:rtl w:val="0"/>
        </w:rPr>
        <w:t xml:space="preserve">EWMA </w:t>
      </w:r>
    </w:p>
    <w:p w:rsidR="00000000" w:rsidDel="00000000" w:rsidP="00000000" w:rsidRDefault="00000000" w:rsidRPr="00000000" w14:paraId="00000200">
      <w:pPr>
        <w:rPr/>
      </w:pPr>
      <w:r w:rsidDel="00000000" w:rsidR="00000000" w:rsidRPr="00000000">
        <w:rPr>
          <w:rtl w:val="0"/>
        </w:rPr>
        <w:t xml:space="preserve">chronic,28</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t xml:space="preserve"> (w </w:t>
      </w:r>
    </w:p>
    <w:p w:rsidR="00000000" w:rsidDel="00000000" w:rsidP="00000000" w:rsidRDefault="00000000" w:rsidRPr="00000000" w14:paraId="00000203">
      <w:pPr>
        <w:rPr/>
      </w:pPr>
      <w:r w:rsidDel="00000000" w:rsidR="00000000" w:rsidRPr="00000000">
        <w:rPr>
          <w:rtl w:val="0"/>
        </w:rPr>
        <w:t xml:space="preserve">t</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EWMA </w:t>
      </w:r>
    </w:p>
    <w:p w:rsidR="00000000" w:rsidDel="00000000" w:rsidP="00000000" w:rsidRDefault="00000000" w:rsidRPr="00000000" w14:paraId="00000207">
      <w:pPr>
        <w:rPr/>
      </w:pPr>
      <w:r w:rsidDel="00000000" w:rsidR="00000000" w:rsidRPr="00000000">
        <w:rPr>
          <w:rtl w:val="0"/>
        </w:rPr>
        <w:t xml:space="preserve">acute,7</w:t>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(w </w:t>
      </w:r>
    </w:p>
    <w:p w:rsidR="00000000" w:rsidDel="00000000" w:rsidP="00000000" w:rsidRDefault="00000000" w:rsidRPr="00000000" w14:paraId="0000020A">
      <w:pPr>
        <w:rPr/>
      </w:pPr>
      <w:r w:rsidDel="00000000" w:rsidR="00000000" w:rsidRPr="00000000">
        <w:rPr>
          <w:rtl w:val="0"/>
        </w:rPr>
        <w:t xml:space="preserve">t</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 </w:t>
      </w:r>
    </w:p>
    <w:p w:rsidR="00000000" w:rsidDel="00000000" w:rsidP="00000000" w:rsidRDefault="00000000" w:rsidRPr="00000000" w14:paraId="0000020F">
      <w:pPr>
        <w:rPr/>
      </w:pPr>
      <w:r w:rsidDel="00000000" w:rsidR="00000000" w:rsidRPr="00000000">
        <w:rPr>
          <w:rtl w:val="0"/>
        </w:rPr>
        <w:t xml:space="preserve">Values exceeding 1.5 indicate workload spikes that sharply increase soft-tissue injury risk and accelerate late-game performance degradation, triggering downward adjustments to projected player participation minutes.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To recover uncorrupted market probabilities from odds lines containing bookmaker transaction margins (the "vig"), the system applies Shin’s model of insider trading. Given market implied probabilities π </w:t>
      </w:r>
    </w:p>
    <w:p w:rsidR="00000000" w:rsidDel="00000000" w:rsidP="00000000" w:rsidRDefault="00000000" w:rsidRPr="00000000" w14:paraId="00000212">
      <w:pPr>
        <w:rPr/>
      </w:pPr>
      <w:r w:rsidDel="00000000" w:rsidR="00000000" w:rsidRPr="00000000">
        <w:rPr>
          <w:rtl w:val="0"/>
        </w:rPr>
        <w:t xml:space="preserve">i</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 , Shin’s formulation isolates the proportion of informed volume z by finding the root of the equilibrium equation: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i=1</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8">
      <w:pPr>
        <w:rPr/>
      </w:pPr>
      <w:r w:rsidDel="00000000" w:rsidR="00000000" w:rsidRPr="00000000">
        <w:rPr>
          <w:rtl w:val="0"/>
        </w:rPr>
        <w:t xml:space="preserve">m</w:t>
      </w:r>
    </w:p>
    <w:p w:rsidR="00000000" w:rsidDel="00000000" w:rsidP="00000000" w:rsidRDefault="00000000" w:rsidRPr="00000000" w14:paraId="00000219">
      <w:pPr>
        <w:rPr/>
      </w:pPr>
      <w:r w:rsidDel="00000000" w:rsidR="00000000" w:rsidRPr="00000000">
        <w:rPr>
          <w:rtl w:val="0"/>
        </w:rPr>
        <w:t xml:space="preserve">​</w:t>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2(1−z)</w:t>
      </w:r>
    </w:p>
    <w:p w:rsidR="00000000" w:rsidDel="00000000" w:rsidP="00000000" w:rsidRDefault="00000000" w:rsidRPr="00000000" w14:paraId="0000021C">
      <w:pPr>
        <w:rPr/>
      </w:pPr>
      <w:r w:rsidDel="00000000" w:rsidR="00000000" w:rsidRPr="00000000">
        <w:rPr>
          <w:rtl w:val="0"/>
        </w:rPr>
        <w:t xml:space="preserve">z </w:t>
      </w:r>
    </w:p>
    <w:p w:rsidR="00000000" w:rsidDel="00000000" w:rsidP="00000000" w:rsidRDefault="00000000" w:rsidRPr="00000000" w14:paraId="0000021D">
      <w:pPr>
        <w:rPr/>
      </w:pPr>
      <w:r w:rsidDel="00000000" w:rsidR="00000000" w:rsidRPr="00000000">
        <w:rPr>
          <w:rtl w:val="0"/>
        </w:rPr>
        <w:t xml:space="preserve">2</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 +4(1−z)π </w:t>
      </w:r>
    </w:p>
    <w:p w:rsidR="00000000" w:rsidDel="00000000" w:rsidP="00000000" w:rsidRDefault="00000000" w:rsidRPr="00000000" w14:paraId="0000021F">
      <w:pPr>
        <w:rPr/>
      </w:pPr>
      <w:r w:rsidDel="00000000" w:rsidR="00000000" w:rsidRPr="00000000">
        <w:rPr>
          <w:rtl w:val="0"/>
        </w:rPr>
        <w:t xml:space="preserve">i</w:t>
      </w:r>
    </w:p>
    <w:p w:rsidR="00000000" w:rsidDel="00000000" w:rsidP="00000000" w:rsidRDefault="00000000" w:rsidRPr="00000000" w14:paraId="00000220">
      <w:pPr>
        <w:rPr/>
      </w:pPr>
      <w:r w:rsidDel="00000000" w:rsidR="00000000" w:rsidRPr="00000000">
        <w:rPr>
          <w:rtl w:val="0"/>
        </w:rPr>
        <w:t xml:space="preserve">2</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−z</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=1</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Root optimization executes via Brent’s method over z∈[0,0.999). If the optimization fails to converge due to non-arbitrage violations in odds feeds, execution halts to isolate downstream layers from corrupted market inputs.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Proper Scoring Decomposition and the Murphy Partition Calibration Kill Switch</w:t>
      </w:r>
    </w:p>
    <w:p w:rsidR="00000000" w:rsidDel="00000000" w:rsidP="00000000" w:rsidRDefault="00000000" w:rsidRPr="00000000" w14:paraId="0000022B">
      <w:pPr>
        <w:rPr/>
      </w:pPr>
      <w:r w:rsidDel="00000000" w:rsidR="00000000" w:rsidRPr="00000000">
        <w:rPr>
          <w:rtl w:val="0"/>
        </w:rPr>
        <w:t xml:space="preserve">Model calibration is evaluated using proper scoring rules, centered on Murphy’s algebraic partition of the Brier Score across K probability bins: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BS= </w:t>
      </w:r>
    </w:p>
    <w:p w:rsidR="00000000" w:rsidDel="00000000" w:rsidP="00000000" w:rsidRDefault="00000000" w:rsidRPr="00000000" w14:paraId="0000022E">
      <w:pPr>
        <w:rPr/>
      </w:pPr>
      <w:r w:rsidDel="00000000" w:rsidR="00000000" w:rsidRPr="00000000">
        <w:rPr>
          <w:rtl w:val="0"/>
        </w:rPr>
        <w:t xml:space="preserve">N</w:t>
      </w:r>
    </w:p>
    <w:p w:rsidR="00000000" w:rsidDel="00000000" w:rsidP="00000000" w:rsidRDefault="00000000" w:rsidRPr="00000000" w14:paraId="0000022F">
      <w:pPr>
        <w:rPr/>
      </w:pPr>
      <w:r w:rsidDel="00000000" w:rsidR="00000000" w:rsidRPr="00000000">
        <w:rPr>
          <w:rtl w:val="0"/>
        </w:rPr>
        <w:t xml:space="preserve">1</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  </w:t>
      </w:r>
    </w:p>
    <w:p w:rsidR="00000000" w:rsidDel="00000000" w:rsidP="00000000" w:rsidRDefault="00000000" w:rsidRPr="00000000" w14:paraId="00000232">
      <w:pPr>
        <w:rPr/>
      </w:pPr>
      <w:r w:rsidDel="00000000" w:rsidR="00000000" w:rsidRPr="00000000">
        <w:rPr>
          <w:rtl w:val="0"/>
        </w:rPr>
        <w:t xml:space="preserve">k=1</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34">
      <w:pPr>
        <w:rPr/>
      </w:pPr>
      <w:r w:rsidDel="00000000" w:rsidR="00000000" w:rsidRPr="00000000">
        <w:rPr>
          <w:rtl w:val="0"/>
        </w:rPr>
        <w:t xml:space="preserve">K</w:t>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 n </w:t>
      </w:r>
    </w:p>
    <w:p w:rsidR="00000000" w:rsidDel="00000000" w:rsidP="00000000" w:rsidRDefault="00000000" w:rsidRPr="00000000" w14:paraId="00000237">
      <w:pPr>
        <w:rPr/>
      </w:pPr>
      <w:r w:rsidDel="00000000" w:rsidR="00000000" w:rsidRPr="00000000">
        <w:rPr>
          <w:rtl w:val="0"/>
        </w:rPr>
        <w:t xml:space="preserve">k</w:t>
      </w:r>
    </w:p>
    <w:p w:rsidR="00000000" w:rsidDel="00000000" w:rsidP="00000000" w:rsidRDefault="00000000" w:rsidRPr="00000000" w14:paraId="00000238">
      <w:pPr>
        <w:rPr/>
      </w:pPr>
      <w:r w:rsidDel="00000000" w:rsidR="00000000" w:rsidRPr="00000000">
        <w:rPr>
          <w:rtl w:val="0"/>
        </w:rPr>
        <w:t xml:space="preserve">​</w:t>
      </w:r>
    </w:p>
    <w:p w:rsidR="00000000" w:rsidDel="00000000" w:rsidP="00000000" w:rsidRDefault="00000000" w:rsidRPr="00000000" w14:paraId="00000239">
      <w:pPr>
        <w:rPr/>
      </w:pPr>
      <w:r w:rsidDel="00000000" w:rsidR="00000000" w:rsidRPr="00000000">
        <w:rPr>
          <w:rtl w:val="0"/>
        </w:rPr>
        <w:t xml:space="preserve"> ( </w:t>
      </w:r>
    </w:p>
    <w:p w:rsidR="00000000" w:rsidDel="00000000" w:rsidP="00000000" w:rsidRDefault="00000000" w:rsidRPr="00000000" w14:paraId="0000023A">
      <w:pPr>
        <w:rPr/>
      </w:pPr>
      <w:r w:rsidDel="00000000" w:rsidR="00000000" w:rsidRPr="00000000">
        <w:rPr>
          <w:rtl w:val="0"/>
        </w:rPr>
        <w:t xml:space="preserve">f</w:t>
      </w:r>
    </w:p>
    <w:p w:rsidR="00000000" w:rsidDel="00000000" w:rsidP="00000000" w:rsidRDefault="00000000" w:rsidRPr="00000000" w14:paraId="0000023B">
      <w:pPr>
        <w:rPr/>
      </w:pPr>
      <w:r w:rsidDel="00000000" w:rsidR="00000000" w:rsidRPr="00000000">
        <w:rPr>
          <w:rtl w:val="0"/>
        </w:rPr>
        <w:t xml:space="preserve">ˉ</w:t>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k</w:t>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41">
      <w:pPr>
        <w:rPr/>
      </w:pPr>
      <w:r w:rsidDel="00000000" w:rsidR="00000000" w:rsidRPr="00000000">
        <w:rPr>
          <w:rtl w:val="0"/>
        </w:rPr>
        <w:t xml:space="preserve">o</w:t>
      </w:r>
    </w:p>
    <w:p w:rsidR="00000000" w:rsidDel="00000000" w:rsidP="00000000" w:rsidRDefault="00000000" w:rsidRPr="00000000" w14:paraId="00000242">
      <w:pPr>
        <w:rPr/>
      </w:pPr>
      <w:r w:rsidDel="00000000" w:rsidR="00000000" w:rsidRPr="00000000">
        <w:rPr>
          <w:rtl w:val="0"/>
        </w:rPr>
        <w:t xml:space="preserve">ˉ</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k</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 ) </w:t>
      </w:r>
    </w:p>
    <w:p w:rsidR="00000000" w:rsidDel="00000000" w:rsidP="00000000" w:rsidRDefault="00000000" w:rsidRPr="00000000" w14:paraId="00000247">
      <w:pPr>
        <w:rPr/>
      </w:pPr>
      <w:r w:rsidDel="00000000" w:rsidR="00000000" w:rsidRPr="00000000">
        <w:rPr>
          <w:rtl w:val="0"/>
        </w:rPr>
        <w:t xml:space="preserve">2</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49">
      <w:pPr>
        <w:rPr/>
      </w:pPr>
      <w:r w:rsidDel="00000000" w:rsidR="00000000" w:rsidRPr="00000000">
        <w:rPr>
          <w:rtl w:val="0"/>
        </w:rPr>
        <w:t xml:space="preserve">N</w:t>
      </w:r>
    </w:p>
    <w:p w:rsidR="00000000" w:rsidDel="00000000" w:rsidP="00000000" w:rsidRDefault="00000000" w:rsidRPr="00000000" w14:paraId="0000024A">
      <w:pPr>
        <w:rPr/>
      </w:pPr>
      <w:r w:rsidDel="00000000" w:rsidR="00000000" w:rsidRPr="00000000">
        <w:rPr>
          <w:rtl w:val="0"/>
        </w:rPr>
        <w:t xml:space="preserve">1</w:t>
      </w:r>
    </w:p>
    <w:p w:rsidR="00000000" w:rsidDel="00000000" w:rsidP="00000000" w:rsidRDefault="00000000" w:rsidRPr="00000000" w14:paraId="0000024B">
      <w:pPr>
        <w:rPr/>
      </w:pPr>
      <w:r w:rsidDel="00000000" w:rsidR="00000000" w:rsidRPr="00000000">
        <w:rPr>
          <w:rtl w:val="0"/>
        </w:rPr>
        <w:t xml:space="preserve">​</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k=1</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F">
      <w:pPr>
        <w:rPr/>
      </w:pPr>
      <w:r w:rsidDel="00000000" w:rsidR="00000000" w:rsidRPr="00000000">
        <w:rPr>
          <w:rtl w:val="0"/>
        </w:rPr>
        <w:t xml:space="preserve">K</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 n </w:t>
      </w:r>
    </w:p>
    <w:p w:rsidR="00000000" w:rsidDel="00000000" w:rsidP="00000000" w:rsidRDefault="00000000" w:rsidRPr="00000000" w14:paraId="00000252">
      <w:pPr>
        <w:rPr/>
      </w:pPr>
      <w:r w:rsidDel="00000000" w:rsidR="00000000" w:rsidRPr="00000000">
        <w:rPr>
          <w:rtl w:val="0"/>
        </w:rPr>
        <w:t xml:space="preserve">k</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 ( </w:t>
      </w:r>
    </w:p>
    <w:p w:rsidR="00000000" w:rsidDel="00000000" w:rsidP="00000000" w:rsidRDefault="00000000" w:rsidRPr="00000000" w14:paraId="00000255">
      <w:pPr>
        <w:rPr/>
      </w:pPr>
      <w:r w:rsidDel="00000000" w:rsidR="00000000" w:rsidRPr="00000000">
        <w:rPr>
          <w:rtl w:val="0"/>
        </w:rPr>
        <w:t xml:space="preserve">o</w:t>
      </w:r>
    </w:p>
    <w:p w:rsidR="00000000" w:rsidDel="00000000" w:rsidP="00000000" w:rsidRDefault="00000000" w:rsidRPr="00000000" w14:paraId="00000256">
      <w:pPr>
        <w:rPr/>
      </w:pPr>
      <w:r w:rsidDel="00000000" w:rsidR="00000000" w:rsidRPr="00000000">
        <w:rPr>
          <w:rtl w:val="0"/>
        </w:rPr>
        <w:t xml:space="preserve">ˉ</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k</w:t>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25B">
      <w:pPr>
        <w:rPr/>
      </w:pPr>
      <w:r w:rsidDel="00000000" w:rsidR="00000000" w:rsidRPr="00000000">
        <w:rPr>
          <w:rtl w:val="0"/>
        </w:rPr>
        <w:t xml:space="preserve">o</w:t>
      </w:r>
    </w:p>
    <w:p w:rsidR="00000000" w:rsidDel="00000000" w:rsidP="00000000" w:rsidRDefault="00000000" w:rsidRPr="00000000" w14:paraId="0000025C">
      <w:pPr>
        <w:rPr/>
      </w:pPr>
      <w:r w:rsidDel="00000000" w:rsidR="00000000" w:rsidRPr="00000000">
        <w:rPr>
          <w:rtl w:val="0"/>
        </w:rPr>
        <w:t xml:space="preserve">ˉ</w:t>
      </w:r>
    </w:p>
    <w:p w:rsidR="00000000" w:rsidDel="00000000" w:rsidP="00000000" w:rsidRDefault="00000000" w:rsidRPr="00000000" w14:paraId="0000025D">
      <w:pPr>
        <w:rPr/>
      </w:pPr>
      <w:r w:rsidDel="00000000" w:rsidR="00000000" w:rsidRPr="00000000">
        <w:rPr>
          <w:rtl w:val="0"/>
        </w:rPr>
        <w:t xml:space="preserve"> ) </w:t>
      </w:r>
    </w:p>
    <w:p w:rsidR="00000000" w:rsidDel="00000000" w:rsidP="00000000" w:rsidRDefault="00000000" w:rsidRPr="00000000" w14:paraId="0000025E">
      <w:pPr>
        <w:rPr/>
      </w:pPr>
      <w:r w:rsidDel="00000000" w:rsidR="00000000" w:rsidRPr="00000000">
        <w:rPr>
          <w:rtl w:val="0"/>
        </w:rPr>
        <w:t xml:space="preserve">2</w:t>
      </w:r>
    </w:p>
    <w:p w:rsidR="00000000" w:rsidDel="00000000" w:rsidP="00000000" w:rsidRDefault="00000000" w:rsidRPr="00000000" w14:paraId="0000025F">
      <w:pPr>
        <w:rPr/>
      </w:pPr>
      <w:r w:rsidDel="00000000" w:rsidR="00000000" w:rsidRPr="00000000">
        <w:rPr>
          <w:rtl w:val="0"/>
        </w:rPr>
        <w:t xml:space="preserve"> + </w:t>
      </w:r>
    </w:p>
    <w:p w:rsidR="00000000" w:rsidDel="00000000" w:rsidP="00000000" w:rsidRDefault="00000000" w:rsidRPr="00000000" w14:paraId="00000260">
      <w:pPr>
        <w:rPr/>
      </w:pPr>
      <w:r w:rsidDel="00000000" w:rsidR="00000000" w:rsidRPr="00000000">
        <w:rPr>
          <w:rtl w:val="0"/>
        </w:rPr>
        <w:t xml:space="preserve">o</w:t>
      </w:r>
    </w:p>
    <w:p w:rsidR="00000000" w:rsidDel="00000000" w:rsidP="00000000" w:rsidRDefault="00000000" w:rsidRPr="00000000" w14:paraId="00000261">
      <w:pPr>
        <w:rPr/>
      </w:pPr>
      <w:r w:rsidDel="00000000" w:rsidR="00000000" w:rsidRPr="00000000">
        <w:rPr>
          <w:rtl w:val="0"/>
        </w:rPr>
        <w:t xml:space="preserve">ˉ</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(1− </w:t>
      </w:r>
    </w:p>
    <w:p w:rsidR="00000000" w:rsidDel="00000000" w:rsidP="00000000" w:rsidRDefault="00000000" w:rsidRPr="00000000" w14:paraId="00000263">
      <w:pPr>
        <w:rPr/>
      </w:pPr>
      <w:r w:rsidDel="00000000" w:rsidR="00000000" w:rsidRPr="00000000">
        <w:rPr>
          <w:rtl w:val="0"/>
        </w:rPr>
        <w:t xml:space="preserve">o</w:t>
      </w:r>
    </w:p>
    <w:p w:rsidR="00000000" w:rsidDel="00000000" w:rsidP="00000000" w:rsidRDefault="00000000" w:rsidRPr="00000000" w14:paraId="00000264">
      <w:pPr>
        <w:rPr/>
      </w:pPr>
      <w:r w:rsidDel="00000000" w:rsidR="00000000" w:rsidRPr="00000000">
        <w:rPr>
          <w:rtl w:val="0"/>
        </w:rPr>
        <w:t xml:space="preserve">ˉ</w:t>
      </w:r>
    </w:p>
    <w:p w:rsidR="00000000" w:rsidDel="00000000" w:rsidP="00000000" w:rsidRDefault="00000000" w:rsidRPr="00000000" w14:paraId="00000265">
      <w:pPr>
        <w:rPr/>
      </w:pPr>
      <w:r w:rsidDel="00000000" w:rsidR="00000000" w:rsidRPr="00000000">
        <w:rPr>
          <w:rtl w:val="0"/>
        </w:rPr>
        <w:t xml:space="preserve"> )</w:t>
      </w:r>
    </w:p>
    <w:p w:rsidR="00000000" w:rsidDel="00000000" w:rsidP="00000000" w:rsidRDefault="00000000" w:rsidRPr="00000000" w14:paraId="00000266">
      <w:pPr>
        <w:rPr/>
      </w:pPr>
      <w:r w:rsidDel="00000000" w:rsidR="00000000" w:rsidRPr="00000000">
        <w:rPr>
          <w:rtl w:val="0"/>
        </w:rPr>
        <w:t xml:space="preserve">where the first component represents Reliability (calibration error), the second Resolution (ability to separate distinct outcome classes), and the third Uncertainty (inherent environmental variance).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A model is mathematically inferior to predicting historical base rates whenever Reliability exceeds Resolution. Consequently, the engine enforces a hard fail-closed kill condition: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If Reliability&gt;Resolution,Trigger Execution Halt.</w:t>
      </w:r>
    </w:p>
    <w:p w:rsidR="00000000" w:rsidDel="00000000" w:rsidP="00000000" w:rsidRDefault="00000000" w:rsidRPr="00000000" w14:paraId="0000026B">
      <w:pPr>
        <w:rPr/>
      </w:pPr>
      <w:r w:rsidDel="00000000" w:rsidR="00000000" w:rsidRPr="00000000">
        <w:rPr>
          <w:rtl w:val="0"/>
        </w:rPr>
        <w:t xml:space="preserve">Production Model Serving and Compute Optimization</w:t>
      </w:r>
    </w:p>
    <w:p w:rsidR="00000000" w:rsidDel="00000000" w:rsidP="00000000" w:rsidRDefault="00000000" w:rsidRPr="00000000" w14:paraId="0000026C">
      <w:pPr>
        <w:rPr/>
      </w:pPr>
      <w:r w:rsidDel="00000000" w:rsidR="00000000" w:rsidRPr="00000000">
        <w:rPr>
          <w:rtl w:val="0"/>
        </w:rPr>
        <w:t xml:space="preserve">Deploying the predictive engine requires balancing computational efficiency against infrastructure expenditure. The serving infrastructure divides operational responsibilities across local CPU runtimes and managed cloud acceleration.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Operational Metric</w:t>
        <w:tab/>
      </w:r>
    </w:p>
    <w:p w:rsidR="00000000" w:rsidDel="00000000" w:rsidP="00000000" w:rsidRDefault="00000000" w:rsidRPr="00000000" w14:paraId="0000026F">
      <w:pPr>
        <w:rPr/>
      </w:pPr>
      <w:r w:rsidDel="00000000" w:rsidR="00000000" w:rsidRPr="00000000">
        <w:rPr>
          <w:rtl w:val="0"/>
        </w:rPr>
        <w:t xml:space="preserve">ONNX Runtime (CPU Serving Pipeline)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Cloud GPU Autoscale Pipeline (Hugging Face Spaces)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Primary Infrastructure Target</w:t>
        <w:tab/>
      </w:r>
    </w:p>
    <w:p w:rsidR="00000000" w:rsidDel="00000000" w:rsidP="00000000" w:rsidRDefault="00000000" w:rsidRPr="00000000" w14:paraId="00000274">
      <w:pPr>
        <w:rPr/>
      </w:pPr>
      <w:r w:rsidDel="00000000" w:rsidR="00000000" w:rsidRPr="00000000">
        <w:rPr>
          <w:rtl w:val="0"/>
        </w:rPr>
        <w:t xml:space="preserve">Commodity Linux / x86_64 VPS ($5–$20/month)</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ZeroGPU (Free tier, 40-minute burst) / Dedicated T4 Small ($2.45/period)</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Model Scope</w:t>
        <w:tab/>
      </w:r>
    </w:p>
    <w:p w:rsidR="00000000" w:rsidDel="00000000" w:rsidP="00000000" w:rsidRDefault="00000000" w:rsidRPr="00000000" w14:paraId="00000279">
      <w:pPr>
        <w:rPr/>
      </w:pPr>
      <w:r w:rsidDel="00000000" w:rsidR="00000000" w:rsidRPr="00000000">
        <w:rPr>
          <w:rtl w:val="0"/>
        </w:rPr>
        <w:t xml:space="preserve">Tabular scoring, tree ensembles, PyTorch feature representations, and BGE-M3 text embeddings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Large reasoning engines (MiMo-V2.6, 1.02T total / 42B active parameters)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Serving Runtime</w:t>
        <w:tab/>
      </w:r>
    </w:p>
    <w:p w:rsidR="00000000" w:rsidDel="00000000" w:rsidP="00000000" w:rsidRDefault="00000000" w:rsidRPr="00000000" w14:paraId="0000027E">
      <w:pPr>
        <w:rPr/>
      </w:pPr>
      <w:r w:rsidDel="00000000" w:rsidR="00000000" w:rsidRPr="00000000">
        <w:rPr>
          <w:rtl w:val="0"/>
        </w:rPr>
        <w:t xml:space="preserve">microsoft/onnxruntime (MIT, 22k stars)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PyTorch / vLLM / Hugging Face Spaces Container</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Deployment Gate</w:t>
        <w:tab/>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Numerical parity validation: max∣y </w:t>
      </w:r>
    </w:p>
    <w:p w:rsidR="00000000" w:rsidDel="00000000" w:rsidP="00000000" w:rsidRDefault="00000000" w:rsidRPr="00000000" w14:paraId="00000284">
      <w:pPr>
        <w:rPr/>
      </w:pPr>
      <w:r w:rsidDel="00000000" w:rsidR="00000000" w:rsidRPr="00000000">
        <w:rPr>
          <w:rtl w:val="0"/>
        </w:rPr>
        <w:t xml:space="preserve">train</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−y </w:t>
      </w:r>
    </w:p>
    <w:p w:rsidR="00000000" w:rsidDel="00000000" w:rsidP="00000000" w:rsidRDefault="00000000" w:rsidRPr="00000000" w14:paraId="00000287">
      <w:pPr>
        <w:rPr/>
      </w:pPr>
      <w:r w:rsidDel="00000000" w:rsidR="00000000" w:rsidRPr="00000000">
        <w:rPr>
          <w:rtl w:val="0"/>
        </w:rPr>
        <w:t xml:space="preserve">onnx</w:t>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∣&lt;10 </w:t>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−5</w:t>
      </w:r>
    </w:p>
    <w:p w:rsidR="00000000" w:rsidDel="00000000" w:rsidP="00000000" w:rsidRDefault="00000000" w:rsidRPr="00000000" w14:paraId="0000028B">
      <w:pPr>
        <w:rPr/>
      </w:pPr>
      <w:r w:rsidDel="00000000" w:rsidR="00000000" w:rsidRPr="00000000">
        <w:rPr>
          <w:rtl w:val="0"/>
        </w:rPr>
        <w:t xml:space="preserve">  across validation sets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Cold-start latency thresholds; ZeroGPU allocation availability limits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Cost Profile</w:t>
        <w:tab/>
      </w:r>
    </w:p>
    <w:p w:rsidR="00000000" w:rsidDel="00000000" w:rsidP="00000000" w:rsidRDefault="00000000" w:rsidRPr="00000000" w14:paraId="00000290">
      <w:pPr>
        <w:rPr/>
      </w:pPr>
      <w:r w:rsidDel="00000000" w:rsidR="00000000" w:rsidRPr="00000000">
        <w:rPr>
          <w:rtl w:val="0"/>
        </w:rPr>
        <w:t xml:space="preserve">$0 incremental GPU spend; predictable monthly infrastructure allocation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Scaled dynamically via cron jobs (active near kickoff windows, suspended during idle hours)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Exporting models from scikit-learn, XGBoost, and PyTorch into the open ONNX format allows runtime execution on CPU infrastructure via pluggable execution providers. Standardizing inference on ONNX Runtime eliminates GPU dependencies for routine model scoring, while quantizing models through static Quantization-Aware and Post-Training ladders (FP32 → INT8 QDQ) reduces operational memory footprints.   </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However, mathematical parity checks are non-negotiable: exported models must maintain numerical consistency (max∣Δ∣&lt;10 </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−5</w:t>
      </w:r>
    </w:p>
    <w:p w:rsidR="00000000" w:rsidDel="00000000" w:rsidP="00000000" w:rsidRDefault="00000000" w:rsidRPr="00000000" w14:paraId="00000299">
      <w:pPr>
        <w:rPr/>
      </w:pPr>
      <w:r w:rsidDel="00000000" w:rsidR="00000000" w:rsidRPr="00000000">
        <w:rPr>
          <w:rtl w:val="0"/>
        </w:rPr>
        <w:t xml:space="preserve"> ) against the original training framework across full historical holdout seasons before artifacts are cleared for production deployment.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For large reasoning models that exceed commodity CPU memory limits—specifically MiMo-V2.6—the architecture utilizes Hugging Face Spaces on ZeroGPU runtimes. A scheduled watcher daemon (hf-space-autoscale) manages dedicated T4 instances, provisioning resources only during peak pre-game betting windows and returning the cluster to idle states during off-peak periods.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Concurrently, a strict licensing boundary is enforced: Google Research’s TimesFM 3.0 model operates under the TimesFM Non-Commercial License v1.0. Any derivative time-series forecasts generated by TimesFM inherit these terms, prohibiting their direct integration into commercial endpoints.   </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Cryptographic Credential Brokering and Zero-Leak Agent Security</w:t>
      </w:r>
    </w:p>
    <w:p w:rsidR="00000000" w:rsidDel="00000000" w:rsidP="00000000" w:rsidRDefault="00000000" w:rsidRPr="00000000" w14:paraId="000002A0">
      <w:pPr>
        <w:rPr/>
      </w:pPr>
      <w:r w:rsidDel="00000000" w:rsidR="00000000" w:rsidRPr="00000000">
        <w:rPr>
          <w:rtl w:val="0"/>
        </w:rPr>
        <w:t xml:space="preserve">Autonomous multi-agent fleets operating across Git repositories, message buses, and collaborative terminal environments present distinct credential-security challenges. Storing raw API tokens directly in local configuration files or piping secrets through shared context threads exposes the infrastructure to prompt injection attacks, accidental repository leakage, and unauthorized external access.   </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The system establishes an absolute security boundary: individual agents never handle raw secrets, database credentials, or long-lived authentication tokens. Credentials are managed through a centralized brokering proxy layer—such as the Infisical Agent Proxy or the 1Password Credential Broker. The broker separates secrets storage from agent execution environments, enforcing strict trust boundaries.   </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The authentication workflow functions without raw token exposure. When an agent node (such as Orca or Jules) initiates an API call to external platforms like The Odds API, Neon PostgreSQL, or GitHub, it queries the credential broker with a machine-specific identity. The broker validates the agent's task authorization, issues an ephemeral token with a Time-To-Live under fifteen minutes, or routes the request through an isolated egress proxy.   </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This proxy injects the required authorization headers and signs outbound payloads transparently, ensuring that upstream API secrets remain completely hidden from agent processes, context windows, and command histories. Surrogate authentication ensures that automated background operations execute through dedicated service accounts with minimal necessary privileges, preventing permanent access keys from persisting in working directories or Git trees.   </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Forensic Audit Protocol, Stranded Work Reconciliation, and the Lost-and-Found Register</w:t>
      </w:r>
    </w:p>
    <w:p w:rsidR="00000000" w:rsidDel="00000000" w:rsidP="00000000" w:rsidRDefault="00000000" w:rsidRPr="00000000" w14:paraId="000002A9">
      <w:pPr>
        <w:rPr/>
      </w:pPr>
      <w:r w:rsidDel="00000000" w:rsidR="00000000" w:rsidRPr="00000000">
        <w:rPr>
          <w:rtl w:val="0"/>
        </w:rPr>
        <w:t xml:space="preserve">A historical challenge across the development workspace is the fragmentation of valid engineering work. Individual agents frequently complete isolated tasks, commit code to ephemeral feature branches, and submit completion reports, while the primary repository tracking branch remains unmodified. Downstream workers, polling only the main branch, assume the work was never performed and unnecessarily rebuild components from scratch.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The forensic audit protocol systematically inspects all connected development environments to identify, recover, and reconcile stranded assets. The recovery workflow follows an ordered sequence: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First, local sweeps across both Linux and Windows nodes execute git status --porcelain and git log --branches --not --remotes to identify uncommitted changes, unpushed branches, and dangling stashes. Second, an automated inventory of remote tracking branches evaluates all 495 unmerged remote branches in the Beexly/Sports repository, identifying the 116 branches that contain five or more substantive modifications not reflected in main.   </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Third, forensic scans locate unindexed shadow directories on the Windows host—comprising over forty directories totaling roughly 7–9 GB across approximately 128,000 files, including critical coaching tendency CSVs. Fourth, the 1,115 locally archived arXiv full-text extractions are joined against the central research tracker, resolving the 165 previously missing literature entries.   </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Fifth, five reconciled Priority-1 engine errors are resolved: resetting the invalid target_hhi default of 0.0, eliminating swallowed DataGapError exception blocks, correcting the trust layer's CLEAR-on-missing-evidence bug, restoring parameter  </w:t>
      </w:r>
    </w:p>
    <w:p w:rsidR="00000000" w:rsidDel="00000000" w:rsidP="00000000" w:rsidRDefault="00000000" w:rsidRPr="00000000" w14:paraId="000002B2">
      <w:pPr>
        <w:rPr/>
      </w:pPr>
      <w:r w:rsidDel="00000000" w:rsidR="00000000" w:rsidRPr="00000000">
        <w:rPr>
          <w:rtl w:val="0"/>
        </w:rPr>
        <w:t xml:space="preserve">τ</w:t>
      </w:r>
    </w:p>
    <w:p w:rsidR="00000000" w:rsidDel="00000000" w:rsidP="00000000" w:rsidRDefault="00000000" w:rsidRPr="00000000" w14:paraId="000002B3">
      <w:pPr>
        <w:rPr/>
      </w:pP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tl w:val="0"/>
        </w:rPr>
        <w:t xml:space="preserve">  into the reasoning context, and reconciling differences between pipeline.py and the core TypeScript engine.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Finally, the Claim-Matrix verification gate is enforced, requiring all published claims to clear a continuous six-stage progression from research citations to physical data manifests.   </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Lost &amp; Found ID</w:t>
        <w:tab/>
        <w:t xml:space="preserve">Storage Location</w:t>
        <w:tab/>
        <w:t xml:space="preserve">Commit Reference / Checksum</w:t>
        <w:tab/>
        <w:t xml:space="preserve">Producing Agent</w:t>
        <w:tab/>
        <w:t xml:space="preserve">Data Authenticity Status</w:t>
        <w:tab/>
        <w:t xml:space="preserve">Recommended Triage Action</w:t>
      </w:r>
    </w:p>
    <w:p w:rsidR="00000000" w:rsidDel="00000000" w:rsidP="00000000" w:rsidRDefault="00000000" w:rsidRPr="00000000" w14:paraId="000002B9">
      <w:pPr>
        <w:rPr/>
      </w:pPr>
      <w:r w:rsidDel="00000000" w:rsidR="00000000" w:rsidRPr="00000000">
        <w:rPr>
          <w:rtl w:val="0"/>
        </w:rPr>
        <w:t xml:space="preserve">LF-001</w:t>
        <w:tab/>
        <w:t xml:space="preserve">.worktrees/calib-boundary</w:t>
        <w:tab/>
      </w:r>
    </w:p>
    <w:p w:rsidR="00000000" w:rsidDel="00000000" w:rsidP="00000000" w:rsidRDefault="00000000" w:rsidRPr="00000000" w14:paraId="000002BA">
      <w:pPr>
        <w:rPr/>
      </w:pPr>
      <w:r w:rsidDel="00000000" w:rsidR="00000000" w:rsidRPr="00000000">
        <w:rPr>
          <w:rtl w:val="0"/>
        </w:rPr>
        <w:t xml:space="preserve">SHA: f5a83452e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[cite: 8]</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Coding Agent (Sports)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Verified real; passes 871 test suites.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Fast-forward merge to main; preserve calibration seam.</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LF-002</w:t>
        <w:tab/>
        <w:t xml:space="preserve">shadow/coaching-tendencies/</w:t>
        <w:tab/>
      </w:r>
    </w:p>
    <w:p w:rsidR="00000000" w:rsidDel="00000000" w:rsidP="00000000" w:rsidRDefault="00000000" w:rsidRPr="00000000" w14:paraId="000002C5">
      <w:pPr>
        <w:rPr/>
      </w:pPr>
      <w:r w:rsidDel="00000000" w:rsidR="00000000" w:rsidRPr="00000000">
        <w:rPr>
          <w:rtl w:val="0"/>
        </w:rPr>
        <w:t xml:space="preserve">Local CSV Manifest</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Windows System (Mimo)</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Verified real; historical coach data across 32 teams.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Move to intelligence/coaching/data/ with SHA manifests.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LF-003</w:t>
        <w:tab/>
        <w:t xml:space="preserve">docs/research/2026-10-02/</w:t>
        <w:tab/>
      </w:r>
    </w:p>
    <w:p w:rsidR="00000000" w:rsidDel="00000000" w:rsidP="00000000" w:rsidRDefault="00000000" w:rsidRPr="00000000" w14:paraId="000002CE">
      <w:pPr>
        <w:rPr/>
      </w:pPr>
      <w:r w:rsidDel="00000000" w:rsidR="00000000" w:rsidRPr="00000000">
        <w:rPr>
          <w:rtl w:val="0"/>
        </w:rPr>
        <w:t xml:space="preserve">Single-file export (6.07MB)</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Web Ingestion / Muse.ai</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Verified real; feature kernels for EPA/WPA decomposition.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Wire into intelligence/signals/ as active features.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LF-004</w:t>
        <w:tab/>
        <w:t xml:space="preserve">agent/visibility-index</w:t>
        <w:tab/>
      </w:r>
    </w:p>
    <w:p w:rsidR="00000000" w:rsidDel="00000000" w:rsidP="00000000" w:rsidRDefault="00000000" w:rsidRPr="00000000" w14:paraId="000002D7">
      <w:pPr>
        <w:rPr/>
      </w:pPr>
      <w:r w:rsidDel="00000000" w:rsidR="00000000" w:rsidRPr="00000000">
        <w:rPr>
          <w:rtl w:val="0"/>
        </w:rPr>
        <w:t xml:space="preserve">SHA: 2f992ccb9</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[cite: 7]</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Hermes (Minis)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Verified real; indexes 2,194 files and 495 branches.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Rebase onto main to restore fleet-wide indexing.</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LF-005</w:t>
        <w:tab/>
        <w:t xml:space="preserve">branches: hermes/*</w:t>
        <w:tab/>
      </w:r>
    </w:p>
    <w:p w:rsidR="00000000" w:rsidDel="00000000" w:rsidP="00000000" w:rsidRDefault="00000000" w:rsidRPr="00000000" w14:paraId="000002E2">
      <w:pPr>
        <w:rPr/>
      </w:pPr>
      <w:r w:rsidDel="00000000" w:rsidR="00000000" w:rsidRPr="00000000">
        <w:rPr>
          <w:rtl w:val="0"/>
        </w:rPr>
        <w:t xml:space="preserve">PRs #911, #913–918</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Mimo / Hermes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Mixed: PR #918 failed transpilation checks; others valid.</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Resolve CI failures on PR #918 and merge valid PRs.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w:t>
      </w:r>
    </w:p>
    <w:p w:rsidR="00000000" w:rsidDel="00000000" w:rsidP="00000000" w:rsidRDefault="00000000" w:rsidRPr="00000000" w14:paraId="000002EB">
      <w:pPr>
        <w:rPr/>
      </w:pPr>
      <w:r w:rsidDel="00000000" w:rsidR="00000000" w:rsidRPr="00000000">
        <w:rPr>
          <w:rtl w:val="0"/>
        </w:rPr>
        <w:t xml:space="preserve">To recover uncommitted context that exists only in operational memory, an interview diagnostic protocol must be executed. The audit requires determining which specific agent was tasked with producing the ten missing coaching-seed CSVs and verifying whether an unindexed local export exists outside the main repository checkout.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The audit must also identify the exact terminal commands executed when PR #1012 threw an exit 128 error during push operations, and trace where the Grid extraction API key was stored when the 723-row mathematical extraction pipeline stalled.   </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Additionally, the operator must verify whether uncommitted stashes or interactive notebooks in the Windows Mimo environment contain unported tracking metrics, and ensure that all verbal agreements regarding task scope are formalized in repository markdown files rather than left as unwritten assumptions.   </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Target Orchestration Topology, Governance Hierarchy, and Migration Architecture</w:t>
      </w:r>
    </w:p>
    <w:p w:rsidR="00000000" w:rsidDel="00000000" w:rsidP="00000000" w:rsidRDefault="00000000" w:rsidRPr="00000000" w14:paraId="000002F2">
      <w:pPr>
        <w:rPr/>
      </w:pPr>
      <w:r w:rsidDel="00000000" w:rsidR="00000000" w:rsidRPr="00000000">
        <w:rPr>
          <w:rtl w:val="0"/>
        </w:rPr>
        <w:t xml:space="preserve">The orchestration architecture is structured specifically around the operational realities of a single human engineer, prioritizing continuous automated progress, transparent review mechanisms, strict cost caps, and responsive mobile oversight.   </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Candidate System</w:t>
        <w:tab/>
        <w:t xml:space="preserve">Operational Maturity (20%)</w:t>
        <w:tab/>
        <w:t xml:space="preserve">Mobile Command (25%)</w:t>
        <w:tab/>
        <w:t xml:space="preserve">Cost Governance (20%)</w:t>
        <w:tab/>
        <w:t xml:space="preserve">Review Gates (15%)</w:t>
        <w:tab/>
        <w:t xml:space="preserve">Fault Recovery (10%)</w:t>
        <w:tab/>
        <w:t xml:space="preserve">Operator Sustainability (10%)</w:t>
        <w:tab/>
        <w:t xml:space="preserve">Weighted Composite Score</w:t>
      </w:r>
    </w:p>
    <w:p w:rsidR="00000000" w:rsidDel="00000000" w:rsidP="00000000" w:rsidRDefault="00000000" w:rsidRPr="00000000" w14:paraId="000002F5">
      <w:pPr>
        <w:rPr/>
      </w:pPr>
      <w:r w:rsidDel="00000000" w:rsidR="00000000" w:rsidRPr="00000000">
        <w:rPr>
          <w:rtl w:val="0"/>
        </w:rPr>
        <w:t xml:space="preserve">Motif Linux VM</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[cite: 2]</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9.0 (Systemd, Cron)</w:t>
        <w:tab/>
        <w:t xml:space="preserve">7.0 (Telegram, Hooks)</w:t>
        <w:tab/>
        <w:t xml:space="preserve">8.5 (Local, Hard Caps)</w:t>
        <w:tab/>
        <w:t xml:space="preserve">9.5 (Merge Sheriff)</w:t>
        <w:tab/>
        <w:t xml:space="preserve">9.0 (Persistent Disk)</w:t>
        <w:tab/>
        <w:t xml:space="preserve">9.5 (Single Daemon)</w:t>
        <w:tab/>
        <w:t xml:space="preserve">8.60</w:t>
      </w:r>
    </w:p>
    <w:p w:rsidR="00000000" w:rsidDel="00000000" w:rsidP="00000000" w:rsidRDefault="00000000" w:rsidRPr="00000000" w14:paraId="000002FA">
      <w:pPr>
        <w:rPr/>
      </w:pPr>
      <w:r w:rsidDel="00000000" w:rsidR="00000000" w:rsidRPr="00000000">
        <w:rPr>
          <w:rtl w:val="0"/>
        </w:rPr>
        <w:t xml:space="preserve">Orca ADE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[cite: 2, 10]</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8.5 (Electron Core)</w:t>
        <w:tab/>
        <w:t xml:space="preserve">9.5 (Native iOS/Android)</w:t>
        <w:tab/>
        <w:t xml:space="preserve">8.0 (BYO Model Sub)</w:t>
        <w:tab/>
        <w:t xml:space="preserve">8.0 (Plan Approvals)</w:t>
        <w:tab/>
        <w:t xml:space="preserve">7.5 (Desktop Dependent)</w:t>
        <w:tab/>
        <w:t xml:space="preserve">8.5 (Standalone App)</w:t>
        <w:tab/>
        <w:t xml:space="preserve">8.45</w:t>
      </w:r>
    </w:p>
    <w:p w:rsidR="00000000" w:rsidDel="00000000" w:rsidP="00000000" w:rsidRDefault="00000000" w:rsidRPr="00000000" w14:paraId="000002FF">
      <w:pPr>
        <w:rPr/>
      </w:pPr>
      <w:r w:rsidDel="00000000" w:rsidR="00000000" w:rsidRPr="00000000">
        <w:rPr>
          <w:rtl w:val="0"/>
        </w:rPr>
        <w:t xml:space="preserve">Paperclip</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[cite: 2, 13]</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6.5 (6.2k Issues)</w:t>
        <w:tab/>
        <w:t xml:space="preserve">6.0 (Responsive Web)</w:t>
        <w:tab/>
        <w:t xml:space="preserve">9.5 (Native Budgets)</w:t>
        <w:tab/>
        <w:t xml:space="preserve">8.5 (Configurable Gates)</w:t>
        <w:tab/>
        <w:t xml:space="preserve">8.5 (Postgres Tasks)</w:t>
        <w:tab/>
        <w:t xml:space="preserve">5.0 (Server Stack)</w:t>
        <w:tab/>
        <w:t xml:space="preserve">7.40</w:t>
      </w:r>
    </w:p>
    <w:p w:rsidR="00000000" w:rsidDel="00000000" w:rsidP="00000000" w:rsidRDefault="00000000" w:rsidRPr="00000000" w14:paraId="00000304">
      <w:pPr>
        <w:rPr/>
      </w:pPr>
      <w:r w:rsidDel="00000000" w:rsidR="00000000" w:rsidRPr="00000000">
        <w:rPr>
          <w:rtl w:val="0"/>
        </w:rPr>
        <w:t xml:space="preserve">Antigravity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[cite: 4, 16]</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7.5 (Preview Release)</w:t>
        <w:tab/>
        <w:t xml:space="preserve">6.5 (SSH / Terminal)</w:t>
        <w:tab/>
        <w:t xml:space="preserve">7.0 (Cloud Quotas)</w:t>
        <w:tab/>
        <w:t xml:space="preserve">9.0 (Artifact Reviews)</w:t>
        <w:tab/>
        <w:t xml:space="preserve">7.5 (Sandbox State)</w:t>
        <w:tab/>
        <w:t xml:space="preserve">7.0 (Cloud Bound)</w:t>
        <w:tab/>
        <w:t xml:space="preserve">7.50</w:t>
      </w:r>
    </w:p>
    <w:p w:rsidR="00000000" w:rsidDel="00000000" w:rsidP="00000000" w:rsidRDefault="00000000" w:rsidRPr="00000000" w14:paraId="00000309">
      <w:pPr>
        <w:rPr/>
      </w:pPr>
      <w:r w:rsidDel="00000000" w:rsidR="00000000" w:rsidRPr="00000000">
        <w:rPr>
          <w:rtl w:val="0"/>
        </w:rPr>
        <w:t xml:space="preserve">Hermes / Minis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[cite: 2]</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7.0 (Mobile Client)</w:t>
        <w:tab/>
        <w:t xml:space="preserve">8.0 (Minis App)</w:t>
        <w:tab/>
        <w:t xml:space="preserve">7.5 (No Native Caps)</w:t>
        <w:tab/>
        <w:t xml:space="preserve">6.5 (Informal Chat)</w:t>
        <w:tab/>
        <w:t xml:space="preserve">5.5 (Ephemeral Run)</w:t>
        <w:tab/>
        <w:t xml:space="preserve">7.0 (Mobile Tethered)</w:t>
        <w:tab/>
        <w:t xml:space="preserve">7.15</w:t>
      </w:r>
    </w:p>
    <w:p w:rsidR="00000000" w:rsidDel="00000000" w:rsidP="00000000" w:rsidRDefault="00000000" w:rsidRPr="00000000" w14:paraId="0000030E">
      <w:pPr>
        <w:rPr/>
      </w:pPr>
      <w:r w:rsidDel="00000000" w:rsidR="00000000" w:rsidRPr="00000000">
        <w:rPr>
          <w:rtl w:val="0"/>
        </w:rPr>
        <w:t xml:space="preserve">The evaluation matrix designates the Linux VM hosting Motif as the primary architectural leader (Composite Score: 8.60), paired with the Orca ADE as the primary local workstation environment and mobile command interface (Composite Score: 8.45). Motif retains architectural leadership because it runs continuously on server infrastructure, manages background cron jobs, and enforces code quality doctrines without requiring an active desktop session. Orca integrates directly into this framework by providing a multi-worktree execution harness with encrypted mobile terminal streaming, replacing ad-hoc terminal workarounds. Paperclip is excluded from immediate deployment due to its significant maintenance overhead and lack of native adapters for Jules and custom shell daemons.   </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The multi-agent fleet coordinates asynchronously via a shared blackboard architecture built on the Beexly/agent-bus Git repository. Communication flows through a structured directory layout: the orchestrator places work orders, specifications, and quality requirements into inbox/from-motif/; worker agents place completed files, logs, and commit references into outbox/from-[agent]/; and reproducible test results and output captures land in inbox/from-[agent]/proofs/.   </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The primary operator steers the system through the Orca Mobile thin client, which connects via peer-to-peer encryption to the Orca ADE running on the desktop workstation. Orca manages parallel coding worktrees across local and remote repositories, while the Motif engine on the Linux VM polls the message bus hourly to review deliverables against the 9.2 quality standard and steer Jules coding sessions via API integrations.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Handoff packages follow a strict format, authored as dated Markdown files (YYYY-MM-DD-[origin]-[task].md) specifying required inputs, execution constraints, expected output schemas, and explicit validation commands. External gated links are prohibited; all necessary context must be included directly in the handoff document.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When agents produce conflicting code refactorings or analytical conclusions, conflicts resolve through a deterministic hierarchy: mathematically verified derivations take absolute precedence over non-deterministic outputs; competing empirical adjustments are decided by performance on sealed historical holdout data; and unresolved architectural ambiguities escalate directly to the human operator during the morning review.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The architecture addresses single points of failure across every layer. If GitHub experiences an outage, local daemons fall back to a bare Git mirror hosted on the Linux VM, synchronizing repositories over local SSH connections until remote services recover. If the primary Motif orchestration daemon crashes, systemd process supervisors restart the daemon automatically, while an independent cron job verifies process responsiveness hourly and dispatches alerts via Telegram if issues persist.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If the primary desktop workstation enters a sleep state or disconnects from the network, the Linux VM maintains the task queue independently on cloud compute. Background agents verify network connectivity before claiming work items, and tasks that remain unacknowledged for more than four hours automatically return to the queue for reassignment.   </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The fleet improves over time through a structured feedback loop. When an agent resolves a non-trivial edge case or bug, it writes an operational summary into docs/architecture/lessons/. These summaries are indexed into agent-specific memory banks on the local Hindsight instance, allowing subsequent workers to query historical edge cases via MCP interfaces during workspace initialization. Standardized engineering practices are codified into version-controlled doctrine documents in doctrine/, with updates governed by GitHub CODEOWNERS rules to ensure operational consistency.   </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The system executes a four-phase migration to transition from fragmented operations to the target architecture without halting existing production workloads:   </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Phase 1: Stabilization, Credential Isolation, and Queue Setup</w:t>
      </w:r>
    </w:p>
    <w:p w:rsidR="00000000" w:rsidDel="00000000" w:rsidP="00000000" w:rsidRDefault="00000000" w:rsidRPr="00000000" w14:paraId="00000321">
      <w:pPr>
        <w:rPr/>
      </w:pPr>
      <w:r w:rsidDel="00000000" w:rsidR="00000000" w:rsidRPr="00000000">
        <w:rPr>
          <w:rtl w:val="0"/>
        </w:rPr>
        <w:t xml:space="preserve">Phase 1 begins once the operator confirms read-only access across all repositories, hosts, and storage accounts. The deployment initiates by provisioning the central credential broker on the Linux VM and migrating all API and database credentials into secure platform storage. Systemd service units are established for agent-bus-watch and jules-session-shepherd to automate queue monitoring and background session management.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Simultaneously, open pull requests on Beexly/Sports are audited to merge valid branches and close stale PRs. The phase concludes once background daemons run continuously for 48 hours and raw credentials are confirmed completely purged from message bus files and Git trees. If failures occur, daemon startup scripts are reverted and environments restored from encrypted offline backups.   </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Phase 2: Local Harness Standardization and Shadow Asset Recovery</w:t>
      </w:r>
    </w:p>
    <w:p w:rsidR="00000000" w:rsidDel="00000000" w:rsidP="00000000" w:rsidRDefault="00000000" w:rsidRPr="00000000" w14:paraId="00000326">
      <w:pPr>
        <w:rPr/>
      </w:pPr>
      <w:r w:rsidDel="00000000" w:rsidR="00000000" w:rsidRPr="00000000">
        <w:rPr>
          <w:rtl w:val="0"/>
        </w:rPr>
        <w:t xml:space="preserve">Phase 2 initiates upon satisfying Phase 1 exit criteria and verifying local host access. Orca ADE is installed on the primary workstation and paired with the mobile companion application via encrypted local-network keys. Git worktrees within Orca are mapped directly to active checkouts of the Sports and Agent-Bus repositories.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The forensic audit script executes across the Windows workstation, archiving and indexing all uncommitted shadow directories. The phase concludes once the mobile client successfully monitors background tasks and receives completion notifications, and all recovered shadow assets are indexed in the primary catalog. If issues arise, desktop harness packages are removed and operations resume via standard terminal command lines.   </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Phase 3: Bridge Model Integration and Fail-Closed Verification</w:t>
      </w:r>
    </w:p>
    <w:p w:rsidR="00000000" w:rsidDel="00000000" w:rsidP="00000000" w:rsidRDefault="00000000" w:rsidRPr="00000000" w14:paraId="0000032B">
      <w:pPr>
        <w:rPr/>
      </w:pPr>
      <w:r w:rsidDel="00000000" w:rsidR="00000000" w:rsidRPr="00000000">
        <w:rPr>
          <w:rtl w:val="0"/>
        </w:rPr>
        <w:t xml:space="preserve">Phase 3 commences once Phase 2 is validated and historical coaching seed files are verified against data manifests. The bridge model (bridge-model.ts) is built and integrated to consume the forty-seven registered signals, outputting directional win probabilities (P(outcome)) with verified sample sizes and feature directional indicators (homeSign).   </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The slate generation engine is updated to enforce fail-closed type constraints, rejecting any selection that lacks an active, positive reasoning trace. Continuous integration workflows are updated to enforce the Claim-Matrix verification gate across all pull requests.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The phase concludes when full holdout dataset evaluations execute clean, generating zero unhandled exceptions and zero ungrounded slate selections. If regressions occur, engine commits revert to the previous release tag and legacy scoring configurations are re-enabled.   </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Phase 4: Long-Term Memory Deployment and CPU Inference Optimization</w:t>
      </w:r>
    </w:p>
    <w:p w:rsidR="00000000" w:rsidDel="00000000" w:rsidP="00000000" w:rsidRDefault="00000000" w:rsidRPr="00000000" w14:paraId="00000332">
      <w:pPr>
        <w:rPr/>
      </w:pPr>
      <w:r w:rsidDel="00000000" w:rsidR="00000000" w:rsidRPr="00000000">
        <w:rPr>
          <w:rtl w:val="0"/>
        </w:rPr>
        <w:t xml:space="preserve">Phase 4 begins once Phase 3 is validated and the core prediction engine operates stably. A self-hosted Hindsight memory instance backed by PostgreSQL and pgvector is deployed on the Linux VM, with MCP memory endpoints wired to OpenDots and local agent sessions.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Core tabular and feature prediction models are exported into the ONNX format, with bit-identical numerical parity confirmed against historical holdout data before shifting scoring inference to CPU runtimes.   </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phase concludes when predictive scoring executes entirely on commodity CPU infrastructure and local agents query and retain task reflections successfully. If memory or inference performance degrades, requests route back to dedicated GPU instances and MCP memory extensions are disabled in agent configurations.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Operational Cadence, Backlog Governance, and Daily Operating Rhythms</w:t>
      </w:r>
    </w:p>
    <w:p w:rsidR="00000000" w:rsidDel="00000000" w:rsidP="00000000" w:rsidRDefault="00000000" w:rsidRPr="00000000" w14:paraId="00000339">
      <w:pPr>
        <w:rPr/>
      </w:pPr>
      <w:r w:rsidDel="00000000" w:rsidR="00000000" w:rsidRPr="00000000">
        <w:rPr>
          <w:rtl w:val="0"/>
        </w:rPr>
        <w:t xml:space="preserve">Operating a distributed multi-agent fleet as a single human engineer requires an efficient, automated operational rhythm that minimizes context switching and prevents task backlogs.   </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The daily operational cadence follows a predictable sequence. At 09:08 CT, the orchestrator compiles an executive Markdown brief and delivers it directly to the operator's mobile client. The summary requires less than two minutes to review, detailing overall system status, tasks completed over the preceding 24 hours with commit references, rolling infrastructure costs measured against monthly spend caps, and high-priority blocking issues requiring manual review or explicit approval.   </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Throughout the day, background supervisory jobs run automatically: the Jules Session Shepherd sweeps coding sessions every six hours to ensure they are driven to completion, reviewed, or cleanly terminated, while the agent bus daemon polls for new deliverables hourly, evaluating submissions against the 9.2 quality standard and returning structured review verdicts.   </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At the end of each day, the system logs operational metrics to docs/operations/daily/ and commits an updated state manifest. Active worktrees must be committed to remote tracking branches; uncommitted local code is flagged as an operational risk.   </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System alerts follow a three-tier escalation model to prevent notification fatigue. Tier 1 alerts trigger immediate mobile notifications, reserved exclusively for critical failures such as compromised credentials, unexpected billing surges exceeding 20% of daily allocations, or runtime halts on live game-day scoring pipelines.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Tier 2 events are queued for review in the morning standup brief, covering non-critical issues such as unit test failures on feature branches, merge conflicts on open PRs, and temporary API rate limits that resolve via automatic backoff.   </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Tier 3 issues are resolved autonomously by the orchestrator without alerting the operator, including routine daemon restarts, session cleanups for abandoned scratchpads, and re-running jobs that failed due to transient network drops.   </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Backlogs are systematically prevented through automated repository rules. Under the Jules Shepherd doctrine, background tasks must not remain in AWAITING_USER_FEEDBACK states for more than six hours; unattended sessions are automatically reviewed or terminated.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Under the Merge Sheriff protocol, open pull requests must be merged, remediated, or closed within 48 hours of creation, preventing stagnant code branches from accumulating.   </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Similarly, tasks in message bus inbox/ directories that remain unacknowledged for more than twelve hours trigger automated reassignment or are logged as dropped with documented failure reasons.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Adversarial Red-Team Analysis and Pre-Mortem Audit</w:t>
      </w:r>
    </w:p>
    <w:p w:rsidR="00000000" w:rsidDel="00000000" w:rsidP="00000000" w:rsidRDefault="00000000" w:rsidRPr="00000000" w14:paraId="0000034E">
      <w:pPr>
        <w:rPr/>
      </w:pPr>
      <w:r w:rsidDel="00000000" w:rsidR="00000000" w:rsidRPr="00000000">
        <w:rPr>
          <w:rtl w:val="0"/>
        </w:rPr>
        <w:t xml:space="preserve">To ensure system resilience, all architectural proposals must withstand critical counter-analysis, evaluating potential failure modes and identifying operational risks before deployment.   </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Deploying Orca introduces an additional layer of desktop and mobile software into what should remain a lightweight development environment. While its multi-worktree terminal interface is polished, it relies on Electron and continuous background node processes. If the desktop machine experiences operating system sleep cycles or updates, background sessions can stall silently.   </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Furthermore, Orca functions primarily as a terminal multiplexer; it does not solve upstream orchestration logic or manage task dependencies. A simple set of terminal multiplexers (such as tmux paired with lightweight Git hooks) provides similar multi-worktree execution without the overhead of maintaining an external desktop client.   </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Introducing persistent long-term agent memory carries a substantial risk of context poisoning. If an agent executes a task using flawed premises and records those deductions into an observation tier, downstream agents querying the memory bank inherit the corrupted logic as confirmed fact.   </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Additionally, Hindsight requires maintaining a dedicated PostgreSQL database with pgvector, increasing infrastructure surface area. Unless carefully restricted via vector threshold configuration, the system's background reflection cycles continuously consume model tokens, increasing monthly operational expenses.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There is also a fundamental risk of spending more time engineering agent orchestration frameworks than advancing the core quantitative models of Galaxy Sports Edge. Complex multi-agent systems often introduce coordination friction, API overhead, and distributed debugging challenges. For a single engineer, an over-engineered fleet can become a productivity drain rather than an accelerator.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Assuming the fleet migration fails six months post-implementation, the failure will trace to one of three primary structural breakdowns: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The primary operational failure mode is message bus thrashing and merge conflict gridlock. In this scenario, asynchronous agents flood the message bus with rapid, uncoordinated branches and overlapping PRs. The operator becomes overwhelmed reviewing and resolving Git conflicts, abandoning the orchestrator and returning to manual single-threaded coding. This failure is detected early when the count of open, unmerged remote branches exceeds thirty, or the mean duration a PR remains unreviewed exceeds 24 hours.   </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primary quantitative failure mode is verifier reward hacking and synthetic data contamination. In this scenario, agents tasked with resolving test failures optimize code to satisfy mock data fixtures rather than integrating real data pipelines. The system appears healthy on continuous integration dashboards, but real-world model accuracy collapses due to ungrounded derivations and missing directional signals. This failure is detected early when unit test pass rates exceed 99% while the ratio of verified, manifest-backed data files to fixture files declines below 80%.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primary infrastructural failure mode is credential rotation lockouts and daemon paralysis. In this scenario, ephemeral token broker configurations fail silently during automated credential rotation cycles, locking background agents out of repository APIs and live odds databases. Unattended cron jobs fail repeatedly, and the fleet grinds to a halt. This failure is detected early when three or more consecutive authentication failures (HTTP 401/403) are logged within the orchestrator’s background process monitors.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Actionable Operational Implementation Horizons</w:t>
      </w:r>
    </w:p>
    <w:p w:rsidR="00000000" w:rsidDel="00000000" w:rsidP="00000000" w:rsidRDefault="00000000" w:rsidRPr="00000000" w14:paraId="00000363">
      <w:pPr>
        <w:rPr/>
      </w:pPr>
      <w:r w:rsidDel="00000000" w:rsidR="00000000" w:rsidRPr="00000000">
        <w:rPr>
          <w:rtl w:val="0"/>
        </w:rPr>
        <w:t xml:space="preserve">To establish immediate system stability while building toward the target multi-agent architecture, operations proceed across two distinct implementation horizons.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The 72-hour stabilization horizon focuses on eliminating critical bottlenecks and securing credentials. During hours 0 through 12, automated branch audits inventory the 495 unmerged remote branches on Beexly/Sports, opening pull requests for substantive code sets while cleaning local directories and recovering coaching tendency files from shadow directories.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During hours 12 through 36, all active API keys are audited and revoked, transitioning external calls to managed environment variables and proxy endpoints while verifying that raw credentials are removed from message buses and commit histories.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During hours 36 through 60, the bridge model (bridge-model.ts) is implemented to convert the forty-seven registered signals into directional probabilities (P(outcome)) with sample counts and directional indicators (homeSign), while slate generation is updated to require an active reasoning trace.   </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During hours 60 through 72, the entire prediction engine test suite is re-run from a clean repository clone to confirm all tests pass on real data manifests, and the morning standup brief is routed to mobile channels to verify alerting loops.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30-day orchestration horizon builds permanent operational infrastructure. During days 4 through 10, Orca ADE is deployed on the primary workstation, mapping worktrees across repositories and verifying the mobile companion application, while the background session shepherd is scheduled to review Jules coding sessions every six hours.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During days 11 through 18, a dedicated PostgreSQL instance with pgvector is provisioned to host Hindsight memory banks, and the Claim-Matrix verification gate is integrated into continuous integration workflows to enforce data provenance across all published claims.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During days 19 through 25, tabular and feature prediction models are exported to ONNX, validated for bit-identical numerical parity on historical data, and shifted to CPU serving to eliminate regular GPU hosting expenses.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Finally, during days 26 through 30, automated Murphy partition checks, ECE tracking, and Fréchet-Hoeffding copula bound verifications are integrated into daily scoring routines, completing the transition to the structured operational cadence.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