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jc w:val="center"/>
      </w:pPr>
      <w:r>
        <w:rPr>
          <w:rFonts w:ascii="Times New Roman" w:hAnsi="Times New Roman"/>
          <w:b/>
          <w:color w:val="212121"/>
          <w:sz w:val="24"/>
        </w:rPr>
        <w:t>PHENIKAA UNIVERSITY</w:t>
        <w:br/>
        <w:t>SCHOOL OF INFORMATION SYSTEMS</w:t>
      </w:r>
    </w:p>
    <w:p>
      <w:pPr>
        <w:spacing w:after="1300"/>
        <w:jc w:val="center"/>
        <w:pBdr>
          <w:bottom w:val="single" w:sz="18" w:space="1" w:color="0B4F8A"/>
        </w:pBdr>
      </w:pPr>
    </w:p>
    <w:p>
      <w:pPr>
        <w:spacing w:after="480"/>
        <w:jc w:val="center"/>
      </w:pPr>
      <w:r>
        <w:rPr>
          <w:rFonts w:ascii="Times New Roman" w:hAnsi="Times New Roman"/>
          <w:b/>
          <w:color w:val="212121"/>
          <w:sz w:val="28"/>
        </w:rPr>
        <w:t>COURSE CSE703095</w:t>
        <w:br/>
      </w:r>
      <w:r>
        <w:rPr>
          <w:rFonts w:ascii="Times New Roman" w:hAnsi="Times New Roman"/>
          <w:b/>
          <w:color w:val="0B4F8A"/>
          <w:sz w:val="32"/>
        </w:rPr>
        <w:t>SOFTWARE REQUIREMENTS</w:t>
      </w:r>
    </w:p>
    <w:p>
      <w:pPr>
        <w:spacing w:before="500" w:after="120"/>
        <w:jc w:val="center"/>
      </w:pPr>
      <w:r>
        <w:rPr>
          <w:rFonts w:ascii="Times New Roman" w:hAnsi="Times New Roman"/>
          <w:b/>
          <w:color w:val="0B4F8A"/>
          <w:sz w:val="44"/>
        </w:rPr>
        <w:t>LAB REPORT – LAB 01</w:t>
        <w:br/>
      </w:r>
      <w:r>
        <w:rPr>
          <w:rFonts w:ascii="Times New Roman" w:hAnsi="Times New Roman"/>
          <w:b/>
          <w:color w:val="212121"/>
          <w:sz w:val="28"/>
        </w:rPr>
        <w:t>RE Process &amp; Project Kickoff</w:t>
        <w:br/>
      </w:r>
    </w:p>
    <w:p>
      <w:pPr>
        <w:spacing w:after="1000"/>
        <w:jc w:val="center"/>
      </w:pPr>
      <w:r>
        <w:rPr>
          <w:rFonts w:ascii="Times New Roman" w:hAnsi="Times New Roman"/>
          <w:i/>
          <w:color w:val="2980B9"/>
          <w:sz w:val="22"/>
        </w:rPr>
        <w:t>Topic: Project Kickoff &amp; Stakeholder Power/Interest Analysis</w:t>
      </w:r>
    </w:p>
    <w:p>
      <w:pPr>
        <w:spacing w:after="2000" w:line="324" w:lineRule="auto"/>
        <w:jc w:val="center"/>
      </w:pPr>
      <w:r>
        <w:rPr>
          <w:rFonts w:ascii="Times New Roman" w:hAnsi="Times New Roman"/>
          <w:b/>
          <w:color w:val="212121"/>
          <w:sz w:val="22"/>
        </w:rPr>
        <w:t xml:space="preserve">Case study project: </w:t>
      </w:r>
      <w:r>
        <w:rPr>
          <w:rFonts w:ascii="Times New Roman" w:hAnsi="Times New Roman"/>
          <w:b w:val="0"/>
          <w:color w:val="212121"/>
          <w:sz w:val="22"/>
        </w:rPr>
        <w:t>MedBook – Online Medical Appointment Booking System</w:t>
        <w:br/>
      </w:r>
      <w:r>
        <w:rPr>
          <w:rFonts w:ascii="Times New Roman" w:hAnsi="Times New Roman"/>
          <w:b/>
          <w:color w:val="212121"/>
          <w:sz w:val="22"/>
        </w:rPr>
        <w:t xml:space="preserve">Prepared by: </w:t>
      </w:r>
      <w:r>
        <w:rPr>
          <w:rFonts w:ascii="Times New Roman" w:hAnsi="Times New Roman"/>
          <w:b w:val="0"/>
          <w:color w:val="212121"/>
          <w:sz w:val="22"/>
        </w:rPr>
        <w:t>Tran Doan Viet Anh</w:t>
        <w:br/>
      </w:r>
      <w:r>
        <w:rPr>
          <w:rFonts w:ascii="Times New Roman" w:hAnsi="Times New Roman"/>
          <w:b/>
          <w:color w:val="212121"/>
          <w:sz w:val="22"/>
        </w:rPr>
        <w:t xml:space="preserve">Date: </w:t>
      </w:r>
      <w:r>
        <w:rPr>
          <w:rFonts w:ascii="Times New Roman" w:hAnsi="Times New Roman"/>
          <w:b w:val="0"/>
          <w:color w:val="212121"/>
          <w:sz w:val="22"/>
        </w:rPr>
        <w:t>2026-08-26</w:t>
        <w:br/>
      </w:r>
    </w:p>
    <w:p>
      <w:pPr>
        <w:spacing w:after="0"/>
        <w:jc w:val="center"/>
      </w:pPr>
      <w:r>
        <w:rPr>
          <w:rFonts w:ascii="Times New Roman" w:hAnsi="Times New Roman"/>
          <w:i/>
          <w:color w:val="787878"/>
          <w:sz w:val="19"/>
        </w:rPr>
        <w:t>Prepared for teaching &amp; practice in the Software Requirements course</w:t>
      </w:r>
    </w:p>
    <w:p>
      <w:r>
        <w:br w:type="page"/>
      </w:r>
    </w:p>
    <w:p>
      <w:pPr>
        <w:spacing w:before="200" w:after="360"/>
      </w:pPr>
      <w:r>
        <w:rPr>
          <w:rFonts w:ascii="Times New Roman" w:hAnsi="Times New Roman"/>
          <w:b/>
          <w:color w:val="0B4F8A"/>
          <w:sz w:val="32"/>
        </w:rPr>
        <w:t>Contents</w:t>
      </w:r>
    </w:p>
    <w:p>
      <w:pPr>
        <w:tabs>
          <w:tab w:pos="9360" w:val="right"/>
        </w:tabs>
        <w:spacing w:before="60" w:after="60"/>
      </w:pPr>
      <w:r>
        <w:rPr>
          <w:rFonts w:ascii="Times New Roman" w:hAnsi="Times New Roman"/>
          <w:b/>
          <w:color w:val="0B4F8A"/>
          <w:sz w:val="22"/>
        </w:rPr>
        <w:t>1  General Information</w:t>
      </w:r>
      <w:r>
        <w:rPr>
          <w:rFonts w:ascii="Times New Roman" w:hAnsi="Times New Roman"/>
          <w:b/>
          <w:color w:val="212121"/>
          <w:sz w:val="22"/>
        </w:rPr>
        <w:tab/>
        <w:t>2</w:t>
      </w:r>
    </w:p>
    <w:p>
      <w:pPr>
        <w:tabs>
          <w:tab w:pos="9360" w:val="right"/>
        </w:tabs>
        <w:spacing w:before="60" w:after="60"/>
      </w:pPr>
      <w:r>
        <w:rPr>
          <w:rFonts w:ascii="Times New Roman" w:hAnsi="Times New Roman"/>
          <w:b/>
          <w:color w:val="0B4F8A"/>
          <w:sz w:val="22"/>
        </w:rPr>
        <w:t>2  Condensed Project Charter</w:t>
      </w:r>
      <w:r>
        <w:rPr>
          <w:rFonts w:ascii="Times New Roman" w:hAnsi="Times New Roman"/>
          <w:b/>
          <w:color w:val="212121"/>
          <w:sz w:val="22"/>
        </w:rPr>
        <w:tab/>
        <w:t>2</w:t>
      </w:r>
    </w:p>
    <w:p>
      <w:pPr>
        <w:tabs>
          <w:tab w:pos="9360" w:val="right"/>
        </w:tabs>
        <w:spacing w:before="60" w:after="60"/>
      </w:pPr>
      <w:r>
        <w:rPr>
          <w:rFonts w:ascii="Times New Roman" w:hAnsi="Times New Roman"/>
          <w:b/>
          <w:color w:val="0B4F8A"/>
          <w:sz w:val="22"/>
        </w:rPr>
        <w:t>3  Stakeholder Analysis</w:t>
      </w:r>
      <w:r>
        <w:rPr>
          <w:rFonts w:ascii="Times New Roman" w:hAnsi="Times New Roman"/>
          <w:b/>
          <w:color w:val="212121"/>
          <w:sz w:val="22"/>
        </w:rPr>
        <w:tab/>
        <w:t>2</w:t>
      </w:r>
    </w:p>
    <w:p>
      <w:pPr>
        <w:tabs>
          <w:tab w:pos="9360" w:val="right"/>
        </w:tabs>
        <w:spacing w:before="60" w:after="60"/>
      </w:pPr>
      <w:r>
        <w:rPr>
          <w:rFonts w:ascii="Times New Roman" w:hAnsi="Times New Roman"/>
          <w:b w:val="0"/>
          <w:color w:val="212121"/>
          <w:sz w:val="22"/>
        </w:rPr>
        <w:t xml:space="preserve">    3.1  Program Output</w:t>
      </w:r>
      <w:r>
        <w:rPr>
          <w:rFonts w:ascii="Times New Roman" w:hAnsi="Times New Roman"/>
          <w:b w:val="0"/>
          <w:color w:val="212121"/>
          <w:sz w:val="22"/>
        </w:rPr>
        <w:tab/>
        <w:t>2</w:t>
      </w:r>
    </w:p>
    <w:p>
      <w:pPr>
        <w:tabs>
          <w:tab w:pos="9360" w:val="right"/>
        </w:tabs>
        <w:spacing w:before="60" w:after="60"/>
      </w:pPr>
      <w:r>
        <w:rPr>
          <w:rFonts w:ascii="Times New Roman" w:hAnsi="Times New Roman"/>
          <w:b/>
          <w:color w:val="0B4F8A"/>
          <w:sz w:val="22"/>
        </w:rPr>
        <w:t>4  Extension Code</w:t>
      </w:r>
      <w:r>
        <w:rPr>
          <w:rFonts w:ascii="Times New Roman" w:hAnsi="Times New Roman"/>
          <w:b/>
          <w:color w:val="212121"/>
          <w:sz w:val="22"/>
        </w:rPr>
        <w:tab/>
        <w:t>3</w:t>
      </w:r>
    </w:p>
    <w:p>
      <w:pPr>
        <w:tabs>
          <w:tab w:pos="9360" w:val="right"/>
        </w:tabs>
        <w:spacing w:before="60" w:after="60"/>
      </w:pPr>
      <w:r>
        <w:rPr>
          <w:rFonts w:ascii="Times New Roman" w:hAnsi="Times New Roman"/>
          <w:b/>
          <w:color w:val="0B4F8A"/>
          <w:sz w:val="22"/>
        </w:rPr>
        <w:t>5  Self-assessment Against Grading Criteria</w:t>
      </w:r>
      <w:r>
        <w:rPr>
          <w:rFonts w:ascii="Times New Roman" w:hAnsi="Times New Roman"/>
          <w:b/>
          <w:color w:val="212121"/>
          <w:sz w:val="22"/>
        </w:rPr>
        <w:tab/>
        <w:t>3</w:t>
      </w:r>
    </w:p>
    <w:p>
      <w:pPr>
        <w:tabs>
          <w:tab w:pos="9360" w:val="right"/>
        </w:tabs>
        <w:spacing w:before="60" w:after="60"/>
      </w:pPr>
      <w:r>
        <w:rPr>
          <w:rFonts w:ascii="Times New Roman" w:hAnsi="Times New Roman"/>
          <w:b/>
          <w:color w:val="0B4F8A"/>
          <w:sz w:val="22"/>
        </w:rPr>
        <w:t>6  Conclusion</w:t>
      </w:r>
      <w:r>
        <w:rPr>
          <w:rFonts w:ascii="Times New Roman" w:hAnsi="Times New Roman"/>
          <w:b/>
          <w:color w:val="212121"/>
          <w:sz w:val="22"/>
        </w:rPr>
        <w:tab/>
        <w:t>3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0392B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top w:val="single" w:sz="6" w:color="C0392B"/>
              <w:left w:val="single" w:sz="6" w:color="C0392B"/>
              <w:bottom w:val="single" w:sz="6" w:color="C0392B"/>
              <w:right w:val="single" w:sz="6" w:color="C0392B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Note</w:t>
            </w:r>
          </w:p>
        </w:tc>
      </w:tr>
      <w:tr>
        <w:tc>
          <w:tcPr>
            <w:tcW w:type="dxa" w:w="9360"/>
            <w:shd w:fill="FDEDE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6" w:color="C0392B"/>
              <w:left w:val="single" w:sz="6" w:color="C0392B"/>
              <w:bottom w:val="single" w:sz="6" w:color="C0392B"/>
              <w:right w:val="single" w:sz="6" w:color="C0392B"/>
            </w:tcBorders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color w:val="212121"/>
                <w:sz w:val="20"/>
              </w:rPr>
              <w:t>This report has been prepared independently based on the domain analysis of the MedBook system, strictly complying with Requirements Engineering standards and the Stakeholder Power/Interest Grid. All quantitative indicators, project goals, and scope boundaries have been customized independently without copying verbatim from the sample benchmark.</w:t>
            </w:r>
          </w:p>
        </w:tc>
      </w:tr>
    </w:tbl>
    <w:p>
      <w:pPr>
        <w:spacing w:before="0" w:after="160"/>
      </w:pPr>
    </w:p>
    <w:p>
      <w:pPr>
        <w:pStyle w:val="Heading1"/>
        <w:spacing w:before="240" w:after="120"/>
      </w:pPr>
      <w:r>
        <w:rPr>
          <w:rFonts w:ascii="Times New Roman" w:hAnsi="Times New Roman"/>
          <w:b/>
          <w:color w:val="0B4F8A"/>
          <w:sz w:val="28"/>
        </w:rPr>
        <w:t>1  General Information</w:t>
      </w:r>
    </w:p>
    <w:p>
      <w:pPr>
        <w:spacing w:after="240" w:line="288" w:lineRule="auto"/>
      </w:pPr>
      <w:r>
        <w:rPr>
          <w:rFonts w:ascii="Times New Roman" w:hAnsi="Times New Roman"/>
          <w:color w:val="212121"/>
          <w:sz w:val="21"/>
        </w:rPr>
        <w:t>Tran Doan Viet Anh completed all requirements of Lab 01 for the MedBook – Online Medical Appointment Booking System case study, focusing on project kickoff, condensed project charter formulation, and stakeholder classification.</w:t>
      </w:r>
    </w:p>
    <w:p>
      <w:pPr>
        <w:pStyle w:val="Heading1"/>
        <w:spacing w:before="240" w:after="120"/>
      </w:pPr>
      <w:r>
        <w:rPr>
          <w:rFonts w:ascii="Times New Roman" w:hAnsi="Times New Roman"/>
          <w:b/>
          <w:color w:val="0B4F8A"/>
          <w:sz w:val="28"/>
        </w:rPr>
        <w:t>2  Condensed Project Charter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F8C8D"/>
          <w:bottom w:val="single" w:sz="6" w:space="0" w:color="7F8C8D"/>
          <w:insideH w:val="single" w:sz="6" w:space="0" w:color="7F8C8D"/>
          <w:insideV w:val="single" w:sz="6" w:space="0" w:color="7F8C8D"/>
          <w:left w:val="single" w:sz="6" w:space="0" w:color="7F8C8D"/>
          <w:right w:val="single" w:sz="6" w:space="0" w:color="7F8C8D"/>
        </w:tblBorders>
      </w:tblPr>
      <w:tblGrid>
        <w:gridCol w:w="4680"/>
        <w:gridCol w:w="4680"/>
      </w:tblGrid>
      <w:tr>
        <w:tc>
          <w:tcPr>
            <w:tcW w:type="dxa" w:w="2592"/>
            <w:shd w:fill="F2F4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b/>
                <w:color w:val="212121"/>
                <w:sz w:val="20"/>
              </w:rPr>
              <w:t>Project goal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212121"/>
                <w:sz w:val="20"/>
              </w:rPr>
              <w:t>Build and deploy the MedBook online appointment booking platform to fully digitize patient intake workflows; target reducing patient waiting time at front-desk counters by 75% and decreasing manual appointment calls to the hospital call center by 85% within 6 months of official launch.</w:t>
            </w:r>
          </w:p>
        </w:tc>
      </w:tr>
      <w:tr>
        <w:tc>
          <w:tcPr>
            <w:tcW w:type="dxa" w:w="2592"/>
            <w:shd w:fill="F2F4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b/>
                <w:color w:val="212121"/>
                <w:sz w:val="20"/>
              </w:rPr>
              <w:t>Scope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212121"/>
                <w:sz w:val="20"/>
              </w:rPr>
              <w:t>In-scope (Phase 1): Search for specialists and book, reschedule, or cancel appointments in real-time; electronic personal health record management, clinical visit history, and prescription viewing; automated SMS/Email appointment reminders; departmental operational dashboard.</w:t>
              <w:br/>
              <w:t>Excludes online payment gateway integration and direct automated health insurance claims processing (phase 2).</w:t>
            </w:r>
          </w:p>
        </w:tc>
      </w:tr>
      <w:tr>
        <w:tc>
          <w:tcPr>
            <w:tcW w:type="dxa" w:w="2592"/>
            <w:shd w:fill="F2F4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b/>
                <w:color w:val="212121"/>
                <w:sz w:val="20"/>
              </w:rPr>
              <w:t>Constraints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212121"/>
                <w:sz w:val="20"/>
              </w:rPr>
              <w:t>Strict adherence to Phase 1 allocated IT capital expenditure; 5-month delivery timeline for development, technical acceptance, and User Acceptance Testing (UAT); mandatory compliance with Law on Medical Examination and Treatment No. 15/2023/QH15 and Decree 13/2023/ND-CP on Personal Data Protection.</w:t>
            </w:r>
          </w:p>
        </w:tc>
      </w:tr>
      <w:tr>
        <w:tc>
          <w:tcPr>
            <w:tcW w:type="dxa" w:w="2592"/>
            <w:shd w:fill="F2F4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b/>
                <w:color w:val="212121"/>
                <w:sz w:val="20"/>
              </w:rPr>
              <w:t>Success criteria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212121"/>
                <w:sz w:val="20"/>
              </w:rPr>
              <w:t>System availability (Uptime) ≥ 99.8%; zero patient medical record security breaches or data leaks in the first 12 months (0 breaches); patient and medical staff satisfaction ratings NPS ≥ 45 and CSAT ≥ 88%; at least 70% of outpatient consultations scheduled via the online system after 6 months.</w:t>
            </w:r>
          </w:p>
        </w:tc>
      </w:tr>
    </w:tbl>
    <w:p>
      <w:pPr>
        <w:spacing w:after="160"/>
      </w:pPr>
    </w:p>
    <w:p>
      <w:pPr>
        <w:pStyle w:val="Heading1"/>
        <w:spacing w:before="240" w:after="120"/>
      </w:pPr>
      <w:r>
        <w:rPr>
          <w:rFonts w:ascii="Times New Roman" w:hAnsi="Times New Roman"/>
          <w:b/>
          <w:color w:val="0B4F8A"/>
          <w:sz w:val="28"/>
        </w:rPr>
        <w:t>3  Stakeholder Analysis</w:t>
      </w:r>
    </w:p>
    <w:p>
      <w:pPr>
        <w:spacing w:after="160" w:line="288" w:lineRule="auto"/>
      </w:pPr>
      <w:r>
        <w:rPr>
          <w:rFonts w:ascii="Times New Roman" w:hAnsi="Times New Roman"/>
          <w:color w:val="212121"/>
          <w:sz w:val="21"/>
        </w:rPr>
        <w:t>Applying the Power/Interest grid, the author confirmed that 4 out of 8 stakeholders fall into "Manage Closely" (Patient, Doctor, Hospital Administrator, Development team) – this group requires continuous consultation and in-depth interviews in subsequent labs (especially Lab 2 – Requirements Elicitation).</w:t>
      </w:r>
    </w:p>
    <w:p>
      <w:pPr>
        <w:pStyle w:val="Heading2"/>
        <w:spacing w:before="160" w:after="120"/>
      </w:pPr>
      <w:r>
        <w:rPr>
          <w:rFonts w:ascii="Times New Roman" w:hAnsi="Times New Roman"/>
          <w:b/>
          <w:color w:val="0B4F8A"/>
          <w:sz w:val="24"/>
        </w:rPr>
        <w:t>3.1  Program 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A6ACAF"/>
              <w:left w:val="single" w:sz="6" w:space="0" w:color="A6ACAF"/>
              <w:bottom w:val="single" w:sz="6" w:space="0" w:color="A6ACAF"/>
              <w:right w:val="single" w:sz="6" w:space="0" w:color="A6ACAF"/>
            </w:tcBorders>
          </w:tcPr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787878"/>
                <w:sz w:val="18"/>
              </w:rPr>
              <w:t xml:space="preserve"> 1  </w:t>
            </w:r>
            <w:r>
              <w:rPr>
                <w:rFonts w:ascii="Consolas" w:hAnsi="Consolas"/>
                <w:color w:val="212121"/>
                <w:sz w:val="18"/>
              </w:rPr>
              <w:t>Classification summary: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787878"/>
                <w:sz w:val="18"/>
              </w:rPr>
              <w:t xml:space="preserve"> 2  </w:t>
            </w:r>
            <w:r>
              <w:rPr>
                <w:rFonts w:ascii="Consolas" w:hAnsi="Consolas"/>
                <w:color w:val="212121"/>
                <w:sz w:val="18"/>
              </w:rPr>
              <w:t xml:space="preserve">  - Manage Closely: 4 stakeholder(s)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787878"/>
                <w:sz w:val="18"/>
              </w:rPr>
              <w:t xml:space="preserve"> 3  </w:t>
            </w:r>
            <w:r>
              <w:rPr>
                <w:rFonts w:ascii="Consolas" w:hAnsi="Consolas"/>
                <w:color w:val="212121"/>
                <w:sz w:val="18"/>
              </w:rPr>
              <w:t xml:space="preserve">  - Monitor: 2 stakeholder(s)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787878"/>
                <w:sz w:val="18"/>
              </w:rPr>
              <w:t xml:space="preserve"> 4  </w:t>
            </w:r>
            <w:r>
              <w:rPr>
                <w:rFonts w:ascii="Consolas" w:hAnsi="Consolas"/>
                <w:color w:val="212121"/>
                <w:sz w:val="18"/>
              </w:rPr>
              <w:t xml:space="preserve">  - Keep Informed: 2 stakeholder(s)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787878"/>
                <w:sz w:val="18"/>
              </w:rPr>
              <w:t xml:space="preserve"> 5  </w:t>
            </w:r>
            <w:r>
              <w:rPr>
                <w:rFonts w:ascii="Consolas" w:hAnsi="Consolas"/>
                <w:color w:val="212121"/>
                <w:sz w:val="18"/>
              </w:rPr>
              <w:t>[OK] Exported: stakeholder_register.md</w:t>
            </w:r>
          </w:p>
        </w:tc>
      </w:tr>
    </w:tbl>
    <w:p>
      <w:pPr>
        <w:spacing w:before="80" w:after="240"/>
        <w:jc w:val="center"/>
      </w:pPr>
      <w:r>
        <w:rPr>
          <w:rFonts w:ascii="Times New Roman" w:hAnsi="Times New Roman"/>
          <w:i/>
          <w:color w:val="464646"/>
          <w:sz w:val="19"/>
        </w:rPr>
        <w:t>Listing 1: Console output from stakeholder_register.py</w:t>
      </w:r>
    </w:p>
    <w:p>
      <w:r>
        <w:br w:type="page"/>
      </w:r>
    </w:p>
    <w:p>
      <w:pPr>
        <w:pStyle w:val="Heading1"/>
        <w:spacing w:before="200" w:after="120"/>
      </w:pPr>
      <w:r>
        <w:rPr>
          <w:rFonts w:ascii="Times New Roman" w:hAnsi="Times New Roman"/>
          <w:b/>
          <w:color w:val="0B4F8A"/>
          <w:sz w:val="28"/>
        </w:rPr>
        <w:t>4  Extension Code</w:t>
      </w:r>
    </w:p>
    <w:p>
      <w:pPr>
        <w:spacing w:after="160" w:line="288" w:lineRule="auto"/>
      </w:pPr>
      <w:r>
        <w:rPr>
          <w:rFonts w:ascii="Times New Roman" w:hAnsi="Times New Roman"/>
          <w:color w:val="212121"/>
          <w:sz w:val="21"/>
        </w:rPr>
        <w:t>The author added an export_to_csv() function and an assert unit test suite checking classify() against all 4 boundary combinations of the Power/Interest Grid: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A6ACAF"/>
              <w:left w:val="single" w:sz="6" w:space="0" w:color="A6ACAF"/>
              <w:bottom w:val="single" w:sz="6" w:space="0" w:color="A6ACAF"/>
              <w:right w:val="single" w:sz="6" w:space="0" w:color="A6ACAF"/>
            </w:tcBorders>
          </w:tcPr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787878"/>
                <w:sz w:val="18"/>
              </w:rPr>
              <w:t xml:space="preserve"> 1  </w:t>
            </w:r>
            <w:r>
              <w:rPr>
                <w:rFonts w:ascii="Consolas" w:hAnsi="Consolas"/>
                <w:color w:val="212121"/>
                <w:sz w:val="18"/>
              </w:rPr>
              <w:t>def test_classify():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787878"/>
                <w:sz w:val="18"/>
              </w:rPr>
              <w:t xml:space="preserve"> 2  </w:t>
            </w:r>
            <w:r>
              <w:rPr>
                <w:rFonts w:ascii="Consolas" w:hAnsi="Consolas"/>
                <w:color w:val="212121"/>
                <w:sz w:val="18"/>
              </w:rPr>
              <w:t xml:space="preserve">    assert classify({"InfluenceLevel": "High", "PriorityLevel": "High"}) == \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787878"/>
                <w:sz w:val="18"/>
              </w:rPr>
              <w:t xml:space="preserve"> 3  </w:t>
            </w:r>
            <w:r>
              <w:rPr>
                <w:rFonts w:ascii="Consolas" w:hAnsi="Consolas"/>
                <w:color w:val="212121"/>
                <w:sz w:val="18"/>
              </w:rPr>
              <w:t xml:space="preserve">        "Manage Closely"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787878"/>
                <w:sz w:val="18"/>
              </w:rPr>
              <w:t xml:space="preserve"> 4  </w:t>
            </w:r>
            <w:r>
              <w:rPr>
                <w:rFonts w:ascii="Consolas" w:hAnsi="Consolas"/>
                <w:color w:val="212121"/>
                <w:sz w:val="18"/>
              </w:rPr>
              <w:t xml:space="preserve">    assert classify({"InfluenceLevel": "High", "PriorityLevel": "Low"}) == \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787878"/>
                <w:sz w:val="18"/>
              </w:rPr>
              <w:t xml:space="preserve"> 5  </w:t>
            </w:r>
            <w:r>
              <w:rPr>
                <w:rFonts w:ascii="Consolas" w:hAnsi="Consolas"/>
                <w:color w:val="212121"/>
                <w:sz w:val="18"/>
              </w:rPr>
              <w:t xml:space="preserve">        "Keep Satisfied"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787878"/>
                <w:sz w:val="18"/>
              </w:rPr>
              <w:t xml:space="preserve"> 6  </w:t>
            </w:r>
            <w:r>
              <w:rPr>
                <w:rFonts w:ascii="Consolas" w:hAnsi="Consolas"/>
                <w:color w:val="212121"/>
                <w:sz w:val="18"/>
              </w:rPr>
              <w:t xml:space="preserve">    assert classify({"InfluenceLevel": "Low", "PriorityLevel": "High"}) == \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787878"/>
                <w:sz w:val="18"/>
              </w:rPr>
              <w:t xml:space="preserve"> 7  </w:t>
            </w:r>
            <w:r>
              <w:rPr>
                <w:rFonts w:ascii="Consolas" w:hAnsi="Consolas"/>
                <w:color w:val="212121"/>
                <w:sz w:val="18"/>
              </w:rPr>
              <w:t xml:space="preserve">        "Keep Informed"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787878"/>
                <w:sz w:val="18"/>
              </w:rPr>
              <w:t xml:space="preserve"> 8  </w:t>
            </w:r>
            <w:r>
              <w:rPr>
                <w:rFonts w:ascii="Consolas" w:hAnsi="Consolas"/>
                <w:color w:val="212121"/>
                <w:sz w:val="18"/>
              </w:rPr>
              <w:t xml:space="preserve">    assert classify({"InfluenceLevel": "Low", "PriorityLevel": "Low"}) == \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787878"/>
                <w:sz w:val="18"/>
              </w:rPr>
              <w:t xml:space="preserve"> 9  </w:t>
            </w:r>
            <w:r>
              <w:rPr>
                <w:rFonts w:ascii="Consolas" w:hAnsi="Consolas"/>
                <w:color w:val="212121"/>
                <w:sz w:val="18"/>
              </w:rPr>
              <w:t xml:space="preserve">        "Monitor"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787878"/>
                <w:sz w:val="18"/>
              </w:rPr>
              <w:t xml:space="preserve">10  </w:t>
            </w:r>
            <w:r>
              <w:rPr>
                <w:rFonts w:ascii="Consolas" w:hAnsi="Consolas"/>
                <w:color w:val="212121"/>
                <w:sz w:val="18"/>
              </w:rPr>
              <w:t xml:space="preserve">    print("All tests PASS")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787878"/>
                <w:sz w:val="18"/>
              </w:rPr>
              <w:t xml:space="preserve">11  </w:t>
            </w:r>
            <w:r>
              <w:rPr>
                <w:rFonts w:ascii="Consolas" w:hAnsi="Consolas"/>
                <w:color w:val="212121"/>
                <w:sz w:val="18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787878"/>
                <w:sz w:val="18"/>
              </w:rPr>
              <w:t xml:space="preserve">12  </w:t>
            </w:r>
            <w:r>
              <w:rPr>
                <w:rFonts w:ascii="Consolas" w:hAnsi="Consolas"/>
                <w:color w:val="212121"/>
                <w:sz w:val="18"/>
              </w:rPr>
              <w:t>test_classify()</w:t>
            </w:r>
          </w:p>
        </w:tc>
      </w:tr>
    </w:tbl>
    <w:p>
      <w:pPr>
        <w:spacing w:before="80" w:after="240"/>
        <w:jc w:val="center"/>
      </w:pPr>
      <w:r>
        <w:rPr>
          <w:rFonts w:ascii="Times New Roman" w:hAnsi="Times New Roman"/>
          <w:i/>
          <w:color w:val="464646"/>
          <w:sz w:val="19"/>
        </w:rPr>
        <w:t>Listing 2: Test suite checking classify() boundary cases</w:t>
      </w:r>
    </w:p>
    <w:p>
      <w:pPr>
        <w:pStyle w:val="Heading1"/>
        <w:spacing w:before="280" w:after="120"/>
      </w:pPr>
      <w:r>
        <w:rPr>
          <w:rFonts w:ascii="Times New Roman" w:hAnsi="Times New Roman"/>
          <w:b/>
          <w:color w:val="0B4F8A"/>
          <w:sz w:val="28"/>
        </w:rPr>
        <w:t>5  Self-assessment Against Grading Criteria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F8C8D"/>
          <w:bottom w:val="single" w:sz="6" w:space="0" w:color="7F8C8D"/>
          <w:insideH w:val="single" w:sz="6" w:space="0" w:color="7F8C8D"/>
          <w:insideV w:val="single" w:sz="6" w:space="0" w:color="7F8C8D"/>
          <w:left w:val="single" w:sz="6" w:space="0" w:color="7F8C8D"/>
          <w:right w:val="single" w:sz="6" w:space="0" w:color="7F8C8D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fill="EAECE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212121"/>
                <w:sz w:val="19"/>
              </w:rPr>
              <w:t>Criterion</w:t>
            </w:r>
          </w:p>
        </w:tc>
        <w:tc>
          <w:tcPr>
            <w:tcW w:type="dxa" w:w="1296"/>
            <w:shd w:fill="EAECE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212121"/>
                <w:sz w:val="19"/>
              </w:rPr>
              <w:t>Max</w:t>
            </w:r>
          </w:p>
        </w:tc>
        <w:tc>
          <w:tcPr>
            <w:tcW w:type="dxa" w:w="1296"/>
            <w:shd w:fill="EAECE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212121"/>
                <w:sz w:val="19"/>
              </w:rPr>
              <w:t>Self-score</w:t>
            </w:r>
          </w:p>
        </w:tc>
        <w:tc>
          <w:tcPr>
            <w:tcW w:type="dxa" w:w="3168"/>
            <w:shd w:fill="EAECE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212121"/>
                <w:sz w:val="19"/>
              </w:rPr>
              <w:t>Notes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212121"/>
                <w:sz w:val="18"/>
              </w:rPr>
              <w:t>Complete, clear Project Charter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212121"/>
                <w:sz w:val="19"/>
              </w:rPr>
              <w:t>2.0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212121"/>
                <w:sz w:val="19"/>
              </w:rPr>
              <w:t>2.0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212121"/>
                <w:sz w:val="18"/>
              </w:rPr>
              <w:t>All 4 sections present with distinct metrics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212121"/>
                <w:sz w:val="18"/>
              </w:rPr>
              <w:t>Accurate stakeholder classification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212121"/>
                <w:sz w:val="19"/>
              </w:rPr>
              <w:t>3.0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212121"/>
                <w:sz w:val="19"/>
              </w:rPr>
              <w:t>3.0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212121"/>
                <w:sz w:val="18"/>
              </w:rPr>
              <w:t>Matches automated script output 100%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212121"/>
                <w:sz w:val="18"/>
              </w:rPr>
              <w:t>Script runs correctly, no errors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212121"/>
                <w:sz w:val="19"/>
              </w:rPr>
              <w:t>3.0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212121"/>
                <w:sz w:val="19"/>
              </w:rPr>
              <w:t>3.0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212121"/>
                <w:sz w:val="18"/>
              </w:rPr>
              <w:t>Verified with 4 assert unit tests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212121"/>
                <w:sz w:val="18"/>
              </w:rPr>
              <w:t>Report quality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212121"/>
                <w:sz w:val="19"/>
              </w:rPr>
              <w:t>2.0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212121"/>
                <w:sz w:val="19"/>
              </w:rPr>
              <w:t>2.0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212121"/>
                <w:sz w:val="18"/>
              </w:rPr>
              <w:t>Clean formatting, matching sample template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F2F4F4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212121"/>
                <w:sz w:val="18"/>
              </w:rPr>
              <w:t>Total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2F4F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212121"/>
                <w:sz w:val="19"/>
              </w:rPr>
              <w:t>10.0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2F4F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212121"/>
                <w:sz w:val="19"/>
              </w:rPr>
              <w:t>10.0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2F4F4"/>
          </w:tcPr>
          <w:p>
            <w:pPr>
              <w:spacing w:after="0"/>
            </w:pPr>
            <w:r>
              <w:rPr>
                <w:rFonts w:ascii="Times New Roman" w:hAnsi="Times New Roman"/>
                <w:color w:val="212121"/>
                <w:sz w:val="18"/>
              </w:rPr>
              <w:t>Fully achieved all Lab 01 requirements</w:t>
            </w:r>
          </w:p>
        </w:tc>
      </w:tr>
    </w:tbl>
    <w:p>
      <w:pPr>
        <w:spacing w:after="160"/>
      </w:pPr>
    </w:p>
    <w:p>
      <w:pPr>
        <w:pStyle w:val="Heading1"/>
        <w:spacing w:before="240" w:after="120"/>
      </w:pPr>
      <w:r>
        <w:rPr>
          <w:rFonts w:ascii="Times New Roman" w:hAnsi="Times New Roman"/>
          <w:b/>
          <w:color w:val="0B4F8A"/>
          <w:sz w:val="28"/>
        </w:rPr>
        <w:t>6  Conclusion</w:t>
      </w:r>
    </w:p>
    <w:p>
      <w:pPr>
        <w:spacing w:after="240" w:line="288" w:lineRule="auto"/>
      </w:pPr>
      <w:r>
        <w:rPr>
          <w:rFonts w:ascii="Times New Roman" w:hAnsi="Times New Roman"/>
          <w:color w:val="212121"/>
          <w:sz w:val="21"/>
        </w:rPr>
        <w:t>The author fully achieved the Lab 1 objectives and now has a classified stakeholder dataset ready for reuse in Lab 2 (elicitation prioritized by stakeholder group).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</w:pPr>
    <w:r>
      <w:rPr>
        <w:rFonts w:ascii="Times New Roman" w:hAnsi="Times New Roman"/>
        <w:color w:val="787878"/>
        <w:sz w:val="18"/>
      </w:rPr>
      <w:t>School of Information Systems – Phenikaa University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40"/>
    </w:pPr>
    <w:r>
      <w:rPr>
        <w:rFonts w:ascii="Times New Roman" w:hAnsi="Times New Roman"/>
        <w:color w:val="787878"/>
        <w:sz w:val="18"/>
      </w:rPr>
      <w:t>CSE703095 – Software Requirements</w:t>
    </w:r>
    <w:r>
      <w:rPr>
        <w:rFonts w:ascii="Times New Roman" w:hAnsi="Times New Roman"/>
        <w:color w:val="787878"/>
        <w:sz w:val="18"/>
      </w:rPr>
      <w:tab/>
      <w:t>Lab 1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