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3366"/>
          <w:sz w:val="26"/>
        </w:rPr>
        <w:t>PHENIKAA UNIVERSITY</w:t>
        <w:br/>
        <w:t>SCHOOL OF INFORMATION SYSTEMS</w:t>
      </w:r>
    </w:p>
    <w:p>
      <w:pPr>
        <w:spacing w:after="360"/>
        <w:jc w:val="center"/>
      </w:pPr>
      <w:r>
        <w:rPr>
          <w:b/>
          <w:color w:val="464646"/>
          <w:sz w:val="22"/>
        </w:rPr>
        <w:t>COURSE: CSE703095 — SOFTWARE REQUIREMENTS</w:t>
      </w:r>
    </w:p>
    <w:p>
      <w:pPr>
        <w:spacing w:after="160"/>
        <w:jc w:val="center"/>
      </w:pPr>
      <w:r>
        <w:rPr>
          <w:b/>
          <w:color w:val="003366"/>
          <w:sz w:val="36"/>
        </w:rPr>
        <w:t>LAB 06: NON-FUNCTIONAL REQUIREMENTS &amp;</w:t>
        <w:br/>
        <w:t>STOCHASTIC SIMULATION REPORT</w:t>
      </w:r>
    </w:p>
    <w:p>
      <w:pPr>
        <w:spacing w:after="480"/>
        <w:jc w:val="center"/>
      </w:pPr>
      <w:r>
        <w:rPr>
          <w:i/>
          <w:color w:val="5A5A5A"/>
          <w:sz w:val="21"/>
        </w:rPr>
        <w:t>Case Study: MedBook – Online Medical Appointment Booking System</w:t>
        <w:br/>
        <w:t>Group: Group 06 | Date of Submission: October 25, 2026</w:t>
      </w:r>
    </w:p>
    <w:p>
      <w:pPr>
        <w:pStyle w:val="Heading2"/>
      </w:pPr>
      <w:r>
        <w:t>Project Team &amp; RACI Assignment Matrix</w:t>
      </w:r>
    </w:p>
    <w:p>
      <w:pPr>
        <w:spacing w:after="160"/>
      </w:pPr>
      <w:r>
        <w:t>The project tasks were formally allocated according to the RACI governance model: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Member Name</w:t>
            </w:r>
          </w:p>
        </w:tc>
        <w:tc>
          <w:tcPr>
            <w:tcW w:type="dxa" w:w="2340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Assigned Role</w:t>
            </w:r>
          </w:p>
        </w:tc>
        <w:tc>
          <w:tcPr>
            <w:tcW w:type="dxa" w:w="2340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RACI Responsibility</w:t>
            </w:r>
          </w:p>
        </w:tc>
        <w:tc>
          <w:tcPr>
            <w:tcW w:type="dxa" w:w="2340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Core Deliverables &amp; Focus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Hồ Điền Hùng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Member 1 (Leader)</w:t>
              <w:br/>
              <w:t>System Analyst &amp; Dev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Accountable &amp;</w:t>
              <w:br/>
              <w:t>Responsible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ISO/IEC 25010 Classification, Self-chosen NFR-002 mathematical modeling &amp; Python simulator extension (nfr_validator.py).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Trần Doãn Việt Anh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Member 2</w:t>
              <w:br/>
              <w:t>Simulation &amp; Data Analyst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Responsible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Baseline execution (NFR-001/007, seed=42), empirical measurement analysis, theoretical essay 'Why a Fixed Seed Matters' &amp; multi-seed verification.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Cấn Đại Dương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Member 3</w:t>
              <w:br/>
              <w:t>Technical Writer &amp; QA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Responsible &amp;</w:t>
              <w:br/>
              <w:t>Quality Assurer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Report integration, academic formatting, results consolidation, Self-Assessment Rubric scoring (10.0/10.0) &amp; deliverable verification.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Task 1: ISO/IEC 25010 Quality Model Classification</w:t>
      </w:r>
    </w:p>
    <w:p>
      <w:pPr>
        <w:spacing w:line="276" w:lineRule="auto" w:after="160"/>
      </w:pPr>
      <w:r>
        <w:t>The ISO/IEC 25010 standard defines a software product quality model comprising 8 primary characteristics: Performance Efficiency, Compatibility, Usability, Reliability, Security, Maintainability, Flexibility/Portability, and Functional Suitability. In medical scheduling architectures such as MedBook, ambiguous non-functional statements create severe engineering risks. Therefore, each requirement from the project dataset (datasets/nonfunctional_requirements.csv) is mapped onto the ISO/IEC 25010 taxonomy and quantified via SMART (Specific, Measurable, Achievable, Relevant, Time-bound) criteria.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NFR ID</w:t>
            </w:r>
          </w:p>
        </w:tc>
        <w:tc>
          <w:tcPr>
            <w:tcW w:type="dxa" w:w="117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17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SMART Measurement Criterion</w:t>
            </w:r>
          </w:p>
        </w:tc>
        <w:tc>
          <w:tcPr>
            <w:tcW w:type="dxa" w:w="117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ISO 25010 Primary</w:t>
            </w:r>
          </w:p>
        </w:tc>
        <w:tc>
          <w:tcPr>
            <w:tcW w:type="dxa" w:w="117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Sub-characteristic</w:t>
            </w:r>
          </w:p>
        </w:tc>
        <w:tc>
          <w:tcPr>
            <w:tcW w:type="dxa" w:w="117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17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</w:t>
            </w:r>
          </w:p>
        </w:tc>
        <w:tc>
          <w:tcPr>
            <w:tcW w:type="dxa" w:w="117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Engineering Justification</w:t>
            </w:r>
          </w:p>
        </w:tc>
      </w:tr>
      <w:tr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NFR-001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Doctor-search page response time &lt;= 2s with 500 concurrent users.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Performance Efficiency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Time Behaviour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Load testing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Guarantees search response latency stays sub-second under peak clinic booking hours.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NFR-002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The system shall achieve &gt;= 99.5% monthly uptime (excluding scheduled maintenance).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30-day uptime monitoring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Assures continuous patient booking readiness around the clock without unhandled outages.</w:t>
            </w:r>
          </w:p>
        </w:tc>
      </w:tr>
      <w:tr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NFR-003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Medical record data shall be encrypted with AES-256 at rest and TLS 1.2+ in transit.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Confidentiality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Config review + pen test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Guarantees patient electronic medical records remain invulnerable to packet eavesdropping.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NFR-004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Data privacy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The system shall follow data-minimization principles for personal data.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Confidentiality / Accountability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Compliance checklist review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Strictly confines patient identifiable data to what is legally and clinically required.</w:t>
            </w:r>
          </w:p>
        </w:tc>
      </w:tr>
      <w:tr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NFR-005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The system shall handle 3x booking volume growth over 12 months without architecture changes.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Performance Efficiency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Capacity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Incremental load testing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Med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Assesses horizontal database indexing and server cluster capacity during business growth.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NFR-006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 first-time user shall complete their first booking in &lt;= 3 minutes without guidance.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Usability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Learnability / Operability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Usability user testing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Med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Validates intuitive patient navigation across booking wizard steps without cognitive friction.</w:t>
            </w:r>
          </w:p>
        </w:tc>
      </w:tr>
      <w:tr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NFR-007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The system shall raise a conflict warning within &lt;= 1 second when a doctor double-booking is detected.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Reliability / Safety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Fault Tolerance / Time Behaviour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Conflict scenario testing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Prevents concurrent double-booking race conditions through rapid transactional validation.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NFR-008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Recoverability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The system shall recover booking data within 15 minutes after an incident (RPO &lt;= 5min, RTO &lt;= 15min).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Recoverability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Disaster-recovery drill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Enforces automated database replica failover with minimal transaction data loss.</w:t>
            </w:r>
          </w:p>
        </w:tc>
      </w:tr>
      <w:tr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NFR-009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Source code shall achieve &gt;= 80% unit-test coverage for the booking module.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Maintainability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Testability / Modifiability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CI coverage report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Med</w:t>
            </w:r>
          </w:p>
        </w:tc>
        <w:tc>
          <w:tcPr>
            <w:tcW w:type="dxa" w:w="1170"/>
            <w:shd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Guarantees high test harness coverage, enabling safe agile refactoring in core booking code.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NFR-010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Compatibility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The UI shall work correctly on Chrome, Safari, Edge versions released in the last 2 years.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Compatibility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Interoperability / Co-existence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Cross-browser testing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Ensures front-end layout fidelity and client script execution across major browser runtimes.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2. Task 2: Baseline Simulation &amp; Experimental Foundation</w:t>
      </w:r>
    </w:p>
    <w:p>
      <w:pPr>
        <w:spacing w:line="276" w:lineRule="auto" w:after="160"/>
      </w:pPr>
      <w:r>
        <w:t>To empirically validate high-priority NFRs, stochastic simulation was implemented in Python using a fixed seed (seed=42). The baseline verification script evaluates two critical operational thresholds:</w:t>
        <w:br/>
        <w:t>• NFR-001 (Doctor search latency under 500 concurrent users): p95 &lt;= 2000 ms.</w:t>
        <w:br/>
        <w:t>• NFR-007 (Double-booking conflict detection safety): p99 &lt;= 1.0 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19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_results_nfr001_nfr0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1: Stochastic Simulation Distributions for NFR-001 (p95=1233ms) and NFR-007 (p99=0.824s)</w:t>
      </w:r>
    </w:p>
    <w:p>
      <w:pPr>
        <w:pStyle w:val="Heading2"/>
      </w:pPr>
      <w:r>
        <w:t>Deep-Dive Treatise: Why a Fixed Seed Matters</w:t>
      </w:r>
    </w:p>
    <w:p>
      <w:r>
        <w:rPr>
          <w:i/>
          <w:color w:val="5A5A5A"/>
          <w:sz w:val="19"/>
        </w:rPr>
        <w:t>Author: Trần Doãn Việt Anh (Member 2 — Simulation &amp; Data Analyst)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003366"/>
                <w:sz w:val="20"/>
              </w:rPr>
              <w:t>Treatise: Scientific and Engineering Significance of Fixed Seed (random.seed(42))</w:t>
              <w:br/>
            </w:r>
            <w:r>
              <w:rPr>
                <w:color w:val="212529"/>
                <w:sz w:val="19"/>
              </w:rPr>
              <w:t>Stochastic NFR simulations do not observe a live clinic; they draw latency and detection times from a pseudo-random generator. Python’s random module is a deterministic Mersenne Twister. Calling random.seed(42) writes a known internal state, so every later random.random() and random.uniform() call is a pure function of that state and of the algorithm. The doctor-search load test (NFR-001, n = 500) and the double-booking detection test (NFR-007, n = 200) therefore become repeatable experiments rather than one-off anecdotes.</w:t>
              <w:br/>
              <w:br/>
              <w:t>1. Reproducibility: With seed 42, any machine that re-runs the validator obtains the identical statistics: NFR-001 p50 = 835 ms, p95 = 1233 ms, max = 2459 ms, and NFR-007 p99 = 0.824 s. Both meet their SMART thresholds (p95 &lt;= 2000 ms; p99 &lt;= 1.0 s) and are recorded as PASS. If the seed were omitted, a later execution could shift tail percentiles purely by chance, making 'PASS/FAIL' untrustworthy.</w:t>
              <w:br/>
              <w:br/>
              <w:t>2. Peer Review: Instructors and testers can execute the same script and match published figures sample-for-sample. A shared seed prevents cherry-picking a lucky draw and turns the report into an inspectable artifact: disagreement indicates a code or environment difference, not chance.</w:t>
              <w:br/>
              <w:br/>
              <w:t>3. Baseline Comparison: Seed 42 freezes the control condition for future optimization. Caching, indexing, or a faster conflict check can be judged only if the random stream is held constant; otherwise a drop in p95 might be luck. Independent multi-seed trials show that PASS is not an artifact of 42 alone, but the official baseline stays locked so that before/after deltas are attributable to the system, not the generator.</w:t>
            </w:r>
          </w:p>
        </w:tc>
      </w:tr>
    </w:tbl>
    <w:p/>
    <w:p>
      <w:pPr>
        <w:pStyle w:val="Heading2"/>
      </w:pPr>
      <w:r>
        <w:t>Multi-Seed Sensitivity and Stability Analysis</w:t>
      </w:r>
    </w:p>
    <w:p>
      <w:pPr>
        <w:spacing w:line="276" w:lineRule="auto" w:after="240"/>
      </w:pPr>
      <w:r>
        <w:t>To confirm that the PASS verdict is robust and not an artifact of seed 42, Member 2 evaluated 5 diverse seeds (seeds ∈ {1, 7, 42, 100, 2026}). Across all runs, NFR-001 p95 remained tightly bounded between 1231.5 ms and 1236.1 ms (mean 1232.9 ms, σ = 1.7 ms), while NFR-007 p99 ranged from 0.824 s to 0.845 s (mean 0.837 s, σ = 0.007 s). Both achieved a 100% PASS rate across all random streams.</w:t>
      </w:r>
    </w:p>
    <w:p>
      <w:pPr>
        <w:pStyle w:val="Heading1"/>
        <w:spacing w:before="280" w:after="120"/>
      </w:pPr>
      <w:r>
        <w:t>3. Task 3: Self-Chosen NFR Modeling &amp; Simulation (NFR-002)</w:t>
      </w:r>
    </w:p>
    <w:p>
      <w:pPr>
        <w:spacing w:line="276" w:lineRule="auto" w:after="160"/>
      </w:pPr>
      <w:r>
        <w:t>Requirement Selection: NFR-002 (System Availability) was chosen by Member 1 (Hồ Điền Hùng) for comprehensive mathematical modeling and simulation extension. The SMART criterion dictates: 'The system shall achieve &gt;= 99.5% monthly uptime (excluding scheduled maintenance).'</w:t>
        <w:br/>
        <w:br/>
        <w:t>Mathematical Scenario Formulation:</w:t>
        <w:br/>
        <w:t>• Operating Window: 30 continuous operational days (T_total = 30 * 24 * 60 = 43,200 minutes).</w:t>
        <w:br/>
        <w:t>• Incident Process: Each day d ∈ {1..30} faces an unhandled service incident modeled as a Bernoulli random variable with p_incident = 0.008 (approx. 0.8% failure probability per day).</w:t>
        <w:br/>
        <w:t>• Downtime Distribution: Unscheduled incident downtime duration D_i is sampled from Uniform(15, 90) minutes, representing container restarts and database replica promotions.</w:t>
        <w:br/>
        <w:t>• Uptime Percentage: Computed as 100 * (43,200 - ∑ D_i) / 43,200. Target threshold &gt;= 99.50%.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003366"/>
                <w:sz w:val="20"/>
              </w:rPr>
              <w:t>Listing 1: Python Simulation Algorithm for NFR-002 (simulate_availability)</w:t>
              <w:br/>
            </w:r>
            <w:r>
              <w:rPr>
                <w:color w:val="212529"/>
                <w:sz w:val="19"/>
              </w:rPr>
              <w:t>def simulate_availability(days=30, p_incident=0.008, seed=42):</w:t>
              <w:br/>
              <w:t xml:space="preserve">    random.seed(seed)</w:t>
              <w:br/>
              <w:t xml:space="preserve">    total_minutes = days * 24 * 60  # 43,200 minutes</w:t>
              <w:br/>
              <w:t xml:space="preserve">    downtime = 0.0</w:t>
              <w:br/>
              <w:t xml:space="preserve">    incident_log = []</w:t>
              <w:br/>
              <w:t xml:space="preserve">    for day in range(1, days + 1):</w:t>
              <w:br/>
              <w:t xml:space="preserve">        if random.random() &lt; p_incident:</w:t>
              <w:br/>
              <w:t xml:space="preserve">            duration = random.uniform(15.0, 90.0)</w:t>
              <w:br/>
              <w:t xml:space="preserve">            downtime += duration</w:t>
              <w:br/>
              <w:t xml:space="preserve">            incident_log.append({'day': day, 'duration_min': round(duration, 2)})</w:t>
              <w:br/>
              <w:t xml:space="preserve">    uptime_pct = 100.0 * (total_minutes - downtime) / total_minutes</w:t>
              <w:br/>
              <w:t xml:space="preserve">    return {'uptime_pct': uptime_pct, 'downtime_minutes': downtime, 'pass': uptime_pct &gt;= 99.5}</w:t>
            </w:r>
          </w:p>
        </w:tc>
      </w:tr>
    </w:tbl>
    <w:p/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19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_availability_and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2: 30-Day Platform Uptime Breakdown (99.83% PASS) and Multi-Seed Stability Verification</w:t>
      </w:r>
    </w:p>
    <w:p>
      <w:pPr>
        <w:spacing w:line="276" w:lineRule="auto" w:after="240"/>
      </w:pPr>
      <w:r>
        <w:t>Simulation Execution Result: Under the baseline seed 42, exactly one incident occurred on Day 20 with a duration of 75.44 minutes. Total operational uptime reached 99.83% (43,124.56 minutes operational), safely exceeding the 99.50% requirement by +0.33%. The allowable monthly error budget is 216 minutes; consuming only 75.44 minutes leaves 65.1% of the safety buffer intact.</w:t>
      </w:r>
    </w:p>
    <w:p>
      <w:pPr>
        <w:pStyle w:val="Heading1"/>
        <w:spacing w:before="280" w:after="120"/>
      </w:pPr>
      <w:r>
        <w:t>4. Task 4: Consolidated Simulation Results &amp; Verification Synthesis</w:t>
      </w:r>
    </w:p>
    <w:p>
      <w:pPr>
        <w:spacing w:line="276" w:lineRule="auto" w:after="160"/>
      </w:pPr>
      <w:r>
        <w:t>The table below consolidates all empirical simulation findings across the MedBook non-functional requirement test harness. All three evaluated NFRs have achieved 100% compliance with established benchmarks.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NFR ID</w:t>
            </w:r>
          </w:p>
        </w:tc>
        <w:tc>
          <w:tcPr>
            <w:tcW w:type="dxa" w:w="156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Quality Characteristic</w:t>
            </w:r>
          </w:p>
        </w:tc>
        <w:tc>
          <w:tcPr>
            <w:tcW w:type="dxa" w:w="156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Metric</w:t>
            </w:r>
          </w:p>
        </w:tc>
        <w:tc>
          <w:tcPr>
            <w:tcW w:type="dxa" w:w="156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Empirical Value</w:t>
            </w:r>
          </w:p>
        </w:tc>
        <w:tc>
          <w:tcPr>
            <w:tcW w:type="dxa" w:w="156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Benchmark</w:t>
            </w:r>
          </w:p>
        </w:tc>
        <w:tc>
          <w:tcPr>
            <w:tcW w:type="dxa" w:w="156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NFR-001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Performance Efficiency (Time Behaviour)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Doctor search p95 latency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1233 ms (p50=835ms, max=2459ms)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p95 &lt;= 2000 ms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8A745"/>
                <w:sz w:val="17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NFR-007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Reliability / Safety (Fault Tolerance)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Conflict detection p99 time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0.824 s (n=200 trials)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p99 &lt;= 1.0 s</w:t>
            </w:r>
          </w:p>
        </w:tc>
        <w:tc>
          <w:tcPr>
            <w:tcW w:type="dxa" w:w="15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8A745"/>
                <w:sz w:val="17"/>
              </w:rPr>
              <w:t>PASS</w:t>
            </w:r>
          </w:p>
        </w:tc>
      </w:tr>
      <w:tr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NFR-002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Reliability (Availability)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30-day operational uptime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99.83% (downtime=75.44 min)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Uptime &gt;= 99.50%</w:t>
            </w:r>
          </w:p>
        </w:tc>
        <w:tc>
          <w:tcPr>
            <w:tcW w:type="dxa" w:w="156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8A745"/>
                <w:sz w:val="17"/>
              </w:rPr>
              <w:t>PASS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5. Task 5: Self-Assessment Rubric &amp; Quality Gate Verification</w:t>
      </w:r>
    </w:p>
    <w:p>
      <w:pPr>
        <w:spacing w:line="276" w:lineRule="auto" w:after="160"/>
      </w:pPr>
      <w:r>
        <w:t>In accordance with course grading guidelines, Group 06 has conducted a rigorous self-assessment across all four rubric criteria. The project has achieved an exemplary score of 10.0 / 10.0.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34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 Score</w:t>
            </w:r>
          </w:p>
        </w:tc>
        <w:tc>
          <w:tcPr>
            <w:tcW w:type="dxa" w:w="234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Self Score</w:t>
            </w:r>
          </w:p>
        </w:tc>
        <w:tc>
          <w:tcPr>
            <w:tcW w:type="dxa" w:w="2340"/>
            <w:shd w:fill="003366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Detailed Engineering Notes &amp; Evidence</w:t>
            </w:r>
          </w:p>
        </w:tc>
      </w:tr>
      <w:tr>
        <w:tc>
          <w:tcPr>
            <w:tcW w:type="dxa" w:w="234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ISO 25010 classification</w:t>
            </w:r>
          </w:p>
        </w:tc>
        <w:tc>
          <w:tcPr>
            <w:tcW w:type="dxa" w:w="234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2.0</w:t>
            </w:r>
          </w:p>
        </w:tc>
        <w:tc>
          <w:tcPr>
            <w:tcW w:type="dxa" w:w="234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2.0</w:t>
            </w:r>
          </w:p>
        </w:tc>
        <w:tc>
          <w:tcPr>
            <w:tcW w:type="dxa" w:w="234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All 10 NFRs comprehensively mapped onto primary &amp; sub-characteristics with detailed architectural rationales.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NFR-001, NFR-007 simulation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2.5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2.5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Baseline executed with seed=42; 3-pillar theoretical essay completed; multi-seed validation demonstrates 100% stability.</w:t>
            </w:r>
          </w:p>
        </w:tc>
      </w:tr>
      <w:tr>
        <w:tc>
          <w:tcPr>
            <w:tcW w:type="dxa" w:w="234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Self-chosen NFR + simulation</w:t>
            </w:r>
          </w:p>
        </w:tc>
        <w:tc>
          <w:tcPr>
            <w:tcW w:type="dxa" w:w="234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234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type="dxa" w:w="2340"/>
            <w:shd w:fill="F9FBF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NFR-002 mathematically modeled using Bernoulli &amp; Uniform processes; Python function implemented and verified (99.83% PASS).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Presentation &amp; Formatting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2.5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2.5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Report strictly adheres to Phenikaa University academic format, including data visualizations, math notation, and multi-format exports.</w:t>
            </w:r>
          </w:p>
        </w:tc>
      </w:tr>
      <w:tr>
        <w:tc>
          <w:tcPr>
            <w:tcW w:type="dxa" w:w="2340"/>
            <w:shd w:fill="EBF3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Total Score</w:t>
            </w:r>
          </w:p>
        </w:tc>
        <w:tc>
          <w:tcPr>
            <w:tcW w:type="dxa" w:w="2340"/>
            <w:shd w:fill="EBF3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10.0</w:t>
            </w:r>
          </w:p>
        </w:tc>
        <w:tc>
          <w:tcPr>
            <w:tcW w:type="dxa" w:w="2340"/>
            <w:shd w:fill="EBF3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3366"/>
                <w:sz w:val="17"/>
              </w:rPr>
              <w:t>10.0 / 10.0</w:t>
            </w:r>
          </w:p>
        </w:tc>
        <w:tc>
          <w:tcPr>
            <w:tcW w:type="dxa" w:w="2340"/>
            <w:shd w:fill="EBF3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Exemplary fulfillment across all technical, analytical, and documentation requirements.</w:t>
            </w:r>
          </w:p>
        </w:tc>
      </w:tr>
    </w:tbl>
    <w:p>
      <w:pPr>
        <w:spacing w:after="2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7"/>
      </w:rPr>
      <w:t>MedBook Online Appointment Booking System — Lab 06 Comprehensive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PHENIKAA UNIVERSITY • CSE703095 SOFTWARE REQUIREMENTS • LAB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