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60" w:before="120"/>
        <w:jc w:val="center"/>
      </w:pPr>
      <w:r>
        <w:drawing>
          <wp:inline distT="0" distB="0" distL="0" distR="0">
            <wp:extent cx="1809750" cy="1714500"/>
            <wp:effectExtent t="0" r="0" b="0" l="0"/>
            <wp:docPr id="1" name="imagen" descr="Imagen" title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0"/>
        <w:jc w:val="center"/>
      </w:pPr>
      <w:r>
        <w:rPr>
          <w:rFonts w:ascii="Georgia" w:cs="Georgia" w:eastAsia="Georgia" w:hAnsi="Georgia"/>
          <w:b/>
          <w:bCs/>
          <w:color w:val="1E2B21"/>
          <w:sz w:val="52"/>
          <w:szCs w:val="52"/>
        </w:rPr>
        <w:t xml:space="preserve">Modelado de datos</w:t>
      </w:r>
    </w:p>
    <w:p>
      <w:pPr>
        <w:spacing w:after="600"/>
        <w:jc w:val="center"/>
      </w:pPr>
      <w:r>
        <w:rPr>
          <w:color w:val="4F5E52"/>
          <w:sz w:val="26"/>
          <w:szCs w:val="26"/>
        </w:rPr>
        <w:t xml:space="preserve">AgroMap-Cereté · Base de datos MongoDB</w:t>
      </w:r>
    </w:p>
    <w:p>
      <w:pPr>
        <w:spacing w:after="60"/>
        <w:jc w:val="center"/>
      </w:pPr>
      <w:r>
        <w:rPr>
          <w:color w:val="879284"/>
          <w:sz w:val="21"/>
          <w:szCs w:val="21"/>
        </w:rPr>
        <w:t xml:space="preserve">Centro Tutorial Cereté – Universidad de Cartagena</w:t>
      </w:r>
    </w:p>
    <w:p>
      <w:pPr>
        <w:spacing w:after="60"/>
        <w:jc w:val="center"/>
      </w:pPr>
      <w:r>
        <w:rPr>
          <w:color w:val="879284"/>
          <w:sz w:val="21"/>
          <w:szCs w:val="21"/>
        </w:rPr>
        <w:t xml:space="preserve">Programa de Ingeniería de Software</w:t>
      </w:r>
    </w:p>
    <w:p>
      <w:pPr>
        <w:spacing w:after="60"/>
        <w:jc w:val="center"/>
      </w:pPr>
      <w:r>
        <w:rPr>
          <w:color w:val="879284"/>
          <w:sz w:val="21"/>
          <w:szCs w:val="21"/>
        </w:rPr>
        <w:t xml:space="preserve">Dr.C Gina Eugenia Montiel Patiño · Karol Hernández Gracia · Nilson Ruiz Marimon</w:t>
      </w:r>
    </w:p>
    <w:p>
      <w:pPr>
        <w:spacing w:after="60"/>
        <w:jc w:val="center"/>
      </w:pPr>
      <w:r>
        <w:rPr>
          <w:color w:val="879284"/>
          <w:sz w:val="21"/>
          <w:szCs w:val="21"/>
        </w:rPr>
        <w:t xml:space="preserve">Versión 0.1 · Octubre de 2026</w:t>
      </w:r>
    </w:p>
    <w:p>
      <w:r>
        <w:br w:type="page"/>
      </w:r>
    </w:p>
    <w:p>
      <w:pPr>
        <w:pStyle w:val="Heading1"/>
      </w:pPr>
      <w:r>
        <w:t xml:space="preserve">1. Propósito y alcance</w:t>
      </w:r>
    </w:p>
    <w:p>
      <w:pPr>
        <w:spacing w:after="140" w:line="300"/>
      </w:pPr>
      <w:r>
        <w:t xml:space="preserve">Este documento describe el modelo de datos de </w:t>
      </w:r>
      <w:r>
        <w:rPr>
          <w:b/>
          <w:bCs/>
        </w:rPr>
        <w:t xml:space="preserve">AgroMap-Cereté</w:t>
      </w:r>
      <w:r>
        <w:t xml:space="preserve">, la herramienta que apoya el aprovechamiento agrícola de los predios periurbanos de Martínez y Mateo Gómez para fortalecer la seguridad alimentaria de los estudiantes en las jornadas sabatinas.</w:t>
      </w:r>
    </w:p>
    <w:p>
      <w:pPr>
        <w:spacing w:after="140" w:line="300"/>
      </w:pPr>
      <w:r>
        <w:t xml:space="preserve">El modelo cubre las tres fases metodológicas del proyecto: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Fase I – Diagnóstico:</w:t>
      </w:r>
      <w:r>
        <w:t xml:space="preserve"> predios georreferenciados y su caracterización agroecológica (suelo, agua, exposición solar, historial de uso).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Fase II – Planeación e implementación:</w:t>
      </w:r>
      <w:r>
        <w:t xml:space="preserve"> cultivos de ciclo corto con fechas de siembra y cosecha estimada.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Fase III – Seguimiento:</w:t>
      </w:r>
      <w:r>
        <w:t xml:space="preserve"> bitácora de campo, cosechas y entregas en las jornadas sabatinas.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Extensión IoT:</w:t>
      </w:r>
      <w:r>
        <w:t xml:space="preserve"> dispositivos y lecturas de sensores integrables mediante el patrón Adapter.</w:t>
      </w:r>
    </w:p>
    <w:p>
      <w:pPr>
        <w:pStyle w:val="Heading1"/>
      </w:pPr>
      <w:r>
        <w:t xml:space="preserve">2. Decisiones de modelado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MongoDB documental con Mongoose 9.</w:t>
      </w:r>
      <w:r>
        <w:t xml:space="preserve"> Cada entidad principal es una colección; las relaciones se resuelven con referencias </w:t>
      </w:r>
      <w:r>
        <w:rPr>
          <w:rFonts w:ascii="Consolas" w:cs="Consolas" w:eastAsia="Consolas" w:hAnsi="Consolas"/>
          <w:color w:val="04521A"/>
          <w:sz w:val="20"/>
          <w:szCs w:val="20"/>
        </w:rPr>
        <w:t xml:space="preserve">ObjectId</w:t>
      </w:r>
      <w:r>
        <w:t xml:space="preserve"> y </w:t>
      </w:r>
      <w:r>
        <w:rPr>
          <w:rFonts w:ascii="Consolas" w:cs="Consolas" w:eastAsia="Consolas" w:hAnsi="Consolas"/>
          <w:color w:val="04521A"/>
          <w:sz w:val="20"/>
          <w:szCs w:val="20"/>
        </w:rPr>
        <w:t xml:space="preserve">populate</w:t>
      </w:r>
      <w:r>
        <w:t xml:space="preserve"> selectivo.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Referencias vs. embebidos.</w:t>
      </w:r>
      <w:r>
        <w:t xml:space="preserve"> Se embebe solo lo que pertenece al ciclo de vida del padre (</w:t>
      </w:r>
      <w:r>
        <w:rPr>
          <w:rFonts w:ascii="Consolas" w:cs="Consolas" w:eastAsia="Consolas" w:hAnsi="Consolas"/>
          <w:color w:val="04521A"/>
          <w:sz w:val="20"/>
          <w:szCs w:val="20"/>
        </w:rPr>
        <w:t xml:space="preserve">owner</w:t>
      </w:r>
      <w:r>
        <w:t xml:space="preserve">, </w:t>
      </w:r>
      <w:r>
        <w:rPr>
          <w:rFonts w:ascii="Consolas" w:cs="Consolas" w:eastAsia="Consolas" w:hAnsi="Consolas"/>
          <w:color w:val="04521A"/>
          <w:sz w:val="20"/>
          <w:szCs w:val="20"/>
        </w:rPr>
        <w:t xml:space="preserve">location</w:t>
      </w:r>
      <w:r>
        <w:t xml:space="preserve">, </w:t>
      </w:r>
      <w:r>
        <w:rPr>
          <w:rFonts w:ascii="Consolas" w:cs="Consolas" w:eastAsia="Consolas" w:hAnsi="Consolas"/>
          <w:color w:val="04521A"/>
          <w:sz w:val="20"/>
          <w:szCs w:val="20"/>
        </w:rPr>
        <w:t xml:space="preserve">characterization</w:t>
      </w:r>
      <w:r>
        <w:t xml:space="preserve">, </w:t>
      </w:r>
      <w:r>
        <w:rPr>
          <w:rFonts w:ascii="Consolas" w:cs="Consolas" w:eastAsia="Consolas" w:hAnsi="Consolas"/>
          <w:color w:val="04521A"/>
          <w:sz w:val="20"/>
          <w:szCs w:val="20"/>
        </w:rPr>
        <w:t xml:space="preserve">distributions.items</w:t>
      </w:r>
      <w:r>
        <w:t xml:space="preserve">). Lo que crece o se consulta por separado se referencia.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Desnormalización controlada.</w:t>
      </w:r>
      <w:r>
        <w:t xml:space="preserve"> </w:t>
      </w:r>
      <w:r>
        <w:rPr>
          <w:rFonts w:ascii="Consolas" w:cs="Consolas" w:eastAsia="Consolas" w:hAnsi="Consolas"/>
          <w:color w:val="04521A"/>
          <w:sz w:val="20"/>
          <w:szCs w:val="20"/>
        </w:rPr>
        <w:t xml:space="preserve">field_logs.plot</w:t>
      </w:r>
      <w:r>
        <w:t xml:space="preserve">, </w:t>
      </w:r>
      <w:r>
        <w:rPr>
          <w:rFonts w:ascii="Consolas" w:cs="Consolas" w:eastAsia="Consolas" w:hAnsi="Consolas"/>
          <w:color w:val="04521A"/>
          <w:sz w:val="20"/>
          <w:szCs w:val="20"/>
        </w:rPr>
        <w:t xml:space="preserve">harvests.plot</w:t>
      </w:r>
      <w:r>
        <w:t xml:space="preserve"> y </w:t>
      </w:r>
      <w:r>
        <w:rPr>
          <w:rFonts w:ascii="Consolas" w:cs="Consolas" w:eastAsia="Consolas" w:hAnsi="Consolas"/>
          <w:color w:val="04521A"/>
          <w:sz w:val="20"/>
          <w:szCs w:val="20"/>
        </w:rPr>
        <w:t xml:space="preserve">sensor_readings.plot</w:t>
      </w:r>
      <w:r>
        <w:t xml:space="preserve"> copian el predio para filtrar sin joins; </w:t>
      </w:r>
      <w:r>
        <w:rPr>
          <w:rFonts w:ascii="Consolas" w:cs="Consolas" w:eastAsia="Consolas" w:hAnsi="Consolas"/>
          <w:color w:val="04521A"/>
          <w:sz w:val="20"/>
          <w:szCs w:val="20"/>
        </w:rPr>
        <w:t xml:space="preserve">distributions.items.species</w:t>
      </w:r>
      <w:r>
        <w:t xml:space="preserve"> guarda el histórico.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Geoespacial.</w:t>
      </w:r>
      <w:r>
        <w:t xml:space="preserve"> </w:t>
      </w:r>
      <w:r>
        <w:rPr>
          <w:rFonts w:ascii="Consolas" w:cs="Consolas" w:eastAsia="Consolas" w:hAnsi="Consolas"/>
          <w:color w:val="04521A"/>
          <w:sz w:val="20"/>
          <w:szCs w:val="20"/>
        </w:rPr>
        <w:t xml:space="preserve">plots.location.point</w:t>
      </w:r>
      <w:r>
        <w:t xml:space="preserve"> es GeoJSON Point </w:t>
      </w:r>
      <w:r>
        <w:rPr>
          <w:rFonts w:ascii="Consolas" w:cs="Consolas" w:eastAsia="Consolas" w:hAnsi="Consolas"/>
          <w:color w:val="04521A"/>
          <w:sz w:val="20"/>
          <w:szCs w:val="20"/>
        </w:rPr>
        <w:t xml:space="preserve">[longitud, latitud]</w:t>
      </w:r>
      <w:r>
        <w:t xml:space="preserve"> con índice </w:t>
      </w:r>
      <w:r>
        <w:rPr>
          <w:rFonts w:ascii="Consolas" w:cs="Consolas" w:eastAsia="Consolas" w:hAnsi="Consolas"/>
          <w:color w:val="04521A"/>
          <w:sz w:val="20"/>
          <w:szCs w:val="20"/>
        </w:rPr>
        <w:t xml:space="preserve">2dsphere</w:t>
      </w:r>
      <w:r>
        <w:t xml:space="preserve">; </w:t>
      </w:r>
      <w:r>
        <w:rPr>
          <w:rFonts w:ascii="Consolas" w:cs="Consolas" w:eastAsia="Consolas" w:hAnsi="Consolas"/>
          <w:color w:val="04521A"/>
          <w:sz w:val="20"/>
          <w:szCs w:val="20"/>
        </w:rPr>
        <w:t xml:space="preserve">boundary</w:t>
      </w:r>
      <w:r>
        <w:t xml:space="preserve"> admite polígonos para linderos.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Baja lógica.</w:t>
      </w:r>
      <w:r>
        <w:t xml:space="preserve"> Predios y usuarios se desactivan (</w:t>
      </w:r>
      <w:r>
        <w:rPr>
          <w:rFonts w:ascii="Consolas" w:cs="Consolas" w:eastAsia="Consolas" w:hAnsi="Consolas"/>
          <w:color w:val="04521A"/>
          <w:sz w:val="20"/>
          <w:szCs w:val="20"/>
        </w:rPr>
        <w:t xml:space="preserve">status</w:t>
      </w:r>
      <w:r>
        <w:t xml:space="preserve"> / </w:t>
      </w:r>
      <w:r>
        <w:rPr>
          <w:rFonts w:ascii="Consolas" w:cs="Consolas" w:eastAsia="Consolas" w:hAnsi="Consolas"/>
          <w:color w:val="04521A"/>
          <w:sz w:val="20"/>
          <w:szCs w:val="20"/>
        </w:rPr>
        <w:t xml:space="preserve">isActive</w:t>
      </w:r>
      <w:r>
        <w:t xml:space="preserve">); los borrados físicos se bloquean si existen dependencias.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Serialización uniforme.</w:t>
      </w:r>
      <w:r>
        <w:t xml:space="preserve"> Un plugin </w:t>
      </w:r>
      <w:r>
        <w:rPr>
          <w:rFonts w:ascii="Consolas" w:cs="Consolas" w:eastAsia="Consolas" w:hAnsi="Consolas"/>
          <w:color w:val="04521A"/>
          <w:sz w:val="20"/>
          <w:szCs w:val="20"/>
        </w:rPr>
        <w:t xml:space="preserve">toJSON</w:t>
      </w:r>
      <w:r>
        <w:t xml:space="preserve"> expone </w:t>
      </w:r>
      <w:r>
        <w:rPr>
          <w:rFonts w:ascii="Consolas" w:cs="Consolas" w:eastAsia="Consolas" w:hAnsi="Consolas"/>
          <w:color w:val="04521A"/>
          <w:sz w:val="20"/>
          <w:szCs w:val="20"/>
        </w:rPr>
        <w:t xml:space="preserve">id</w:t>
      </w:r>
      <w:r>
        <w:t xml:space="preserve"> en lugar de </w:t>
      </w:r>
      <w:r>
        <w:rPr>
          <w:rFonts w:ascii="Consolas" w:cs="Consolas" w:eastAsia="Consolas" w:hAnsi="Consolas"/>
          <w:color w:val="04521A"/>
          <w:sz w:val="20"/>
          <w:szCs w:val="20"/>
        </w:rPr>
        <w:t xml:space="preserve">_id</w:t>
      </w:r>
      <w:r>
        <w:t xml:space="preserve">, convierte ObjectIds a string y elimina </w:t>
      </w:r>
      <w:r>
        <w:rPr>
          <w:rFonts w:ascii="Consolas" w:cs="Consolas" w:eastAsia="Consolas" w:hAnsi="Consolas"/>
          <w:color w:val="04521A"/>
          <w:sz w:val="20"/>
          <w:szCs w:val="20"/>
        </w:rPr>
        <w:t xml:space="preserve">__v</w:t>
      </w:r>
      <w:r>
        <w:t xml:space="preserve">. Los campos sensibles usan </w:t>
      </w:r>
      <w:r>
        <w:rPr>
          <w:rFonts w:ascii="Consolas" w:cs="Consolas" w:eastAsia="Consolas" w:hAnsi="Consolas"/>
          <w:color w:val="04521A"/>
          <w:sz w:val="20"/>
          <w:szCs w:val="20"/>
        </w:rPr>
        <w:t xml:space="preserve">select: false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  <w:sectPr>
          <w:headerReference w:type="default" r:id="rId6"/>
          <w:foot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  <w:r>
        <w:rPr>
          <w:b/>
          <w:bCs/>
        </w:rPr>
        <w:t xml:space="preserve">Validación en dos capas.</w:t>
      </w:r>
      <w:r>
        <w:t xml:space="preserve"> DTOs TypeBox (JSON Schema) en cada ruta de Fastify y validadores del esquema Mongoose.</w:t>
      </w:r>
    </w:p>
    <w:p>
      <w:pPr>
        <w:pStyle w:val="Heading1"/>
      </w:pPr>
      <w:r>
        <w:t xml:space="preserve">3. Diagrama entidad-relación</w:t>
      </w:r>
    </w:p>
    <w:p>
      <w:pPr>
        <w:spacing w:after="140" w:line="300"/>
      </w:pPr>
      <w:r>
        <w:t xml:space="preserve">La figura resume las ocho colecciones, sus campos principales y la cardinalidad de las relaciones. Las cuatro colecciones de negocio referencian además a </w:t>
      </w:r>
      <w:r>
        <w:rPr>
          <w:rFonts w:ascii="Consolas" w:cs="Consolas" w:eastAsia="Consolas" w:hAnsi="Consolas"/>
          <w:color w:val="04521A"/>
          <w:sz w:val="20"/>
          <w:szCs w:val="20"/>
        </w:rPr>
        <w:t xml:space="preserve">users</w:t>
      </w:r>
      <w:r>
        <w:t xml:space="preserve"> como autor del registro.</w:t>
      </w:r>
    </w:p>
    <w:p>
      <w:pPr>
        <w:spacing w:after="60" w:before="120"/>
        <w:jc w:val="center"/>
      </w:pPr>
      <w:r>
        <w:drawing>
          <wp:inline distT="0" distB="0" distL="0" distR="0">
            <wp:extent cx="7239000" cy="3971925"/>
            <wp:effectExtent t="0" r="0" b="0" l="0"/>
            <wp:docPr id="2" name="Figura 1. Modelo entidad-relación de AgroMap-Cereté" descr="Figura 1. Modelo entidad-relación de AgroMap-Cereté" title="Figura 1. Modelo entidad-relación de AgroMap-Ceret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  <w:sectPr>
          <w:headerReference w:type="default" r:id="rId8"/>
          <w:footerReference w:type="default" r:id="rId9"/>
          <w:pgSz w:w="16838" w:h="11906" w:orient="landscape"/>
          <w:pgMar w:top="1440" w:right="1440" w:bottom="1440" w:left="1440" w:header="708" w:footer="708" w:gutter="0"/>
          <w:pgNumType/>
          <w:docGrid w:linePitch="360"/>
        </w:sectPr>
      </w:pPr>
      <w:r>
        <w:rPr>
          <w:i/>
          <w:iCs/>
          <w:color w:val="879284"/>
          <w:sz w:val="18"/>
          <w:szCs w:val="18"/>
        </w:rPr>
        <w:t xml:space="preserve">Figura 1. Modelo entidad-relación de AgroMap-Cereté</w:t>
      </w:r>
    </w:p>
    <w:p>
      <w:pPr>
        <w:pStyle w:val="Heading1"/>
      </w:pPr>
      <w:r>
        <w:t xml:space="preserve">4. Diccionario de datos</w:t>
      </w:r>
    </w:p>
    <w:p>
      <w:pPr>
        <w:pStyle w:val="Heading2"/>
      </w:pPr>
      <w:r>
        <w:t xml:space="preserve">4.1 Usuarios (users)</w:t>
      </w:r>
    </w:p>
    <w:p>
      <w:pPr>
        <w:spacing w:after="140" w:line="300"/>
      </w:pPr>
      <w:r>
        <w:t xml:space="preserve">Cuentas del equipo del proyecto. La contraseña se guarda con hash bcrypt (12 rondas) y nunca se expone; </w:t>
      </w:r>
      <w:r>
        <w:rPr>
          <w:rFonts w:ascii="Consolas" w:cs="Consolas" w:eastAsia="Consolas" w:hAnsi="Consolas"/>
          <w:color w:val="04521A"/>
          <w:sz w:val="20"/>
          <w:szCs w:val="20"/>
        </w:rPr>
        <w:t xml:space="preserve">tokenVersion</w:t>
      </w:r>
      <w:r>
        <w:t xml:space="preserve"> permite invalidar sesiones.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1444"/>
        <w:gridCol w:w="631"/>
        <w:gridCol w:w="4785"/>
      </w:tblGrid>
      <w:tr>
        <w:trPr>
          <w:tblHeader/>
        </w:trP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66C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66C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66C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Req.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66C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_id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ObjectId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Identificador (se expone como </w:t>
            </w:r>
            <w:r>
              <w:rPr>
                <w:rFonts w:ascii="Consolas" w:cs="Consolas" w:eastAsia="Consolas" w:hAnsi="Consolas"/>
                <w:color w:val="04521A"/>
                <w:sz w:val="19"/>
                <w:szCs w:val="19"/>
              </w:rPr>
              <w:t xml:space="preserve">id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name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String(120)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Nombre completo.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email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String(160)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Correo en minúsculas. </w:t>
            </w:r>
            <w:r>
              <w:rPr>
                <w:b/>
                <w:bCs/>
                <w:sz w:val="19"/>
                <w:szCs w:val="19"/>
              </w:rPr>
              <w:t xml:space="preserve">Único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passwordHash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Hash bcrypt. </w:t>
            </w:r>
            <w:r>
              <w:rPr>
                <w:rFonts w:ascii="Consolas" w:cs="Consolas" w:eastAsia="Consolas" w:hAnsi="Consolas"/>
                <w:color w:val="04521A"/>
                <w:sz w:val="19"/>
                <w:szCs w:val="19"/>
              </w:rPr>
              <w:t xml:space="preserve">select: false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role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Enum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admin · agronomist · farmer · student (por defecto student).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isActive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Boolean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Permite desactivar el acceso sin borrar el usuario.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lastLoginAt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Último inicio de sesión.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tokenVersion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Number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 incrementa al cerrar sesión o cambiar rol: invalida refresh tokens previos. </w:t>
            </w:r>
            <w:r>
              <w:rPr>
                <w:rFonts w:ascii="Consolas" w:cs="Consolas" w:eastAsia="Consolas" w:hAnsi="Consolas"/>
                <w:color w:val="04521A"/>
                <w:sz w:val="19"/>
                <w:szCs w:val="19"/>
              </w:rPr>
              <w:t xml:space="preserve">select: false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createdAt / updatedAt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Marcas de tiempo automáticas.</w:t>
            </w:r>
          </w:p>
        </w:tc>
      </w:tr>
    </w:tbl>
    <w:p>
      <w:pPr>
        <w:pStyle w:val="Heading2"/>
      </w:pPr>
      <w:r>
        <w:t xml:space="preserve">4.2 Predios (plots)</w:t>
      </w:r>
    </w:p>
    <w:p>
      <w:pPr>
        <w:spacing w:after="140" w:line="300"/>
      </w:pPr>
      <w:r>
        <w:t xml:space="preserve">Predios periurbanos georreferenciados (Fase I). La ubicación usa GeoJSON con índice </w:t>
      </w:r>
      <w:r>
        <w:rPr>
          <w:rFonts w:ascii="Consolas" w:cs="Consolas" w:eastAsia="Consolas" w:hAnsi="Consolas"/>
          <w:color w:val="04521A"/>
          <w:sz w:val="20"/>
          <w:szCs w:val="20"/>
        </w:rPr>
        <w:t xml:space="preserve">2dsphere</w:t>
      </w:r>
      <w:r>
        <w:t xml:space="preserve">, lo que habilita consultas espaciales ($near, $geoWithin).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1444"/>
        <w:gridCol w:w="631"/>
        <w:gridCol w:w="4785"/>
      </w:tblGrid>
      <w:tr>
        <w:trPr>
          <w:tblHeader/>
        </w:trP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66C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66C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66C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Req.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66C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_id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ObjectId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Identificador.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name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String(120)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Nombre del predio (p. ej. "Predio Martínez").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owner.name / owner.phone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 / No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Propietario o familia agricultora.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location.municipality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Municipio (por defecto Cereté).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location.district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Corregimiento: Martínez, Mateo Gómez… Indexado.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location.address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Referencia o dirección.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location.point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GeoJSON Point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4521A"/>
                <w:sz w:val="19"/>
                <w:szCs w:val="19"/>
              </w:rPr>
              <w:t xml:space="preserve">{ type: "Point", coordinates: [lng, lat] }</w:t>
            </w:r>
            <w:r>
              <w:rPr>
                <w:sz w:val="19"/>
                <w:szCs w:val="19"/>
              </w:rPr>
              <w:t xml:space="preserve">. Índice 2dsphere.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boundary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GeoJSON Polygon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Linderos del predio (opcional).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areaM2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Number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Área en metros cuadrados.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characterization.soilType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Tipo de suelo.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characterization.waterAccess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Enum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none · limited · permanent.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characterization.sunExposure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Enum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low · medium · high.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characterization.landUseHistory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Historial de uso del suelo.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characterization.notes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Observaciones del diagnóstico.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Enum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active · inactive (baja lógica).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createdBy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ObjectId → users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Usuario que registró el predio.</w:t>
            </w:r>
          </w:p>
        </w:tc>
      </w:tr>
    </w:tbl>
    <w:p>
      <w:pPr>
        <w:pStyle w:val="Heading2"/>
      </w:pPr>
      <w:r>
        <w:t xml:space="preserve">4.3 Cultivos (crops)</w:t>
      </w:r>
    </w:p>
    <w:p>
      <w:pPr>
        <w:spacing w:after="140" w:line="300"/>
      </w:pPr>
      <w:r>
        <w:t xml:space="preserve">Cultivos de ciclo corto por predio (Fase II). Si se informa </w:t>
      </w:r>
      <w:r>
        <w:rPr>
          <w:rFonts w:ascii="Consolas" w:cs="Consolas" w:eastAsia="Consolas" w:hAnsi="Consolas"/>
          <w:color w:val="04521A"/>
          <w:sz w:val="20"/>
          <w:szCs w:val="20"/>
        </w:rPr>
        <w:t xml:space="preserve">plantedAt</w:t>
      </w:r>
      <w:r>
        <w:t xml:space="preserve"> y </w:t>
      </w:r>
      <w:r>
        <w:rPr>
          <w:rFonts w:ascii="Consolas" w:cs="Consolas" w:eastAsia="Consolas" w:hAnsi="Consolas"/>
          <w:color w:val="04521A"/>
          <w:sz w:val="20"/>
          <w:szCs w:val="20"/>
        </w:rPr>
        <w:t xml:space="preserve">cycleDays</w:t>
      </w:r>
      <w:r>
        <w:t xml:space="preserve">, el servicio calcula </w:t>
      </w:r>
      <w:r>
        <w:rPr>
          <w:rFonts w:ascii="Consolas" w:cs="Consolas" w:eastAsia="Consolas" w:hAnsi="Consolas"/>
          <w:color w:val="04521A"/>
          <w:sz w:val="20"/>
          <w:szCs w:val="20"/>
        </w:rPr>
        <w:t xml:space="preserve">expectedHarvestAt</w:t>
      </w:r>
      <w:r>
        <w:t xml:space="preserve"> automáticamente.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1444"/>
        <w:gridCol w:w="631"/>
        <w:gridCol w:w="4785"/>
      </w:tblGrid>
      <w:tr>
        <w:trPr>
          <w:tblHeader/>
        </w:trP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66C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66C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66C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Req.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66C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_id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ObjectId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Identificador.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plot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ObjectId → plots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Predio al que pertenece. Indexado.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species / variety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String(80)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 / No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Especie (ají, pepino, habichuela…) y variedad.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Enum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planned · planted · growing · harvesting · finished · lost.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plantedAt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Fecha de siembra.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expectedHarvestAt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Cosecha estimada. Indexado (línea de tiempo del dashboard).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cycleDays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Number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Días del ciclo siembra → cosecha.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areaM2 / plantCount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Number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Área sembrada y número de plantas.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notes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Notas libres.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createdBy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ObjectId → users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Autor del registro.</w:t>
            </w:r>
          </w:p>
        </w:tc>
      </w:tr>
    </w:tbl>
    <w:p>
      <w:pPr>
        <w:pStyle w:val="Heading2"/>
      </w:pPr>
      <w:r>
        <w:t xml:space="preserve">4.4 Bitácora de campo (field_logs)</w:t>
      </w:r>
    </w:p>
    <w:p>
      <w:pPr>
        <w:spacing w:after="140" w:line="300"/>
      </w:pPr>
      <w:r>
        <w:t xml:space="preserve">Registros de seguimiento por cultivo (Fase III). </w:t>
      </w:r>
      <w:r>
        <w:rPr>
          <w:rFonts w:ascii="Consolas" w:cs="Consolas" w:eastAsia="Consolas" w:hAnsi="Consolas"/>
          <w:color w:val="04521A"/>
          <w:sz w:val="20"/>
          <w:szCs w:val="20"/>
        </w:rPr>
        <w:t xml:space="preserve">plot</w:t>
      </w:r>
      <w:r>
        <w:t xml:space="preserve"> se desnormaliza desde el cultivo para filtrar la bitácora por predio sin joins.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1444"/>
        <w:gridCol w:w="631"/>
        <w:gridCol w:w="4785"/>
      </w:tblGrid>
      <w:tr>
        <w:trPr>
          <w:tblHeader/>
        </w:trP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66C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66C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66C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Req.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66C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_id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ObjectId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Identificador.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crop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ObjectId → crops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Cultivo observado. Indexado.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plot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ObjectId → plots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Predio (desnormalizado). Indexado.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Fecha de la actividad. Índice descendente.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type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Enum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sowing · irrigation · fertilization · pest_control · weeding · observation · harvest · other.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String(2000)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Descripción de la actividad.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photos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String[] (URI)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URLs de evidencias fotográficas (máx. 10).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author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ObjectId → users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Autor; solo él o un admin puede editar/eliminar.</w:t>
            </w:r>
          </w:p>
        </w:tc>
      </w:tr>
    </w:tbl>
    <w:p>
      <w:pPr>
        <w:pStyle w:val="Heading2"/>
      </w:pPr>
      <w:r>
        <w:t xml:space="preserve">4.5 Cosechas (harvests)</w:t>
      </w:r>
    </w:p>
    <w:p>
      <w:pPr>
        <w:spacing w:after="140" w:line="300"/>
      </w:pPr>
      <w:r>
        <w:t xml:space="preserve">Producción obtenida. </w:t>
      </w:r>
      <w:r>
        <w:rPr>
          <w:rFonts w:ascii="Consolas" w:cs="Consolas" w:eastAsia="Consolas" w:hAnsi="Consolas"/>
          <w:color w:val="04521A"/>
          <w:sz w:val="20"/>
          <w:szCs w:val="20"/>
        </w:rPr>
        <w:t xml:space="preserve">availableKg</w:t>
      </w:r>
      <w:r>
        <w:t xml:space="preserve"> inicia igual a </w:t>
      </w:r>
      <w:r>
        <w:rPr>
          <w:rFonts w:ascii="Consolas" w:cs="Consolas" w:eastAsia="Consolas" w:hAnsi="Consolas"/>
          <w:color w:val="04521A"/>
          <w:sz w:val="20"/>
          <w:szCs w:val="20"/>
        </w:rPr>
        <w:t xml:space="preserve">quantityKg</w:t>
      </w:r>
      <w:r>
        <w:t xml:space="preserve"> y se descuenta al registrar entregas.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1444"/>
        <w:gridCol w:w="631"/>
        <w:gridCol w:w="4785"/>
      </w:tblGrid>
      <w:tr>
        <w:trPr>
          <w:tblHeader/>
        </w:trP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66C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66C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66C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Req.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66C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_id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ObjectId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Identificador.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crop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ObjectId → crops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Cultivo cosechado.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plot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ObjectId → plots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Predio (desnormalizado).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harvestedAt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Fecha de cosecha.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quantityKg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Number ≥ 0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Kilos cosechados.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availableKg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Number ≥ 0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Kilos disponibles para jornadas.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quality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Enum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high · medium · low.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notes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Notas.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registeredBy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ObjectId → users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Quién registró la cosecha.</w:t>
            </w:r>
          </w:p>
        </w:tc>
      </w:tr>
    </w:tbl>
    <w:p>
      <w:pPr>
        <w:pStyle w:val="Heading2"/>
      </w:pPr>
      <w:r>
        <w:t xml:space="preserve">4.6 Jornadas sabatinas (distributions)</w:t>
      </w:r>
    </w:p>
    <w:p>
      <w:pPr>
        <w:spacing w:after="140" w:line="300"/>
      </w:pPr>
      <w:r>
        <w:t xml:space="preserve">Entregas de alimentos a estudiantes. Los ítems se </w:t>
      </w:r>
      <w:r>
        <w:rPr>
          <w:b/>
          <w:bCs/>
        </w:rPr>
        <w:t xml:space="preserve">embeben</w:t>
      </w:r>
      <w:r>
        <w:t xml:space="preserve"> (con la especie copiada) para conservar el histórico aunque la cosecha cambie.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1444"/>
        <w:gridCol w:w="631"/>
        <w:gridCol w:w="4785"/>
      </w:tblGrid>
      <w:tr>
        <w:trPr>
          <w:tblHeader/>
        </w:trP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66C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66C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66C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Req.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66C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_id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ObjectId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Identificador.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Fecha de la jornada (sábado). Indexado.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title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Título; por defecto "Jornada sabatina dd/mm/aaaa".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items[].harvest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ObjectId → harvests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Cosecha de la que salen los kilos.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items[].species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Especie (copia histórica).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items[].quantityKg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Number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Kilos entregados de esa cosecha.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totalKg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Number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Suma de los ítems.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beneficiaries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Number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Estudiantes beneficiados.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notes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Observaciones.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createdBy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ObjectId → users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Responsable del registro.</w:t>
            </w:r>
          </w:p>
        </w:tc>
      </w:tr>
    </w:tbl>
    <w:p>
      <w:pPr>
        <w:pStyle w:val="Heading2"/>
      </w:pPr>
      <w:r>
        <w:t xml:space="preserve">4.7 Dispositivos (devices)</w:t>
      </w:r>
    </w:p>
    <w:p>
      <w:pPr>
        <w:spacing w:after="140" w:line="300"/>
      </w:pPr>
      <w:r>
        <w:t xml:space="preserve">Sensores de campo. Esquema abierto (</w:t>
      </w:r>
      <w:r>
        <w:rPr>
          <w:rFonts w:ascii="Consolas" w:cs="Consolas" w:eastAsia="Consolas" w:hAnsi="Consolas"/>
          <w:color w:val="04521A"/>
          <w:sz w:val="20"/>
          <w:szCs w:val="20"/>
        </w:rPr>
        <w:t xml:space="preserve">kind</w:t>
      </w:r>
      <w:r>
        <w:t xml:space="preserve">, </w:t>
      </w:r>
      <w:r>
        <w:rPr>
          <w:rFonts w:ascii="Consolas" w:cs="Consolas" w:eastAsia="Consolas" w:hAnsi="Consolas"/>
          <w:color w:val="04521A"/>
          <w:sz w:val="20"/>
          <w:szCs w:val="20"/>
        </w:rPr>
        <w:t xml:space="preserve">metrics</w:t>
      </w:r>
      <w:r>
        <w:t xml:space="preserve">, </w:t>
      </w:r>
      <w:r>
        <w:rPr>
          <w:rFonts w:ascii="Consolas" w:cs="Consolas" w:eastAsia="Consolas" w:hAnsi="Consolas"/>
          <w:color w:val="04521A"/>
          <w:sz w:val="20"/>
          <w:szCs w:val="20"/>
        </w:rPr>
        <w:t xml:space="preserve">metadata</w:t>
      </w:r>
      <w:r>
        <w:t xml:space="preserve">) porque el hardware aún no está definido; cada adapter decide qué guardar.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1444"/>
        <w:gridCol w:w="631"/>
        <w:gridCol w:w="4785"/>
      </w:tblGrid>
      <w:tr>
        <w:trPr>
          <w:tblHeader/>
        </w:trP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66C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66C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66C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Req.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66C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_id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ObjectId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Identificador.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name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Nombre legible.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provider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Clave del adapter (mock, http, …). Único junto con externalId.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externalId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 del dispositivo en el sistema del proveedor.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kind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Tipo libre (soil-probe, weather-station…).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metrics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String[]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Métricas que reporta.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plot / crop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ObjectId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Predio y cultivo donde está instalado.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Enum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active · inactive · unknown.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lastSeenAt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Fecha de la última lectura recibida.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metadata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Mixed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Datos específicos del proveedor.</w:t>
            </w:r>
          </w:p>
        </w:tc>
      </w:tr>
    </w:tbl>
    <w:p>
      <w:pPr>
        <w:pStyle w:val="Heading2"/>
      </w:pPr>
      <w:r>
        <w:t xml:space="preserve">4.8 Lecturas de sensores (sensor_readings)</w:t>
      </w:r>
    </w:p>
    <w:p>
      <w:pPr>
        <w:spacing w:after="140" w:line="300"/>
      </w:pPr>
      <w:r>
        <w:t xml:space="preserve">Lecturas normalizadas por los adapters. Se conserva el payload original en </w:t>
      </w:r>
      <w:r>
        <w:rPr>
          <w:rFonts w:ascii="Consolas" w:cs="Consolas" w:eastAsia="Consolas" w:hAnsi="Consolas"/>
          <w:color w:val="04521A"/>
          <w:sz w:val="20"/>
          <w:szCs w:val="20"/>
        </w:rPr>
        <w:t xml:space="preserve">raw</w:t>
      </w:r>
      <w:r>
        <w:t xml:space="preserve"> para auditoría o reprocesamiento.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1444"/>
        <w:gridCol w:w="631"/>
        <w:gridCol w:w="4785"/>
      </w:tblGrid>
      <w:tr>
        <w:trPr>
          <w:tblHeader/>
        </w:trP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66C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66C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66C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Req.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66C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_id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ObjectId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Identificador.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device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ObjectId → devices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Dispositivo origen.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plot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ObjectId → plots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Predio (copiado del dispositivo).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metric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soil_moisture, air_temperature, soil_ph… (abierto).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value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Number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Valor numérico.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unit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Unidad (%, °C, pH, lux…).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recordedAt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Momento de la medición.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raw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Mixed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Payload original del proveedor. </w:t>
            </w:r>
            <w:r>
              <w:rPr>
                <w:rFonts w:ascii="Consolas" w:cs="Consolas" w:eastAsia="Consolas" w:hAnsi="Consolas"/>
                <w:color w:val="04521A"/>
                <w:sz w:val="19"/>
                <w:szCs w:val="19"/>
              </w:rPr>
              <w:t xml:space="preserve">select: false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166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createdAt</w:t>
            </w:r>
          </w:p>
        </w:tc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6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478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Momento de ingesta.</w:t>
            </w:r>
          </w:p>
        </w:tc>
      </w:tr>
    </w:tbl>
    <w:p>
      <w:pPr>
        <w:pStyle w:val="Heading1"/>
      </w:pPr>
      <w:r>
        <w:t xml:space="preserve">5. Relaciones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3068"/>
        <w:gridCol w:w="1263"/>
        <w:gridCol w:w="3251"/>
      </w:tblGrid>
      <w:tr>
        <w:trPr>
          <w:tblHeader/>
        </w:trPr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66C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Origen</w:t>
            </w:r>
          </w:p>
        </w:tc>
        <w:tc>
          <w:tcPr>
            <w:tcW w:type="dxa" w:w="306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66C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Destino</w:t>
            </w:r>
          </w:p>
        </w:tc>
        <w:tc>
          <w:tcPr>
            <w:tcW w:type="dxa" w:w="1263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66C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Cardinalidad</w:t>
            </w:r>
          </w:p>
        </w:tc>
        <w:tc>
          <w:tcPr>
            <w:tcW w:type="dxa" w:w="325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66C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Implementación</w:t>
            </w:r>
          </w:p>
        </w:tc>
      </w:tr>
      <w:tr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users</w:t>
            </w:r>
          </w:p>
        </w:tc>
        <w:tc>
          <w:tcPr>
            <w:tcW w:type="dxa" w:w="306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plots, crops, field_logs, harvests, distributions</w:t>
            </w:r>
          </w:p>
        </w:tc>
        <w:tc>
          <w:tcPr>
            <w:tcW w:type="dxa" w:w="1263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 : N</w:t>
            </w:r>
          </w:p>
        </w:tc>
        <w:tc>
          <w:tcPr>
            <w:tcW w:type="dxa" w:w="325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Campos createdBy / author / registeredBy</w:t>
            </w:r>
          </w:p>
        </w:tc>
      </w:tr>
      <w:tr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plots</w:t>
            </w:r>
          </w:p>
        </w:tc>
        <w:tc>
          <w:tcPr>
            <w:tcW w:type="dxa" w:w="306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crops</w:t>
            </w:r>
          </w:p>
        </w:tc>
        <w:tc>
          <w:tcPr>
            <w:tcW w:type="dxa" w:w="1263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 : N</w:t>
            </w:r>
          </w:p>
        </w:tc>
        <w:tc>
          <w:tcPr>
            <w:tcW w:type="dxa" w:w="325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4521A"/>
                <w:sz w:val="19"/>
                <w:szCs w:val="19"/>
              </w:rPr>
              <w:t xml:space="preserve">crops.plot</w:t>
            </w:r>
          </w:p>
        </w:tc>
      </w:tr>
      <w:tr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crops</w:t>
            </w:r>
          </w:p>
        </w:tc>
        <w:tc>
          <w:tcPr>
            <w:tcW w:type="dxa" w:w="306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field_logs</w:t>
            </w:r>
          </w:p>
        </w:tc>
        <w:tc>
          <w:tcPr>
            <w:tcW w:type="dxa" w:w="1263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 : N</w:t>
            </w:r>
          </w:p>
        </w:tc>
        <w:tc>
          <w:tcPr>
            <w:tcW w:type="dxa" w:w="325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4521A"/>
                <w:sz w:val="19"/>
                <w:szCs w:val="19"/>
              </w:rPr>
              <w:t xml:space="preserve">field_logs.crop</w:t>
            </w:r>
            <w:r>
              <w:rPr>
                <w:sz w:val="19"/>
                <w:szCs w:val="19"/>
              </w:rPr>
              <w:t xml:space="preserve"> (+ plot desnormalizado)</w:t>
            </w:r>
          </w:p>
        </w:tc>
      </w:tr>
      <w:tr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crops</w:t>
            </w:r>
          </w:p>
        </w:tc>
        <w:tc>
          <w:tcPr>
            <w:tcW w:type="dxa" w:w="306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harvests</w:t>
            </w:r>
          </w:p>
        </w:tc>
        <w:tc>
          <w:tcPr>
            <w:tcW w:type="dxa" w:w="1263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 : N</w:t>
            </w:r>
          </w:p>
        </w:tc>
        <w:tc>
          <w:tcPr>
            <w:tcW w:type="dxa" w:w="325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4521A"/>
                <w:sz w:val="19"/>
                <w:szCs w:val="19"/>
              </w:rPr>
              <w:t xml:space="preserve">harvests.crop</w:t>
            </w:r>
            <w:r>
              <w:rPr>
                <w:sz w:val="19"/>
                <w:szCs w:val="19"/>
              </w:rPr>
              <w:t xml:space="preserve"> (+ plot desnormalizado)</w:t>
            </w:r>
          </w:p>
        </w:tc>
      </w:tr>
      <w:tr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harvests</w:t>
            </w:r>
          </w:p>
        </w:tc>
        <w:tc>
          <w:tcPr>
            <w:tcW w:type="dxa" w:w="306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distributions</w:t>
            </w:r>
          </w:p>
        </w:tc>
        <w:tc>
          <w:tcPr>
            <w:tcW w:type="dxa" w:w="1263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 : M</w:t>
            </w:r>
          </w:p>
        </w:tc>
        <w:tc>
          <w:tcPr>
            <w:tcW w:type="dxa" w:w="325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4521A"/>
                <w:sz w:val="19"/>
                <w:szCs w:val="19"/>
              </w:rPr>
              <w:t xml:space="preserve">distributions.items[].harvest</w:t>
            </w:r>
            <w:r>
              <w:rPr>
                <w:sz w:val="19"/>
                <w:szCs w:val="19"/>
              </w:rPr>
              <w:t xml:space="preserve"> (embebido)</w:t>
            </w:r>
          </w:p>
        </w:tc>
      </w:tr>
      <w:tr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plots</w:t>
            </w:r>
          </w:p>
        </w:tc>
        <w:tc>
          <w:tcPr>
            <w:tcW w:type="dxa" w:w="306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devices</w:t>
            </w:r>
          </w:p>
        </w:tc>
        <w:tc>
          <w:tcPr>
            <w:tcW w:type="dxa" w:w="1263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 : N</w:t>
            </w:r>
          </w:p>
        </w:tc>
        <w:tc>
          <w:tcPr>
            <w:tcW w:type="dxa" w:w="325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4521A"/>
                <w:sz w:val="19"/>
                <w:szCs w:val="19"/>
              </w:rPr>
              <w:t xml:space="preserve">devices.plot</w:t>
            </w:r>
            <w:r>
              <w:rPr>
                <w:sz w:val="19"/>
                <w:szCs w:val="19"/>
              </w:rPr>
              <w:t xml:space="preserve"> (opcional)</w:t>
            </w:r>
          </w:p>
        </w:tc>
      </w:tr>
      <w:tr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crops</w:t>
            </w:r>
          </w:p>
        </w:tc>
        <w:tc>
          <w:tcPr>
            <w:tcW w:type="dxa" w:w="306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devices</w:t>
            </w:r>
          </w:p>
        </w:tc>
        <w:tc>
          <w:tcPr>
            <w:tcW w:type="dxa" w:w="1263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 : N</w:t>
            </w:r>
          </w:p>
        </w:tc>
        <w:tc>
          <w:tcPr>
            <w:tcW w:type="dxa" w:w="325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4521A"/>
                <w:sz w:val="19"/>
                <w:szCs w:val="19"/>
              </w:rPr>
              <w:t xml:space="preserve">devices.crop</w:t>
            </w:r>
            <w:r>
              <w:rPr>
                <w:sz w:val="19"/>
                <w:szCs w:val="19"/>
              </w:rPr>
              <w:t xml:space="preserve"> (opcional)</w:t>
            </w:r>
          </w:p>
        </w:tc>
      </w:tr>
      <w:tr>
        <w:tc>
          <w:tcPr>
            <w:tcW w:type="dxa" w:w="144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devices</w:t>
            </w:r>
          </w:p>
        </w:tc>
        <w:tc>
          <w:tcPr>
            <w:tcW w:type="dxa" w:w="3068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sensor_readings</w:t>
            </w:r>
          </w:p>
        </w:tc>
        <w:tc>
          <w:tcPr>
            <w:tcW w:type="dxa" w:w="1263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 : N</w:t>
            </w:r>
          </w:p>
        </w:tc>
        <w:tc>
          <w:tcPr>
            <w:tcW w:type="dxa" w:w="325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4521A"/>
                <w:sz w:val="19"/>
                <w:szCs w:val="19"/>
              </w:rPr>
              <w:t xml:space="preserve">sensor_readings.device</w:t>
            </w:r>
          </w:p>
        </w:tc>
      </w:tr>
    </w:tbl>
    <w:p>
      <w:pPr>
        <w:pStyle w:val="Heading1"/>
      </w:pPr>
      <w:r>
        <w:t xml:space="preserve">6. Enumeraciones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4151"/>
        <w:gridCol w:w="3070"/>
      </w:tblGrid>
      <w:tr>
        <w:trPr>
          <w:tblHeader/>
        </w:trPr>
        <w:tc>
          <w:tcPr>
            <w:tcW w:type="dxa" w:w="180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66C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Enumeración</w:t>
            </w:r>
          </w:p>
        </w:tc>
        <w:tc>
          <w:tcPr>
            <w:tcW w:type="dxa" w:w="415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66C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Valores</w:t>
            </w:r>
          </w:p>
        </w:tc>
        <w:tc>
          <w:tcPr>
            <w:tcW w:type="dxa" w:w="307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66C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180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Role</w:t>
            </w:r>
          </w:p>
        </w:tc>
        <w:tc>
          <w:tcPr>
            <w:tcW w:type="dxa" w:w="415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admin, agronomist, farmer, student</w:t>
            </w:r>
          </w:p>
        </w:tc>
        <w:tc>
          <w:tcPr>
            <w:tcW w:type="dxa" w:w="307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Control de acceso (RBAC).</w:t>
            </w:r>
          </w:p>
        </w:tc>
      </w:tr>
      <w:tr>
        <w:tc>
          <w:tcPr>
            <w:tcW w:type="dxa" w:w="180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PlotStatus</w:t>
            </w:r>
          </w:p>
        </w:tc>
        <w:tc>
          <w:tcPr>
            <w:tcW w:type="dxa" w:w="415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active, inactive</w:t>
            </w:r>
          </w:p>
        </w:tc>
        <w:tc>
          <w:tcPr>
            <w:tcW w:type="dxa" w:w="307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Estado del predio.</w:t>
            </w:r>
          </w:p>
        </w:tc>
      </w:tr>
      <w:tr>
        <w:tc>
          <w:tcPr>
            <w:tcW w:type="dxa" w:w="180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WaterAccess</w:t>
            </w:r>
          </w:p>
        </w:tc>
        <w:tc>
          <w:tcPr>
            <w:tcW w:type="dxa" w:w="415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none, limited, permanent</w:t>
            </w:r>
          </w:p>
        </w:tc>
        <w:tc>
          <w:tcPr>
            <w:tcW w:type="dxa" w:w="307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Caracterización del predio.</w:t>
            </w:r>
          </w:p>
        </w:tc>
      </w:tr>
      <w:tr>
        <w:tc>
          <w:tcPr>
            <w:tcW w:type="dxa" w:w="180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SunExposure</w:t>
            </w:r>
          </w:p>
        </w:tc>
        <w:tc>
          <w:tcPr>
            <w:tcW w:type="dxa" w:w="415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low, medium, high</w:t>
            </w:r>
          </w:p>
        </w:tc>
        <w:tc>
          <w:tcPr>
            <w:tcW w:type="dxa" w:w="307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Caracterización del predio.</w:t>
            </w:r>
          </w:p>
        </w:tc>
      </w:tr>
      <w:tr>
        <w:tc>
          <w:tcPr>
            <w:tcW w:type="dxa" w:w="180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CropStatus</w:t>
            </w:r>
          </w:p>
        </w:tc>
        <w:tc>
          <w:tcPr>
            <w:tcW w:type="dxa" w:w="415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planned, planted, growing, harvesting, finished, lost</w:t>
            </w:r>
          </w:p>
        </w:tc>
        <w:tc>
          <w:tcPr>
            <w:tcW w:type="dxa" w:w="307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Ciclo de vida del cultivo.</w:t>
            </w:r>
          </w:p>
        </w:tc>
      </w:tr>
      <w:tr>
        <w:tc>
          <w:tcPr>
            <w:tcW w:type="dxa" w:w="180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FieldLogType</w:t>
            </w:r>
          </w:p>
        </w:tc>
        <w:tc>
          <w:tcPr>
            <w:tcW w:type="dxa" w:w="415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sowing, irrigation, fertilization, pest_control, weeding, observation, harvest, other</w:t>
            </w:r>
          </w:p>
        </w:tc>
        <w:tc>
          <w:tcPr>
            <w:tcW w:type="dxa" w:w="307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Tipo de actividad de campo.</w:t>
            </w:r>
          </w:p>
        </w:tc>
      </w:tr>
      <w:tr>
        <w:tc>
          <w:tcPr>
            <w:tcW w:type="dxa" w:w="180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HarvestQuality</w:t>
            </w:r>
          </w:p>
        </w:tc>
        <w:tc>
          <w:tcPr>
            <w:tcW w:type="dxa" w:w="415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high, medium, low</w:t>
            </w:r>
          </w:p>
        </w:tc>
        <w:tc>
          <w:tcPr>
            <w:tcW w:type="dxa" w:w="307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Calidad de la cosecha.</w:t>
            </w:r>
          </w:p>
        </w:tc>
      </w:tr>
      <w:tr>
        <w:tc>
          <w:tcPr>
            <w:tcW w:type="dxa" w:w="1805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DeviceStatus</w:t>
            </w:r>
          </w:p>
        </w:tc>
        <w:tc>
          <w:tcPr>
            <w:tcW w:type="dxa" w:w="415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active, inactive, unknown</w:t>
            </w:r>
          </w:p>
        </w:tc>
        <w:tc>
          <w:tcPr>
            <w:tcW w:type="dxa" w:w="3070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Estado del dispositivo.</w:t>
            </w:r>
          </w:p>
        </w:tc>
      </w:tr>
    </w:tbl>
    <w:p>
      <w:pPr>
        <w:pStyle w:val="Heading1"/>
      </w:pPr>
      <w:r>
        <w:t xml:space="preserve">7. Índices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3971"/>
        <w:gridCol w:w="3431"/>
      </w:tblGrid>
      <w:tr>
        <w:trPr>
          <w:tblHeader/>
        </w:trPr>
        <w:tc>
          <w:tcPr>
            <w:tcW w:type="dxa" w:w="162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66C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Colección</w:t>
            </w:r>
          </w:p>
        </w:tc>
        <w:tc>
          <w:tcPr>
            <w:tcW w:type="dxa" w:w="397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66C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Índice</w:t>
            </w:r>
          </w:p>
        </w:tc>
        <w:tc>
          <w:tcPr>
            <w:tcW w:type="dxa" w:w="34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066C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Motivo</w:t>
            </w:r>
          </w:p>
        </w:tc>
      </w:tr>
      <w:tr>
        <w:tc>
          <w:tcPr>
            <w:tcW w:type="dxa" w:w="162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users</w:t>
            </w:r>
          </w:p>
        </w:tc>
        <w:tc>
          <w:tcPr>
            <w:tcW w:type="dxa" w:w="397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{ email: 1 } único · { role: 1 }</w:t>
            </w:r>
          </w:p>
        </w:tc>
        <w:tc>
          <w:tcPr>
            <w:tcW w:type="dxa" w:w="34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Login y filtros por rol.</w:t>
            </w:r>
          </w:p>
        </w:tc>
      </w:tr>
      <w:tr>
        <w:tc>
          <w:tcPr>
            <w:tcW w:type="dxa" w:w="162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plots</w:t>
            </w:r>
          </w:p>
        </w:tc>
        <w:tc>
          <w:tcPr>
            <w:tcW w:type="dxa" w:w="397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{ "location.point": "2dsphere" }</w:t>
            </w:r>
          </w:p>
        </w:tc>
        <w:tc>
          <w:tcPr>
            <w:tcW w:type="dxa" w:w="34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Consultas geoespaciales y mapa.</w:t>
            </w:r>
          </w:p>
        </w:tc>
      </w:tr>
      <w:tr>
        <w:tc>
          <w:tcPr>
            <w:tcW w:type="dxa" w:w="162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plots</w:t>
            </w:r>
          </w:p>
        </w:tc>
        <w:tc>
          <w:tcPr>
            <w:tcW w:type="dxa" w:w="397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{ "location.district": 1 } · { status: 1 }</w:t>
            </w:r>
          </w:p>
        </w:tc>
        <w:tc>
          <w:tcPr>
            <w:tcW w:type="dxa" w:w="34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Filtros por corregimiento y estado.</w:t>
            </w:r>
          </w:p>
        </w:tc>
      </w:tr>
      <w:tr>
        <w:tc>
          <w:tcPr>
            <w:tcW w:type="dxa" w:w="162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crops</w:t>
            </w:r>
          </w:p>
        </w:tc>
        <w:tc>
          <w:tcPr>
            <w:tcW w:type="dxa" w:w="397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{ plot: 1 } · { status: 1 } · { expectedHarvestAt: 1 }</w:t>
            </w:r>
          </w:p>
        </w:tc>
        <w:tc>
          <w:tcPr>
            <w:tcW w:type="dxa" w:w="34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Cultivos por predio y línea de tiempo de cosechas.</w:t>
            </w:r>
          </w:p>
        </w:tc>
      </w:tr>
      <w:tr>
        <w:tc>
          <w:tcPr>
            <w:tcW w:type="dxa" w:w="162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field_logs</w:t>
            </w:r>
          </w:p>
        </w:tc>
        <w:tc>
          <w:tcPr>
            <w:tcW w:type="dxa" w:w="397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{ crop: 1 } · { plot: 1 } · { date: -1 }</w:t>
            </w:r>
          </w:p>
        </w:tc>
        <w:tc>
          <w:tcPr>
            <w:tcW w:type="dxa" w:w="34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Bitácora por cultivo/predio, orden cronológico.</w:t>
            </w:r>
          </w:p>
        </w:tc>
      </w:tr>
      <w:tr>
        <w:tc>
          <w:tcPr>
            <w:tcW w:type="dxa" w:w="162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harvests</w:t>
            </w:r>
          </w:p>
        </w:tc>
        <w:tc>
          <w:tcPr>
            <w:tcW w:type="dxa" w:w="397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{ crop: 1 } · { plot: 1 } · { harvestedAt: -1 }</w:t>
            </w:r>
          </w:p>
        </w:tc>
        <w:tc>
          <w:tcPr>
            <w:tcW w:type="dxa" w:w="34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Historial de cosechas.</w:t>
            </w:r>
          </w:p>
        </w:tc>
      </w:tr>
      <w:tr>
        <w:tc>
          <w:tcPr>
            <w:tcW w:type="dxa" w:w="162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distributions</w:t>
            </w:r>
          </w:p>
        </w:tc>
        <w:tc>
          <w:tcPr>
            <w:tcW w:type="dxa" w:w="397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{ date: 1 }</w:t>
            </w:r>
          </w:p>
        </w:tc>
        <w:tc>
          <w:tcPr>
            <w:tcW w:type="dxa" w:w="34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Consulta por rango de fechas.</w:t>
            </w:r>
          </w:p>
        </w:tc>
      </w:tr>
      <w:tr>
        <w:tc>
          <w:tcPr>
            <w:tcW w:type="dxa" w:w="162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devices</w:t>
            </w:r>
          </w:p>
        </w:tc>
        <w:tc>
          <w:tcPr>
            <w:tcW w:type="dxa" w:w="397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{ provider: 1, externalId: 1 } único</w:t>
            </w:r>
          </w:p>
        </w:tc>
        <w:tc>
          <w:tcPr>
            <w:tcW w:type="dxa" w:w="34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BF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Resolver el dispositivo de cada lectura entrante.</w:t>
            </w:r>
          </w:p>
        </w:tc>
      </w:tr>
      <w:tr>
        <w:tc>
          <w:tcPr>
            <w:tcW w:type="dxa" w:w="1624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sensor_readings</w:t>
            </w:r>
          </w:p>
        </w:tc>
        <w:tc>
          <w:tcPr>
            <w:tcW w:type="dxa" w:w="397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{ device: 1, metric: 1, recordedAt: -1 }</w:t>
            </w:r>
          </w:p>
        </w:tc>
        <w:tc>
          <w:tcPr>
            <w:tcW w:type="dxa" w:w="3431"/>
            <w:tcBorders>
              <w:top w:val="single" w:color="E3DCCB" w:sz="4"/>
              <w:left w:val="single" w:color="E3DCCB" w:sz="4"/>
              <w:bottom w:val="single" w:color="E3DCCB" w:sz="4"/>
              <w:right w:val="single" w:color="E3DCC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Series de tiempo por dispositivo y métrica.</w:t>
            </w:r>
          </w:p>
        </w:tc>
      </w:tr>
    </w:tbl>
    <w:p>
      <w:pPr>
        <w:pStyle w:val="Heading1"/>
      </w:pPr>
      <w:r>
        <w:t xml:space="preserve">8. Reglas de negocio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Un predio con cultivos no puede eliminarse; un cultivo con cosechas tampoco (409 Conflict).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La fecha estimada de cosecha = </w:t>
      </w:r>
      <w:r>
        <w:rPr>
          <w:rFonts w:ascii="Consolas" w:cs="Consolas" w:eastAsia="Consolas" w:hAnsi="Consolas"/>
          <w:color w:val="04521A"/>
          <w:sz w:val="20"/>
          <w:szCs w:val="20"/>
        </w:rPr>
        <w:t xml:space="preserve">plantedAt + cycleDays</w:t>
      </w:r>
      <w:r>
        <w:t xml:space="preserve"> cuando no se envía explícitamente, y nunca puede ser anterior a la siembra.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Registrar una cosecha pasa el cultivo a </w:t>
      </w:r>
      <w:r>
        <w:rPr>
          <w:rFonts w:ascii="Consolas" w:cs="Consolas" w:eastAsia="Consolas" w:hAnsi="Consolas"/>
          <w:color w:val="04521A"/>
          <w:sz w:val="20"/>
          <w:szCs w:val="20"/>
        </w:rPr>
        <w:t xml:space="preserve">harvesting</w:t>
      </w:r>
      <w:r>
        <w:t xml:space="preserve"> y deja todos sus kilos disponibles.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Una entrega descuenta kilos de cada cosecha con una actualización atómica condicional (</w:t>
      </w:r>
      <w:r>
        <w:rPr>
          <w:rFonts w:ascii="Consolas" w:cs="Consolas" w:eastAsia="Consolas" w:hAnsi="Consolas"/>
          <w:color w:val="04521A"/>
          <w:sz w:val="20"/>
          <w:szCs w:val="20"/>
        </w:rPr>
        <w:t xml:space="preserve">availableKg &gt;= cantidad</w:t>
      </w:r>
      <w:r>
        <w:t xml:space="preserve">); si alguna falla, se revierten las reservas (compensación sin requerir replica set).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Una cosecha parcialmente distribuida no puede eliminarse.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Solo el autor de un registro de bitácora o un administrador puede editarlo o eliminarlo.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Cambiar el rol o desactivar a un usuario incrementa </w:t>
      </w:r>
      <w:r>
        <w:rPr>
          <w:rFonts w:ascii="Consolas" w:cs="Consolas" w:eastAsia="Consolas" w:hAnsi="Consolas"/>
          <w:color w:val="04521A"/>
          <w:sz w:val="20"/>
          <w:szCs w:val="20"/>
        </w:rPr>
        <w:t xml:space="preserve">tokenVersion</w:t>
      </w:r>
      <w:r>
        <w:t xml:space="preserve"> e invalida sus sesiones.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Las lecturas de sensores de dispositivos no registrados se descartan (</w:t>
      </w:r>
      <w:r>
        <w:rPr>
          <w:rFonts w:ascii="Consolas" w:cs="Consolas" w:eastAsia="Consolas" w:hAnsi="Consolas"/>
          <w:color w:val="04521A"/>
          <w:sz w:val="20"/>
          <w:szCs w:val="20"/>
        </w:rPr>
        <w:t xml:space="preserve">skipped</w:t>
      </w:r>
      <w:r>
        <w:t xml:space="preserve">).</w:t>
      </w:r>
    </w:p>
    <w:p>
      <w:pPr>
        <w:pStyle w:val="Heading1"/>
      </w:pPr>
      <w:r>
        <w:t xml:space="preserve">9. Extensión IoT: patrón Adapter</w:t>
      </w:r>
    </w:p>
    <w:p>
      <w:pPr>
        <w:spacing w:after="140" w:line="300"/>
      </w:pPr>
      <w:r>
        <w:t xml:space="preserve">Los dispositivos y el formato de sus datos aún no están definidos. Por eso el modelo separa la </w:t>
      </w:r>
      <w:r>
        <w:rPr>
          <w:b/>
          <w:bCs/>
        </w:rPr>
        <w:t xml:space="preserve">lectura normalizada</w:t>
      </w:r>
      <w:r>
        <w:t xml:space="preserve"> (</w:t>
      </w:r>
      <w:r>
        <w:rPr>
          <w:rFonts w:ascii="Consolas" w:cs="Consolas" w:eastAsia="Consolas" w:hAnsi="Consolas"/>
          <w:color w:val="04521A"/>
          <w:sz w:val="20"/>
          <w:szCs w:val="20"/>
        </w:rPr>
        <w:t xml:space="preserve">sensor_readings</w:t>
      </w:r>
      <w:r>
        <w:t xml:space="preserve">) del </w:t>
      </w:r>
      <w:r>
        <w:rPr>
          <w:b/>
          <w:bCs/>
        </w:rPr>
        <w:t xml:space="preserve">formato del proveedor</w:t>
      </w:r>
      <w:r>
        <w:t xml:space="preserve">, que se traduce en el backend dentro de </w:t>
      </w:r>
      <w:r>
        <w:rPr>
          <w:rFonts w:ascii="Consolas" w:cs="Consolas" w:eastAsia="Consolas" w:hAnsi="Consolas"/>
          <w:color w:val="04521A"/>
          <w:sz w:val="20"/>
          <w:szCs w:val="20"/>
        </w:rPr>
        <w:t xml:space="preserve">src/adapters/sensors/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onsolas" w:cs="Consolas" w:eastAsia="Consolas" w:hAnsi="Consolas"/>
          <w:color w:val="04521A"/>
          <w:sz w:val="20"/>
          <w:szCs w:val="20"/>
        </w:rPr>
        <w:t xml:space="preserve">ISensorAdapter</w:t>
      </w:r>
      <w:r>
        <w:t xml:space="preserve"> define el contrato: </w:t>
      </w:r>
      <w:r>
        <w:rPr>
          <w:rFonts w:ascii="Consolas" w:cs="Consolas" w:eastAsia="Consolas" w:hAnsi="Consolas"/>
          <w:color w:val="04521A"/>
          <w:sz w:val="20"/>
          <w:szCs w:val="20"/>
        </w:rPr>
        <w:t xml:space="preserve">fetchReadings()</w:t>
      </w:r>
      <w:r>
        <w:t xml:space="preserve"> (modo PULL) y </w:t>
      </w:r>
      <w:r>
        <w:rPr>
          <w:rFonts w:ascii="Consolas" w:cs="Consolas" w:eastAsia="Consolas" w:hAnsi="Consolas"/>
          <w:color w:val="04521A"/>
          <w:sz w:val="20"/>
          <w:szCs w:val="20"/>
        </w:rPr>
        <w:t xml:space="preserve">normalize()</w:t>
      </w:r>
      <w:r>
        <w:t xml:space="preserve"> (modo PUSH).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onsolas" w:cs="Consolas" w:eastAsia="Consolas" w:hAnsi="Consolas"/>
          <w:color w:val="04521A"/>
          <w:sz w:val="20"/>
          <w:szCs w:val="20"/>
        </w:rPr>
        <w:t xml:space="preserve">MockSensorAdapter</w:t>
      </w:r>
      <w:r>
        <w:t xml:space="preserve"> simula lecturas realistas para desarrollo; </w:t>
      </w:r>
      <w:r>
        <w:rPr>
          <w:rFonts w:ascii="Consolas" w:cs="Consolas" w:eastAsia="Consolas" w:hAnsi="Consolas"/>
          <w:color w:val="04521A"/>
          <w:sz w:val="20"/>
          <w:szCs w:val="20"/>
        </w:rPr>
        <w:t xml:space="preserve">HttpSensorAdapter</w:t>
      </w:r>
      <w:r>
        <w:t xml:space="preserve"> es la plantilla para APIs REST.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Integrar un proveedor real = crear un adapter y registrarlo; colecciones, servicios y frontend no cambian.</w:t>
      </w:r>
    </w:p>
    <w:p>
      <w:r>
        <w:br w:type="page"/>
      </w:r>
    </w:p>
    <w:p>
      <w:pPr>
        <w:pStyle w:val="Heading1"/>
      </w:pPr>
      <w:r>
        <w:t xml:space="preserve">10. Ejemplo de documento</w:t>
      </w:r>
    </w:p>
    <w:p>
      <w:pPr>
        <w:spacing w:after="120"/>
      </w:pPr>
      <w:r>
        <w:rPr>
          <w:i/>
          <w:iCs/>
          <w:color w:val="879284"/>
          <w:sz w:val="19"/>
          <w:szCs w:val="19"/>
        </w:rPr>
        <w:t xml:space="preserve">Documento de la colección plots tal como lo devuelve la API (GET /api/v1/plots/:id).</w:t>
      </w:r>
    </w:p>
    <w:p>
      <w:pPr>
        <w:pBdr>
          <w:top w:val="single" w:color="E3DCCB" w:sz="4" w:space="4"/>
        </w:pBdr>
        <w:shd w:fill="F7F4EC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1E2B21"/>
          <w:sz w:val="18"/>
          <w:szCs w:val="18"/>
        </w:rPr>
        <w:t xml:space="preserve">{</w:t>
      </w:r>
    </w:p>
    <w:p>
      <w:pPr>
        <w:shd w:fill="F7F4EC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1E2B21"/>
          <w:sz w:val="18"/>
          <w:szCs w:val="18"/>
        </w:rPr>
        <w:t xml:space="preserve">  "id": "6ad25d086197d5c8dca10e49",</w:t>
      </w:r>
    </w:p>
    <w:p>
      <w:pPr>
        <w:shd w:fill="F7F4EC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1E2B21"/>
          <w:sz w:val="18"/>
          <w:szCs w:val="18"/>
        </w:rPr>
        <w:t xml:space="preserve">  "name": "Predio Martínez",</w:t>
      </w:r>
    </w:p>
    <w:p>
      <w:pPr>
        <w:shd w:fill="F7F4EC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1E2B21"/>
          <w:sz w:val="18"/>
          <w:szCs w:val="18"/>
        </w:rPr>
        <w:t xml:space="preserve">  "owner": { "name": "Familia Martínez", "phone": "300 000 0000" },</w:t>
      </w:r>
    </w:p>
    <w:p>
      <w:pPr>
        <w:shd w:fill="F7F4EC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1E2B21"/>
          <w:sz w:val="18"/>
          <w:szCs w:val="18"/>
        </w:rPr>
        <w:t xml:space="preserve">  "location": {</w:t>
      </w:r>
    </w:p>
    <w:p>
      <w:pPr>
        <w:shd w:fill="F7F4EC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1E2B21"/>
          <w:sz w:val="18"/>
          <w:szCs w:val="18"/>
        </w:rPr>
        <w:t xml:space="preserve">    "municipality": "Cereté",</w:t>
      </w:r>
    </w:p>
    <w:p>
      <w:pPr>
        <w:shd w:fill="F7F4EC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1E2B21"/>
          <w:sz w:val="18"/>
          <w:szCs w:val="18"/>
        </w:rPr>
        <w:t xml:space="preserve">    "district": "Martínez",</w:t>
      </w:r>
    </w:p>
    <w:p>
      <w:pPr>
        <w:shd w:fill="F7F4EC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1E2B21"/>
          <w:sz w:val="18"/>
          <w:szCs w:val="18"/>
        </w:rPr>
        <w:t xml:space="preserve">    "point": { "type": "Point", "coordinates": [-75.7694, 8.8702] }</w:t>
      </w:r>
    </w:p>
    <w:p>
      <w:pPr>
        <w:shd w:fill="F7F4EC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1E2B21"/>
          <w:sz w:val="18"/>
          <w:szCs w:val="18"/>
        </w:rPr>
        <w:t xml:space="preserve">  },</w:t>
      </w:r>
    </w:p>
    <w:p>
      <w:pPr>
        <w:shd w:fill="F7F4EC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1E2B21"/>
          <w:sz w:val="18"/>
          <w:szCs w:val="18"/>
        </w:rPr>
        <w:t xml:space="preserve">  "areaM2": 2500,</w:t>
      </w:r>
    </w:p>
    <w:p>
      <w:pPr>
        <w:shd w:fill="F7F4EC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1E2B21"/>
          <w:sz w:val="18"/>
          <w:szCs w:val="18"/>
        </w:rPr>
        <w:t xml:space="preserve">  "characterization": {</w:t>
      </w:r>
    </w:p>
    <w:p>
      <w:pPr>
        <w:shd w:fill="F7F4EC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1E2B21"/>
          <w:sz w:val="18"/>
          <w:szCs w:val="18"/>
        </w:rPr>
        <w:t xml:space="preserve">    "soilType": "Franco arcilloso",</w:t>
      </w:r>
    </w:p>
    <w:p>
      <w:pPr>
        <w:shd w:fill="F7F4EC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1E2B21"/>
          <w:sz w:val="18"/>
          <w:szCs w:val="18"/>
        </w:rPr>
        <w:t xml:space="preserve">    "waterAccess": "limited",</w:t>
      </w:r>
    </w:p>
    <w:p>
      <w:pPr>
        <w:shd w:fill="F7F4EC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1E2B21"/>
          <w:sz w:val="18"/>
          <w:szCs w:val="18"/>
        </w:rPr>
        <w:t xml:space="preserve">    "sunExposure": "high",</w:t>
      </w:r>
    </w:p>
    <w:p>
      <w:pPr>
        <w:shd w:fill="F7F4EC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1E2B21"/>
          <w:sz w:val="18"/>
          <w:szCs w:val="18"/>
        </w:rPr>
        <w:t xml:space="preserve">    "landUseHistory": "Pastoreo y cultivos de pancoger"</w:t>
      </w:r>
    </w:p>
    <w:p>
      <w:pPr>
        <w:shd w:fill="F7F4EC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1E2B21"/>
          <w:sz w:val="18"/>
          <w:szCs w:val="18"/>
        </w:rPr>
        <w:t xml:space="preserve">  },</w:t>
      </w:r>
    </w:p>
    <w:p>
      <w:pPr>
        <w:shd w:fill="F7F4EC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1E2B21"/>
          <w:sz w:val="18"/>
          <w:szCs w:val="18"/>
        </w:rPr>
        <w:t xml:space="preserve">  "status": "active",</w:t>
      </w:r>
    </w:p>
    <w:p>
      <w:pPr>
        <w:shd w:fill="F7F4EC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1E2B21"/>
          <w:sz w:val="18"/>
          <w:szCs w:val="18"/>
        </w:rPr>
        <w:t xml:space="preserve">  "createdAt": "2026-10-16T17:21:12.771Z"</w:t>
      </w:r>
    </w:p>
    <w:p>
      <w:pPr>
        <w:pBdr>
          <w:bottom w:val="single" w:color="E3DCCB" w:sz="4" w:space="4"/>
        </w:pBdr>
        <w:shd w:fill="F7F4EC" w:color="auto" w:val="clear"/>
        <w:spacing w:after="0" w:line="260"/>
        <w:ind w:left="200" w:right="200"/>
      </w:pPr>
      <w:r>
        <w:rPr>
          <w:rFonts w:ascii="Consolas" w:cs="Consolas" w:eastAsia="Consolas" w:hAnsi="Consolas"/>
          <w:color w:val="1E2B21"/>
          <w:sz w:val="18"/>
          <w:szCs w:val="18"/>
        </w:rPr>
        <w:t xml:space="preserve">}</w:t>
      </w:r>
    </w:p>
    <w:sectPr>
      <w:headerReference w:type="default" r:id="rId10"/>
      <w:footerReference w:type="default" r:id="rId11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79284"/>
        <w:sz w:val="17"/>
        <w:szCs w:val="17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79284"/>
        <w:sz w:val="17"/>
        <w:szCs w:val="17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79284"/>
        <w:sz w:val="17"/>
        <w:szCs w:val="17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DCCB" w:sz="4" w:space="4"/>
      </w:pBdr>
      <w:jc w:val="right"/>
    </w:pPr>
    <w:r>
      <w:rPr>
        <w:color w:val="879284"/>
        <w:sz w:val="17"/>
        <w:szCs w:val="17"/>
      </w:rPr>
      <w:t xml:space="preserve">AgroMap-Cereté · Modelado de datos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DCCB" w:sz="4" w:space="4"/>
      </w:pBdr>
      <w:jc w:val="right"/>
    </w:pPr>
    <w:r>
      <w:rPr>
        <w:color w:val="879284"/>
        <w:sz w:val="17"/>
        <w:szCs w:val="17"/>
      </w:rPr>
      <w:t xml:space="preserve">AgroMap-Cereté · Modelado de datos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DCCB" w:sz="4" w:space="4"/>
      </w:pBdr>
      <w:jc w:val="right"/>
    </w:pPr>
    <w:r>
      <w:rPr>
        <w:color w:val="879284"/>
        <w:sz w:val="17"/>
        <w:szCs w:val="17"/>
      </w:rPr>
      <w:t xml:space="preserve">AgroMap-Cereté · Modelado de datos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B21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Georgia" w:cs="Georgia" w:eastAsia="Georgia" w:hAnsi="Georgia"/>
      <w:b/>
      <w:bCs/>
      <w:color w:val="066C2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Georgia" w:cs="Georgia" w:eastAsia="Georgia" w:hAnsi="Georgia"/>
      <w:b/>
      <w:bCs/>
      <w:color w:val="1E2B2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4F5E52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theme" Target="theme/theme1.xml"/><Relationship Id="rId13" Type="http://schemas.openxmlformats.org/officeDocument/2006/relationships/image" Target="media/eed229c72ea5c9471f513c49316af8196f9d14d0.png"/><Relationship Id="rId14" Type="http://schemas.openxmlformats.org/officeDocument/2006/relationships/image" Target="media/282aa22d93007c3a8d2b686fe556f067238674dc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Modelado de datos · AgroMap-Cereté</dc:title>
  <dc:creator>AgroMap-Cereté</dc:creator>
  <cp:lastModifiedBy>Un-named</cp:lastModifiedBy>
  <cp:revision>1</cp:revision>
  <dcterms:created xsi:type="dcterms:W3CDTF">2026-10-16T20:08:39.389Z</dcterms:created>
  <dcterms:modified xsi:type="dcterms:W3CDTF">2026-10-16T20:08:39.390Z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