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18: Advanced Portfolio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Advanced portfolio management combines quantitative models and behavioral insights to build, monitor, and optimize investment portfolios. The objective is to maximize returns for a given level of risk, aligning with an investor’s financial goals and tolerance.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18.1 Modern Portfolio Theory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Modern Portfolio Theory (MPT), developed by Harry Markowitz in the 1950s, revolutionized investing by mathematically defining the relationship between risk and return. It suggests that investors can construct an optimal portfolio that offers the highest expected return for a defined level of risk by diversifying across assets with low correlation.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total risk of a diversified portfolio is not simply the sum of individual asset risks. Diversification reduces unsystematic risk, leaving systematic risk as the dominant factor influenced by market movements.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expected return of a portfolio is calculated 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E(R_p) = \sum_{i=1}^{n} w_i E(R_i)</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the variance (risk) 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\sigma_p^2 = \sum_{i=1}^{n} w_i^2 \sigma_i^2 + 2 \sum_{i &lt; j} w_i w_j \sigma_i \sigma_j \rho_{ij}</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where $$ w_i $$ are asset weights, $$ \sigma_i $$ are standard deviations, and $$ \rho_{ij} $$ is the correlation between assets.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18.2 Efficient Frontier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efficient frontier represents the set of optimal portfolios that offer the maximum expected return for a given level of risk. Portfolios below this curve are inefficient—they yield less return for more risk—while portfolios on the frontier achieve the most efficient risk-return balance.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Investors select a point on the efficient frontier based on their risk tolerance. Conservative investors gravitate toward lower-risk options, while aggressive investors choose higher-risk, higher-return portfolios.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tangent line to the efficient frontier, drawn from the risk-free rate, identifies the optimal portfolio mix known as the **market portfolio**.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18.3 Sharpe Ratio and Risk Metrics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**Sharpe ratio** measures risk-adjusted performance: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\text{Sharpe Ratio} = \frac{E(R_p) - R_f}{\sigma_p}</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where $$ R_f $$ is the risk-free rate and $$ \sigma_p $$ is the portfolio’s standard deviation.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higher Sharpe ratio indicates more efficient returns per unit of risk. Complementary risk metrics include: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**Sortino Ratio:** Focuses only on downside volatility.</w:t>
      </w:r>
    </w:p>
    <w:p w:rsidR="00000000" w:rsidDel="00000000" w:rsidP="00000000" w:rsidRDefault="00000000" w:rsidRPr="00000000" w14:paraId="00000034">
      <w:pPr>
        <w:rPr/>
      </w:pPr>
      <w:r w:rsidDel="00000000" w:rsidR="00000000" w:rsidRPr="00000000">
        <w:rPr>
          <w:rtl w:val="0"/>
        </w:rPr>
        <w:t xml:space="preserve">- **Treynor Ratio:** Uses beta instead of total volatility.</w:t>
      </w:r>
    </w:p>
    <w:p w:rsidR="00000000" w:rsidDel="00000000" w:rsidP="00000000" w:rsidRDefault="00000000" w:rsidRPr="00000000" w14:paraId="00000035">
      <w:pPr>
        <w:rPr/>
      </w:pPr>
      <w:r w:rsidDel="00000000" w:rsidR="00000000" w:rsidRPr="00000000">
        <w:rPr>
          <w:rtl w:val="0"/>
        </w:rPr>
        <w:t xml:space="preserve">- **Information Ratio:** Assesses returns relative to a benchmark tracking error.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These metrics allow investors to compare performance across portfolios or fund managers.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18.4 Alpha and Beta Explained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Alpha and beta are key components in performance attribution.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**Alpha** measures excess return relative to a benchmark, representing value added by active management.</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\alpha = R_p - [R_f + \beta (R_m - R_f)]</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Positive alpha indicates superior active management performance.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**Beta** measures sensitivity of portfolio returns to market movements.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\beta = \frac{\text{Cov}(R_p, R_m)}{\text{Var}(R_m)}</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Beta above 1 implies higher market sensitivity; below 1 indicates defensive positioning.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18.5 Factor Investing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Factor investing involves targeting specific drivers of return—known as factors—that influence asset performance. Common factors include: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**Value:** Stocks trading below intrinsic value.</w:t>
      </w:r>
    </w:p>
    <w:p w:rsidR="00000000" w:rsidDel="00000000" w:rsidP="00000000" w:rsidRDefault="00000000" w:rsidRPr="00000000" w14:paraId="00000056">
      <w:pPr>
        <w:rPr/>
      </w:pPr>
      <w:r w:rsidDel="00000000" w:rsidR="00000000" w:rsidRPr="00000000">
        <w:rPr>
          <w:rtl w:val="0"/>
        </w:rPr>
        <w:t xml:space="preserve">- **Momentum:** Securities showing recent strong performance.</w:t>
      </w:r>
    </w:p>
    <w:p w:rsidR="00000000" w:rsidDel="00000000" w:rsidP="00000000" w:rsidRDefault="00000000" w:rsidRPr="00000000" w14:paraId="00000057">
      <w:pPr>
        <w:rPr/>
      </w:pPr>
      <w:r w:rsidDel="00000000" w:rsidR="00000000" w:rsidRPr="00000000">
        <w:rPr>
          <w:rtl w:val="0"/>
        </w:rPr>
        <w:t xml:space="preserve">- **Size:** Small-cap stocks tend to outperform large caps over time.</w:t>
      </w:r>
    </w:p>
    <w:p w:rsidR="00000000" w:rsidDel="00000000" w:rsidP="00000000" w:rsidRDefault="00000000" w:rsidRPr="00000000" w14:paraId="00000058">
      <w:pPr>
        <w:rPr/>
      </w:pPr>
      <w:r w:rsidDel="00000000" w:rsidR="00000000" w:rsidRPr="00000000">
        <w:rPr>
          <w:rtl w:val="0"/>
        </w:rPr>
        <w:t xml:space="preserve">- **Quality:** Firms with high profitability and low debt.</w:t>
      </w:r>
    </w:p>
    <w:p w:rsidR="00000000" w:rsidDel="00000000" w:rsidP="00000000" w:rsidRDefault="00000000" w:rsidRPr="00000000" w14:paraId="00000059">
      <w:pPr>
        <w:rPr/>
      </w:pPr>
      <w:r w:rsidDel="00000000" w:rsidR="00000000" w:rsidRPr="00000000">
        <w:rPr>
          <w:rtl w:val="0"/>
        </w:rPr>
        <w:t xml:space="preserve">- **Low volatility:** Assets that provide stable returns with reduced drawdowns.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Blending these factors into a portfolio enhances diversification across return sources rather than individual securities.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18.6 Strategic vs. Tactical Asset Allocation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**Strategic Asset Allocation (SAA):** A long-term, policy-driven distribution of assets based on investor objectives, risk tolerance, and time horizon. SAA remains constant except for periodic rebalancing.</w:t>
      </w:r>
    </w:p>
    <w:p w:rsidR="00000000" w:rsidDel="00000000" w:rsidP="00000000" w:rsidRDefault="00000000" w:rsidRPr="00000000" w14:paraId="00000062">
      <w:pPr>
        <w:rPr/>
      </w:pPr>
      <w:r w:rsidDel="00000000" w:rsidR="00000000" w:rsidRPr="00000000">
        <w:rPr>
          <w:rtl w:val="0"/>
        </w:rPr>
        <w:t xml:space="preserve">- **Tactical Asset Allocation (TAA):** Short- to medium-term deviations from the strategic mix to exploit market inefficiencies, valuation discrepancies, or macroeconomic trends.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Successful portfolio management often combines the discipline of SAA with the flexibility of TAA.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18.7 Hedging Strategies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Hedging protects portfolios against adverse market movements by offsetting potential losses through derivative instruments or asset selection.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Common methods include: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**Options:** Buying puts or selling calls to lock in downside protection or income.</w:t>
      </w:r>
    </w:p>
    <w:p w:rsidR="00000000" w:rsidDel="00000000" w:rsidP="00000000" w:rsidRDefault="00000000" w:rsidRPr="00000000" w14:paraId="0000006F">
      <w:pPr>
        <w:rPr/>
      </w:pPr>
      <w:r w:rsidDel="00000000" w:rsidR="00000000" w:rsidRPr="00000000">
        <w:rPr>
          <w:rtl w:val="0"/>
        </w:rPr>
        <w:t xml:space="preserve">- **Futures contracts:** Hedging commodities, interest rates, or currencies.</w:t>
      </w:r>
    </w:p>
    <w:p w:rsidR="00000000" w:rsidDel="00000000" w:rsidP="00000000" w:rsidRDefault="00000000" w:rsidRPr="00000000" w14:paraId="00000070">
      <w:pPr>
        <w:rPr/>
      </w:pPr>
      <w:r w:rsidDel="00000000" w:rsidR="00000000" w:rsidRPr="00000000">
        <w:rPr>
          <w:rtl w:val="0"/>
        </w:rPr>
        <w:t xml:space="preserve">- **Inverse ETFs:** Gaining when market indices decline.</w:t>
      </w:r>
    </w:p>
    <w:p w:rsidR="00000000" w:rsidDel="00000000" w:rsidP="00000000" w:rsidRDefault="00000000" w:rsidRPr="00000000" w14:paraId="00000071">
      <w:pPr>
        <w:rPr/>
      </w:pPr>
      <w:r w:rsidDel="00000000" w:rsidR="00000000" w:rsidRPr="00000000">
        <w:rPr>
          <w:rtl w:val="0"/>
        </w:rPr>
        <w:t xml:space="preserve">- **Diversification:** Naturally hedging through uncorrelated assets like bonds or gold.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While hedging reduces risk exposure, it can also cap potential gains and increase transaction costs.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18.8 Portfolio Optimization Techniques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Portfolio optimization seeks the best combination of assets to achieve specific objectives. Techniques range from classical to modern data-driven models: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**Mean-Variance Optimization (MVO):** Employs expected returns, variances, and covariances to determine optimal weights.</w:t>
      </w:r>
    </w:p>
    <w:p w:rsidR="00000000" w:rsidDel="00000000" w:rsidP="00000000" w:rsidRDefault="00000000" w:rsidRPr="00000000" w14:paraId="0000007C">
      <w:pPr>
        <w:rPr/>
      </w:pPr>
      <w:r w:rsidDel="00000000" w:rsidR="00000000" w:rsidRPr="00000000">
        <w:rPr>
          <w:rtl w:val="0"/>
        </w:rPr>
        <w:t xml:space="preserve">- **Black-Litterman Model:** Integrates investor views into the optimization process for more realistic allocations.</w:t>
      </w:r>
    </w:p>
    <w:p w:rsidR="00000000" w:rsidDel="00000000" w:rsidP="00000000" w:rsidRDefault="00000000" w:rsidRPr="00000000" w14:paraId="0000007D">
      <w:pPr>
        <w:rPr/>
      </w:pPr>
      <w:r w:rsidDel="00000000" w:rsidR="00000000" w:rsidRPr="00000000">
        <w:rPr>
          <w:rtl w:val="0"/>
        </w:rPr>
        <w:t xml:space="preserve">- **Monte Carlo Simulation:** Models thousands of potential future outcomes to assess risk probabilities.</w:t>
      </w:r>
    </w:p>
    <w:p w:rsidR="00000000" w:rsidDel="00000000" w:rsidP="00000000" w:rsidRDefault="00000000" w:rsidRPr="00000000" w14:paraId="0000007E">
      <w:pPr>
        <w:rPr/>
      </w:pPr>
      <w:r w:rsidDel="00000000" w:rsidR="00000000" w:rsidRPr="00000000">
        <w:rPr>
          <w:rtl w:val="0"/>
        </w:rPr>
        <w:t xml:space="preserve">- **Machine Learning Approaches:** Use algorithms to detect return patterns and dynamically adjust allocations.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Continuous optimization ensures portfolios remain aligned with risk parameters and market conditions over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