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Chapter 25: Institutional Portfolio Management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Institutional portfolio management represents the zenith of the investment world, where the scale of capital, complexity of objectives, and long-term horizons demand a highly sophisticated approach. Unlike individual investors, institutions such as pension funds, endowments, and sovereign wealth funds manage assets on behalf of millions of beneficiaries, students, or entire nations. This chapter explores the unique strategies, challenges, and analytical frameworks that define this arena.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25.1 Pension Fund Management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Pension funds are tasked with a critical mission: generating sufficient returns to meet the future retirement obligations owed to their members. Their management is a balancing act between growth and security.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Key Characteristics: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Objective: To meet predefined, long-term liability payments (pensions).</w:t>
      </w:r>
    </w:p>
    <w:p w:rsidR="00000000" w:rsidDel="00000000" w:rsidP="00000000" w:rsidRDefault="00000000" w:rsidRPr="00000000" w14:paraId="00000010">
      <w:pPr>
        <w:rPr/>
      </w:pPr>
      <w:r w:rsidDel="00000000" w:rsidR="00000000" w:rsidRPr="00000000">
        <w:rPr>
          <w:rtl w:val="0"/>
        </w:rPr>
        <w:t xml:space="preserve">· Liabilities: The stream of future payments is the fund's central focus, making it a liability-driven investor.</w:t>
      </w:r>
    </w:p>
    <w:p w:rsidR="00000000" w:rsidDel="00000000" w:rsidP="00000000" w:rsidRDefault="00000000" w:rsidRPr="00000000" w14:paraId="00000011">
      <w:pPr>
        <w:rPr/>
      </w:pPr>
      <w:r w:rsidDel="00000000" w:rsidR="00000000" w:rsidRPr="00000000">
        <w:rPr>
          <w:rtl w:val="0"/>
        </w:rPr>
        <w:t xml:space="preserve">· Time Horizon: Very long-term, often spanning decades.</w:t>
      </w:r>
    </w:p>
    <w:p w:rsidR="00000000" w:rsidDel="00000000" w:rsidP="00000000" w:rsidRDefault="00000000" w:rsidRPr="00000000" w14:paraId="00000012">
      <w:pPr>
        <w:rPr/>
      </w:pPr>
      <w:r w:rsidDel="00000000" w:rsidR="00000000" w:rsidRPr="00000000">
        <w:rPr>
          <w:rtl w:val="0"/>
        </w:rPr>
        <w:t xml:space="preserve">· Risk Tolerance: Moderate, but must be balanced against the risk of failing to meet obligations.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Core Strategies: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Asset-Liability Matching: Structuring the portfolio so that the cash flows from assets (coupons, dividends) align with the timing of expected pension payouts.</w:t>
      </w:r>
    </w:p>
    <w:p w:rsidR="00000000" w:rsidDel="00000000" w:rsidP="00000000" w:rsidRDefault="00000000" w:rsidRPr="00000000" w14:paraId="00000017">
      <w:pPr>
        <w:rPr/>
      </w:pPr>
      <w:r w:rsidDel="00000000" w:rsidR="00000000" w:rsidRPr="00000000">
        <w:rPr>
          <w:rtl w:val="0"/>
        </w:rPr>
        <w:t xml:space="preserve">· Diversification: Spreading assets across equities, fixed income, real estate, and alternative investments to manage risk.</w:t>
      </w:r>
    </w:p>
    <w:p w:rsidR="00000000" w:rsidDel="00000000" w:rsidP="00000000" w:rsidRDefault="00000000" w:rsidRPr="00000000" w14:paraId="00000018">
      <w:pPr>
        <w:rPr/>
      </w:pPr>
      <w:r w:rsidDel="00000000" w:rsidR="00000000" w:rsidRPr="00000000">
        <w:rPr>
          <w:rtl w:val="0"/>
        </w:rPr>
        <w:t xml:space="preserve">· Long-Term Focus: The extended time horizon allows them to invest in illiquid assets like private equity and infrastructure, which offer illiquidity premiums.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25.2 Endowment Investment Strategies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Endowments, typically associated with universities and non-profits, aim to provide a perpetual source of funding for their sponsoring institution. The dominant model is the Yale Endowment Model, pioneered by David Swensen.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Key Characteristics: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Objective: To preserve the fund's purchasing power in perpetuity while providing a stable annual distribution for operations (e.g., 4-5% of assets).</w:t>
      </w:r>
    </w:p>
    <w:p w:rsidR="00000000" w:rsidDel="00000000" w:rsidP="00000000" w:rsidRDefault="00000000" w:rsidRPr="00000000" w14:paraId="00000023">
      <w:pPr>
        <w:rPr/>
      </w:pPr>
      <w:r w:rsidDel="00000000" w:rsidR="00000000" w:rsidRPr="00000000">
        <w:rPr>
          <w:rtl w:val="0"/>
        </w:rPr>
        <w:t xml:space="preserve">· Spending Rule: They follow a disciplined spending policy to avoid overspending in boom years and underspending in busts.</w:t>
      </w:r>
    </w:p>
    <w:p w:rsidR="00000000" w:rsidDel="00000000" w:rsidP="00000000" w:rsidRDefault="00000000" w:rsidRPr="00000000" w14:paraId="00000024">
      <w:pPr>
        <w:rPr/>
      </w:pPr>
      <w:r w:rsidDel="00000000" w:rsidR="00000000" w:rsidRPr="00000000">
        <w:rPr>
          <w:rtl w:val="0"/>
        </w:rPr>
        <w:t xml:space="preserve">· Time Horizon: Perpetual.</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Endowment Model (Yale Model) Pillars: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1. Equity Bias: A heavy allocation to assets with equity-like returns (stocks, venture capital, private equity).</w:t>
      </w:r>
    </w:p>
    <w:p w:rsidR="00000000" w:rsidDel="00000000" w:rsidP="00000000" w:rsidRDefault="00000000" w:rsidRPr="00000000" w14:paraId="00000029">
      <w:pPr>
        <w:rPr/>
      </w:pPr>
      <w:r w:rsidDel="00000000" w:rsidR="00000000" w:rsidRPr="00000000">
        <w:rPr>
          <w:rtl w:val="0"/>
        </w:rPr>
        <w:t xml:space="preserve">2. Diversification: Extreme diversification into non-traditional asset classes like private equity, hedge funds, real assets, and venture capital.</w:t>
      </w:r>
    </w:p>
    <w:p w:rsidR="00000000" w:rsidDel="00000000" w:rsidP="00000000" w:rsidRDefault="00000000" w:rsidRPr="00000000" w14:paraId="0000002A">
      <w:pPr>
        <w:rPr/>
      </w:pPr>
      <w:r w:rsidDel="00000000" w:rsidR="00000000" w:rsidRPr="00000000">
        <w:rPr>
          <w:rtl w:val="0"/>
        </w:rPr>
        <w:t xml:space="preserve">3. Illiquidity Preference: Deliberately targeting illiquid investments where competition is lower and the potential for excess returns ("illiquidity premium") is higher.</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25.3 Sovereign Wealth Funds (SWFs)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Sovereign Wealth Funds are state-owned investment pools that manage a country's surplus wealth, often derived from commodity exports (e.g., oil, gas) or foreign exchange reserves.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Key Characteristics: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Source of Capital: National surpluses, making their primary goal the preservation of wealth for future generations.</w:t>
      </w:r>
    </w:p>
    <w:p w:rsidR="00000000" w:rsidDel="00000000" w:rsidP="00000000" w:rsidRDefault="00000000" w:rsidRPr="00000000" w14:paraId="00000035">
      <w:pPr>
        <w:rPr/>
      </w:pPr>
      <w:r w:rsidDel="00000000" w:rsidR="00000000" w:rsidRPr="00000000">
        <w:rPr>
          <w:rtl w:val="0"/>
        </w:rPr>
        <w:t xml:space="preserve">· Dual Mandate: Many SWFs have both financial and strategic (non-financial) objectives, such as stabilizing the national budget, funding social development, or gaining access to strategic technologies.</w:t>
      </w:r>
    </w:p>
    <w:p w:rsidR="00000000" w:rsidDel="00000000" w:rsidP="00000000" w:rsidRDefault="00000000" w:rsidRPr="00000000" w14:paraId="00000036">
      <w:pPr>
        <w:rPr/>
      </w:pPr>
      <w:r w:rsidDel="00000000" w:rsidR="00000000" w:rsidRPr="00000000">
        <w:rPr>
          <w:rtl w:val="0"/>
        </w:rPr>
        <w:t xml:space="preserve">· Scale: They are among the largest institutional investors globally, allowing them to make direct investments in major companies and infrastructure projects.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Types of SWFs: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Stabilization Funds: Designed to insulate the budget and economy from volatile commodity prices.</w:t>
      </w:r>
    </w:p>
    <w:p w:rsidR="00000000" w:rsidDel="00000000" w:rsidP="00000000" w:rsidRDefault="00000000" w:rsidRPr="00000000" w14:paraId="0000003B">
      <w:pPr>
        <w:rPr/>
      </w:pPr>
      <w:r w:rsidDel="00000000" w:rsidR="00000000" w:rsidRPr="00000000">
        <w:rPr>
          <w:rtl w:val="0"/>
        </w:rPr>
        <w:t xml:space="preserve">· Savings Funds: Aim to transform non-renewable resource wealth into a diversified portfolio of financial assets for future generations.</w:t>
      </w:r>
    </w:p>
    <w:p w:rsidR="00000000" w:rsidDel="00000000" w:rsidP="00000000" w:rsidRDefault="00000000" w:rsidRPr="00000000" w14:paraId="0000003C">
      <w:pPr>
        <w:rPr/>
      </w:pPr>
      <w:r w:rsidDel="00000000" w:rsidR="00000000" w:rsidRPr="00000000">
        <w:rPr>
          <w:rtl w:val="0"/>
        </w:rPr>
        <w:t xml:space="preserve">· Reserve Investment Corporations: Manage excess foreign currency reserves more aggressively than traditional central bank holdings.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25.4 Fund of Funds (FoF) Strategies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 Fund of Funds is an investment strategy that holds a portfolio of other investment funds rather than investing directly in individual securities.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Rationale and Advantages: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Instant Diversification: Provides access to a diversified portfolio of hedge funds, private equity funds, or venture capital funds through a single investment.</w:t>
      </w:r>
    </w:p>
    <w:p w:rsidR="00000000" w:rsidDel="00000000" w:rsidP="00000000" w:rsidRDefault="00000000" w:rsidRPr="00000000" w14:paraId="00000047">
      <w:pPr>
        <w:rPr/>
      </w:pPr>
      <w:r w:rsidDel="00000000" w:rsidR="00000000" w:rsidRPr="00000000">
        <w:rPr>
          <w:rtl w:val="0"/>
        </w:rPr>
        <w:t xml:space="preserve">· Due Diligence and Manager Selection: The FoF manager performs rigorous due diligence, selecting and monitoring top-tier fund managers that may be inaccessible to individual investors.</w:t>
      </w:r>
    </w:p>
    <w:p w:rsidR="00000000" w:rsidDel="00000000" w:rsidP="00000000" w:rsidRDefault="00000000" w:rsidRPr="00000000" w14:paraId="00000048">
      <w:pPr>
        <w:rPr/>
      </w:pPr>
      <w:r w:rsidDel="00000000" w:rsidR="00000000" w:rsidRPr="00000000">
        <w:rPr>
          <w:rtl w:val="0"/>
        </w:rPr>
        <w:t xml:space="preserve">· Access: Provides smaller institutions and accredited investors a ticket to high-minimum, exclusive funds.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Disadvantages: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Layered Fees: Investors pay two layers of fees: the fees of the underlying funds and the fees of the FoF manager, which can be a significant drag on net returns.</w:t>
      </w:r>
    </w:p>
    <w:p w:rsidR="00000000" w:rsidDel="00000000" w:rsidP="00000000" w:rsidRDefault="00000000" w:rsidRPr="00000000" w14:paraId="0000004D">
      <w:pPr>
        <w:rPr/>
      </w:pPr>
      <w:r w:rsidDel="00000000" w:rsidR="00000000" w:rsidRPr="00000000">
        <w:rPr>
          <w:rtl w:val="0"/>
        </w:rPr>
        <w:t xml:space="preserve">· Potential for Dilution: Over-diversification can dilute the impact of a top-performing fund within the portfolio.</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25.5 Performance Attribution Analysis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Performance attribution is a sophisticated analytical tool used to deconstruct a portfolio's returns and determine the source of its performance.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Core Question: Did our returns come from skillful decisions or simply from market exposure?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Key Components of Attribution: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1. Asset Allocation Effect: The return generated by the decision to overweight or underweight specific asset classes (e.g., equities vs. bonds) relative to a benchmark.</w:t>
      </w:r>
    </w:p>
    <w:p w:rsidR="00000000" w:rsidDel="00000000" w:rsidP="00000000" w:rsidRDefault="00000000" w:rsidRPr="00000000" w14:paraId="0000005A">
      <w:pPr>
        <w:rPr/>
      </w:pPr>
      <w:r w:rsidDel="00000000" w:rsidR="00000000" w:rsidRPr="00000000">
        <w:rPr>
          <w:rtl w:val="0"/>
        </w:rPr>
        <w:t xml:space="preserve">2. Security Selection Effect: The return generated by the decision to pick specific securities within an asset class that outperform the benchmark for that class.</w:t>
      </w:r>
    </w:p>
    <w:p w:rsidR="00000000" w:rsidDel="00000000" w:rsidP="00000000" w:rsidRDefault="00000000" w:rsidRPr="00000000" w14:paraId="0000005B">
      <w:pPr>
        <w:rPr/>
      </w:pPr>
      <w:r w:rsidDel="00000000" w:rsidR="00000000" w:rsidRPr="00000000">
        <w:rPr>
          <w:rtl w:val="0"/>
        </w:rPr>
        <w:t xml:space="preserve">3. Interaction Effect: The return from the combination of allocation and selection decisions.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Example: A portfolio outperforms because the CIO decided to overweight technology stocks (allocation effect) and the portfolio manager picked the best-performing tech stocks (selection effect).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25.6 Manager Selection and Due Diligence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For institutions that outsource management, selecting the right external fund managers is one of the most critical determinants of success.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 Due Diligence Process: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Quantitative Analysis: Scrutinizing historical performance, risk metrics (Sharpe ratio, Sortino ratio), and consistency of returns.</w:t>
      </w:r>
    </w:p>
    <w:p w:rsidR="00000000" w:rsidDel="00000000" w:rsidP="00000000" w:rsidRDefault="00000000" w:rsidRPr="00000000" w14:paraId="00000068">
      <w:pPr>
        <w:rPr/>
      </w:pPr>
      <w:r w:rsidDel="00000000" w:rsidR="00000000" w:rsidRPr="00000000">
        <w:rPr>
          <w:rtl w:val="0"/>
        </w:rPr>
        <w:t xml:space="preserve">· Qualitative Assessment:</w:t>
      </w:r>
    </w:p>
    <w:p w:rsidR="00000000" w:rsidDel="00000000" w:rsidP="00000000" w:rsidRDefault="00000000" w:rsidRPr="00000000" w14:paraId="00000069">
      <w:pPr>
        <w:rPr/>
      </w:pPr>
      <w:r w:rsidDel="00000000" w:rsidR="00000000" w:rsidRPr="00000000">
        <w:rPr>
          <w:rtl w:val="0"/>
        </w:rPr>
        <w:t xml:space="preserve">  · People: Evaluating the experience, stability, and depth of the investment team.</w:t>
      </w:r>
    </w:p>
    <w:p w:rsidR="00000000" w:rsidDel="00000000" w:rsidP="00000000" w:rsidRDefault="00000000" w:rsidRPr="00000000" w14:paraId="0000006A">
      <w:pPr>
        <w:rPr/>
      </w:pPr>
      <w:r w:rsidDel="00000000" w:rsidR="00000000" w:rsidRPr="00000000">
        <w:rPr>
          <w:rtl w:val="0"/>
        </w:rPr>
        <w:t xml:space="preserve">  · Process: Understanding and validating the investment process. Is it repeatable, disciplined, and logical?</w:t>
      </w:r>
    </w:p>
    <w:p w:rsidR="00000000" w:rsidDel="00000000" w:rsidP="00000000" w:rsidRDefault="00000000" w:rsidRPr="00000000" w14:paraId="0000006B">
      <w:pPr>
        <w:rPr/>
      </w:pPr>
      <w:r w:rsidDel="00000000" w:rsidR="00000000" w:rsidRPr="00000000">
        <w:rPr>
          <w:rtl w:val="0"/>
        </w:rPr>
        <w:t xml:space="preserve">  · Philosophy: Ensuring the firm's core investment beliefs align with the institution's goals.</w:t>
      </w:r>
    </w:p>
    <w:p w:rsidR="00000000" w:rsidDel="00000000" w:rsidP="00000000" w:rsidRDefault="00000000" w:rsidRPr="00000000" w14:paraId="0000006C">
      <w:pPr>
        <w:rPr/>
      </w:pPr>
      <w:r w:rsidDel="00000000" w:rsidR="00000000" w:rsidRPr="00000000">
        <w:rPr>
          <w:rtl w:val="0"/>
        </w:rPr>
        <w:t xml:space="preserve">  · Portfolio Fit: Assessing how the manager's strategy complements the rest of the institutional portfolio.</w:t>
      </w:r>
    </w:p>
    <w:p w:rsidR="00000000" w:rsidDel="00000000" w:rsidP="00000000" w:rsidRDefault="00000000" w:rsidRPr="00000000" w14:paraId="0000006D">
      <w:pPr>
        <w:rPr/>
      </w:pPr>
      <w:r w:rsidDel="00000000" w:rsidR="00000000" w:rsidRPr="00000000">
        <w:rPr>
          <w:rtl w:val="0"/>
        </w:rPr>
        <w:t xml:space="preserve">· Operational Due Diligence: Verifying the soundness of the fund's back-office operations, compliance, legal structure, and fee terms.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25.7 Liability-Driven Investing (LDI)</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LDI is an investment approach where the primary focus is on managing assets in relation to the present value of future liabilities. It is the cornerstone of defined benefit pension fund management.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Core Principle: The portfolio is constructed to ensure that assets grow or hedge the value of liabilities, which themselves fluctuate with interest rates.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Implementation: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Interest Rate Hedging: Since the present value of liabilities increases when interest rates fall, LDI strategies use long-duration bonds (e.g., long-term government or corporate bonds) and interest rate swaps to hedge this risk. When liabilities rise in value (rates fall), the hedging assets also rise in value, offsetting the increase.</w:t>
      </w:r>
    </w:p>
    <w:p w:rsidR="00000000" w:rsidDel="00000000" w:rsidP="00000000" w:rsidRDefault="00000000" w:rsidRPr="00000000" w14:paraId="0000007A">
      <w:pPr>
        <w:rPr/>
      </w:pPr>
      <w:r w:rsidDel="00000000" w:rsidR="00000000" w:rsidRPr="00000000">
        <w:rPr>
          <w:rtl w:val="0"/>
        </w:rPr>
        <w:t xml:space="preserve">· Growth Assets: The remainder of the portfolio is invested in return-seeking assets (equities, alternatives) to generate the returns needed to fund the liabilities and reduce the required contributions from the plan sponsor.</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25.8 Absolute Return Strategies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Unlike traditional "relative return" strategies that aim to beat a market benchmark (e.g., the S&amp;P 500), absolute return strategies aim to generate positive returns in all market conditions.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Key Characteristics: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Objective: Positive returns, regardless of whether equity or bond markets are up or down.</w:t>
      </w:r>
    </w:p>
    <w:p w:rsidR="00000000" w:rsidDel="00000000" w:rsidP="00000000" w:rsidRDefault="00000000" w:rsidRPr="00000000" w14:paraId="00000085">
      <w:pPr>
        <w:rPr/>
      </w:pPr>
      <w:r w:rsidDel="00000000" w:rsidR="00000000" w:rsidRPr="00000000">
        <w:rPr>
          <w:rtl w:val="0"/>
        </w:rPr>
        <w:t xml:space="preserve">· Benchmark: Often a cash-like benchmark (e.g., LIBOR + 3-5%) or a target return (e.g., 8-10% per annum).</w:t>
      </w:r>
    </w:p>
    <w:p w:rsidR="00000000" w:rsidDel="00000000" w:rsidP="00000000" w:rsidRDefault="00000000" w:rsidRPr="00000000" w14:paraId="00000086">
      <w:pPr>
        <w:rPr/>
      </w:pPr>
      <w:r w:rsidDel="00000000" w:rsidR="00000000" w:rsidRPr="00000000">
        <w:rPr>
          <w:rtl w:val="0"/>
        </w:rPr>
        <w:t xml:space="preserve">· Tools: Extensive use of derivatives, leverage, short-selling, and arbitrage strategies to profit from market inefficiencies.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Common Strategies: Many are implemented through hedge funds and include market neutral, long/short equity, global macro, and managed futures.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25.9 Risk Budgeting</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Risk budgeting is a framework for allocating risk, rather than just capital, across a portfolio. It recognizes that the true cost of an investment is the risk it contributes to the overall portfolio.</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 Process: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1. Determine Total Portfolio Risk Tolerance: The institution sets an overall risk limit, often defined by a metric like Value at Risk (VaR) or Expected Shortfall.</w:t>
      </w:r>
    </w:p>
    <w:p w:rsidR="00000000" w:rsidDel="00000000" w:rsidP="00000000" w:rsidRDefault="00000000" w:rsidRPr="00000000" w14:paraId="00000093">
      <w:pPr>
        <w:rPr/>
      </w:pPr>
      <w:r w:rsidDel="00000000" w:rsidR="00000000" w:rsidRPr="00000000">
        <w:rPr>
          <w:rtl w:val="0"/>
        </w:rPr>
        <w:t xml:space="preserve">2. Allocate Risk Capital: This total risk "budget" is then allocated to different asset classes, strategies, or external managers based on their expected contribution to portfolio risk and return.</w:t>
      </w:r>
    </w:p>
    <w:p w:rsidR="00000000" w:rsidDel="00000000" w:rsidP="00000000" w:rsidRDefault="00000000" w:rsidRPr="00000000" w14:paraId="00000094">
      <w:pPr>
        <w:rPr/>
      </w:pPr>
      <w:r w:rsidDel="00000000" w:rsidR="00000000" w:rsidRPr="00000000">
        <w:rPr>
          <w:rtl w:val="0"/>
        </w:rPr>
        <w:t xml:space="preserve">3. Monitor and Rebalance: The actual risk contributions are continuously monitored and managed to ensure they remain within their allocated risk budgets.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Analogy: Instead of deciding to allocate 10% of your capital to emerging markets, you decide to allocate 2% of your total portfolio risk to emerging markets. This may result in a smaller or larger capital allocation depending on the volatility of the asset class.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