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t xml:space="preserve">    Chapter 7:Debt Management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Debt can be both a financial tool and a financial burden. Understanding how to manage it effectively determines whether it serves your goals or limits your freedom. This chapter explores practical strategies for identifying, reducing, and eliminating debt while preserving financial stability.7.1 Types of Debt (Good vs. Bad)Not all debt is inherently harmful. Some types can help build wealth or improve quality of life when managed properly, while others lead to financial stress.Good debt is strategic and backed by value. Bad debt usually results from impulse or lifestyle inflation. The key is to maintain control, avoid excessive borrowing, and ensure every loan has a clear payoff plan.7.2 Debt Snowball MethodThe debt snowball method prioritizes emotional momentum over mathematical optimization. You begin by paying off the smallest debts first, gaining quick wins and building motivation.How it works:List all debts from smallest to largest balance.Make minimum payments on all debts except the smallest.Apply all extra money to that smallest debt.Once paid off, roll its payment into the next smallest balance.This method creates visible progress and emotional reinforcement, helping you stay committed to becoming debt-free.7.3 Debt Avalanche MethodThe debt avalanche method focuses on minimizing interest costs. Instead of starting with the smallest balance, you target the highest interest rate first.Steps:List all debts from highest to lowest interest rate.Pay minimums on all other debts.Direct extra payments toward the debt with the highest rate.Once paid, move on to the next highest rate.While it may take longer to see initial results, this method saves more money in the long term and accelerates overall repayment.7.4 Student Loan StrategiesStudent loans can be valuable for career advancement, but they require structure and discipline to manage efficiently.Key strategies include:Refinancing: Lower your interest rate by consolidating federal or private loans through a new lender.Income-driven repayment plans: Adjust monthly payments based on income level and family size.Extra payments: Apply additional payments directly to the principal to reduce long-term interest.Loan forgiveness programs: Qualify for forgiveness if you work in public service or nonprofit sectors for a designated period.Consistently reviewing repayment terms ensures you remain on track and avoid unnecessary expenses.7.5 Mortgage BasicsA mortgage is typically the largest loan in a household budget. Understanding its structure helps you manage homeownership responsibly.Core concepts:Principal: The amount borrowed.Interest rate: The cost of borrowing that affects total repayment.Amortization schedule: Determines how much of each payment applies to principal versus interest.Fixed-rate vs. adjustable-rate: Fixed rates stay consistent, while adjustable rates can fluctuate periodically.To reduce total mortgage cost:Make occasional extra principal payments.Refinance to a lower rate when market conditions allow.Keep the loan term manageable; shorter terms cost less interest over time.7.6 Debt Consolidation OptionsDebt consolidation combines multiple debts into a single payment, often at a lower interest rate. This can simplify management and reduce monthly strain.Available options:Personal consolidation loans: Replace several credit card balances with one structured loan.Balance transfer credit cards: Offer temporary 0% interest periods to pay off high-interest debt faster.Home equity loans or lines of credit: Use home equity to consolidate, though this introduces risk if repayment fails.Consolidation can be a powerful tool when used responsibly, but it requires avoiding new debt accumulation during repayment.7.7 Bankruptcy and Its ConsequencesBankruptcy should be viewed as a last-resort financial reset. It can relieve unmanageable debt but comes with serious consequences for credit and future borrowing.Types:Chapter 7: Liquidates assets to pay creditors, discharging most unsecured debts.Chapter 13: Creates a structured repayment plan over three to five years.Consequences:Severe credit score impact lasting up to ten years.Difficulty securing future loans or credit cards.Possible asset loss, depending on local laws and exemptions.Before considering bankruptcy, explore all other solutions such as credit counseling, debt management plans, or loan restructuring.Mastering debt management transforms financial pressure into control. By combining discipline, strategy, and informed decisions, you can turn borrowing from a barrier into a stepping stone toward financial freedom.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