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26: Cryptocurrency &amp; Digital Assets</w:t>
      </w:r>
    </w:p>
    <w:p>
      <w:pPr>
        <w:pBdr>
          <w:bottom w:val="single" w:color="1F6FEB" w:sz="4"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4"/>
              <w:bottom w:val="single" w:color="1F6FEB" w:sz="4"/>
              <w:right w:val="single" w:color="1F6FEB" w:sz="4"/>
            </w:tcBorders>
            <w:shd w:fill="EEF4FF" w:val="clear"/>
            <w:tcMar>
              <w:top w:type="dxa" w:w="160"/>
              <w:left w:type="dxa" w:w="240"/>
              <w:bottom w:type="dxa" w:w="160"/>
              <w:right w:type="dxa" w:w="240"/>
            </w:tcMar>
          </w:tcPr>
          <w:p>
            <w:pPr>
              <w:spacing w:after="80"/>
            </w:pPr>
            <w:r>
              <w:rPr>
                <w:rFonts w:ascii="Arial" w:cs="Arial" w:eastAsia="Arial" w:hAnsi="Arial"/>
                <w:b/>
                <w:bCs/>
                <w:color w:val="1F6FEB"/>
                <w:sz w:val="22"/>
                <w:szCs w:val="22"/>
              </w:rPr>
              <w:t xml:space="preserve">Chapter Overview</w:t>
            </w:r>
          </w:p>
          <w:p>
            <w:pPr>
              <w:spacing w:after="80"/>
            </w:pPr>
            <w:r>
              <w:rPr>
                <w:rFonts w:ascii="Georgia" w:cs="Georgia" w:eastAsia="Georgia" w:hAnsi="Georgia"/>
                <w:sz w:val="20"/>
                <w:szCs w:val="20"/>
              </w:rPr>
              <w:t xml:space="preserve">This chapter examines the rapidly evolving world of cryptocurrency and digital assets — from the foundational cryptographic principles that make blockchain possible, to the sophisticated financial instruments that have emerged within the DeFi ecosystem.</w:t>
            </w:r>
          </w:p>
          <w:p>
            <w:pPr>
              <w:spacing w:after="80"/>
            </w:pPr>
            <w:r>
              <w:rPr>
                <w:rFonts w:ascii="Georgia" w:cs="Georgia" w:eastAsia="Georgia" w:hAnsi="Georgia"/>
                <w:sz w:val="20"/>
                <w:szCs w:val="20"/>
              </w:rPr>
              <w:t xml:space="preserve">Readers will gain a comprehensive grounding in both the technical and financial dimensions of this asset class, including practical guidance on wallets, trading strategies, tax obligations, and the regulatory landscape shaping the industry’s future.</w:t>
            </w:r>
          </w:p>
        </w:tc>
      </w:tr>
    </w:tbl>
    <w:p>
      <w:pPr>
        <w:spacing w:after="80"/>
      </w:pPr>
      <w:r>
        <w:t xml:space="preserve"/>
      </w:r>
    </w:p>
    <w:p>
      <w:pPr>
        <w:pStyle w:val="Heading2"/>
      </w:pPr>
      <w:r>
        <w:t xml:space="preserve">26.1 Blockchain Technology Basics</w:t>
      </w:r>
    </w:p>
    <w:p>
      <w:pPr>
        <w:spacing w:after="160" w:line="340"/>
        <w:jc w:val="both"/>
      </w:pPr>
      <w:r>
        <w:t xml:space="preserve">Blockchain technology is the foundational infrastructure upon which virtually all cryptocurrencies and decentralized applications are built. At its core, a blockchain is a distributed ledger — a database that is shared and synchronized across a network of computers (nodes) rather than held on a central server. Each participant in the network maintains an identical copy of the ledger, and any attempt to tamper with historical records is detectable and rejectable by the network.</w:t>
      </w:r>
    </w:p>
    <w:p>
      <w:pPr>
        <w:spacing w:after="160" w:line="340"/>
        <w:jc w:val="both"/>
      </w:pPr>
      <w:r>
        <w:t xml:space="preserve">The ledger is organized into a chain of blocks, each of which contains a set of verified transactions, a timestamp, and a cryptographic hash of the preceding block. This hash-linking mechanism is what gives the data structure its defining property of immutability: altering a single block invalidates the hash references of every subsequent block, making undetected manipulation computationally infeasible on large, well-distributed networks.</w:t>
      </w:r>
    </w:p>
    <w:p>
      <w:pPr>
        <w:pStyle w:val="Heading3"/>
      </w:pPr>
      <w:r>
        <w:t xml:space="preserve">Cryptographic Foundations</w:t>
      </w:r>
    </w:p>
    <w:p>
      <w:pPr>
        <w:spacing w:after="160" w:line="340"/>
        <w:jc w:val="both"/>
      </w:pPr>
      <w:r>
        <w:t xml:space="preserve">Blockchain relies heavily on public-key cryptography. Each user controls a key pair: a private key, which must be kept secret, and a corresponding public key, which functions as an address that others can send assets to. Transactions are signed with the sender’s private key, creating a digital signature that anyone on the network can verify using the corresponding public key, without ever exposing the private key itself.</w:t>
      </w:r>
    </w:p>
    <w:p>
      <w:pPr>
        <w:spacing w:after="160" w:line="340"/>
        <w:jc w:val="both"/>
      </w:pPr>
      <w:r>
        <w:t xml:space="preserve">Hash functions are the second cryptographic pillar of blockchain. A hash function takes an input of arbitrary length and produces a fixed-length output (the hash or digest). Crucially, these functions are one-way: computing the hash from input is trivial, but determining the original input from the hash is computationally intractable. SHA-256, used by Bitcoin, is the most widely known example.</w:t>
      </w:r>
    </w:p>
    <w:p>
      <w:pPr>
        <w:pStyle w:val="Heading3"/>
      </w:pPr>
      <w:r>
        <w:t xml:space="preserve">Consensus Mechanisms</w:t>
      </w:r>
    </w:p>
    <w:p>
      <w:pPr>
        <w:spacing w:after="160" w:line="340"/>
        <w:jc w:val="both"/>
      </w:pPr>
      <w:r>
        <w:t xml:space="preserve">Because no central authority governs a public blockchain, the network requires a mechanism by which participants agree on which transactions are valid and in what order they occurred. These are called consensus mechanisms, and they represent one of the most consequential design choices in any blockchain system.</w:t>
      </w:r>
    </w:p>
    <w:p>
      <w:pPr>
        <w:spacing w:after="160" w:line="340"/>
        <w:jc w:val="both"/>
      </w:pPr>
      <w:r>
        <w:t xml:space="preserve">Proof of Work (PoW) was the original mechanism, introduced by Bitcoin. In PoW, nodes called miners compete to solve a computationally intensive puzzle — finding a nonce value that, when combined with block data, produces a hash below a target threshold. The winning miner broadcasts the new block, collects a block reward in cryptocurrency, and the network adopts it as the next link in the chain. PoW is robust and battle-tested, but energy-intensive.</w:t>
      </w:r>
    </w:p>
    <w:p>
      <w:pPr>
        <w:spacing w:after="160" w:line="340"/>
        <w:jc w:val="both"/>
      </w:pPr>
      <w:r>
        <w:t xml:space="preserve">Proof of Stake (PoS) replaces the energy competition with a financial stake. Validators lock up (stake) a quantity of the native cryptocurrency as collateral, and are selected to propose and attest to new blocks in proportion to their stake. Ethereum transitioned from PoW to PoS in September 2022, reducing its energy consumption by an estimated 99.95 percent. PoS introduces different security assumptions and validator economics, making it an active area of ongoing research.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Consensus Mechanism</w:t>
            </w:r>
          </w:p>
        </w:tc>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Work (PoW)</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Energy-intensive mining; extremely battle-tested; used by Bitcoin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Stake (PoS)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Validators stake capital; energy-efficient; used by Ethereum post-Merge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Delegated PoS (DPoS)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holders vote for delegates; faster throughput; used by EOS, TRON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History (PoH)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Cryptographic clock for ordering; Solana’s innovation for high speed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Authority (PoA)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Trusted validators; permissioned networks; sacrifices decentralization</w:t>
            </w:r>
          </w:p>
        </w:tc>
      </w:tr>
    </w:tbl>
    <w:p>
      <w:pPr>
        <w:spacing w:after="80"/>
      </w:pPr>
      <w:r>
        <w:t xml:space="preserve"/>
      </w:r>
    </w:p>
    <w:p>
      <w:pPr>
        <w:pStyle w:val="Heading3"/>
      </w:pPr>
      <w:r>
        <w:t xml:space="preserve">Network Architecture: Public vs. Private Blockchains</w:t>
      </w:r>
    </w:p>
    <w:p>
      <w:pPr>
        <w:spacing w:after="160" w:line="340"/>
        <w:jc w:val="both"/>
      </w:pPr>
      <w:r>
        <w:t xml:space="preserve">Public blockchains such as Bitcoin and Ethereum are permissionless: anyone may join the network, run a node, and participate in consensus. They offer maximum transparency and censorship resistance but face throughput limitations. Private or consortium blockchains restrict participation to known, vetted entities and typically achieve much higher transaction speeds, making them attractive for enterprise and institutional use cases such as supply chain management and interbank settlement.</w:t>
      </w:r>
    </w:p>
    <w:p>
      <w:pPr>
        <w:spacing w:after="80"/>
      </w:pPr>
      <w:r>
        <w:t xml:space="preserve"/>
      </w:r>
    </w:p>
    <w:p>
      <w:pPr>
        <w:pStyle w:val="Heading2"/>
      </w:pPr>
      <w:r>
        <w:t xml:space="preserve">26.2 Bitcoin and Major Cryptocurrencies</w:t>
      </w:r>
    </w:p>
    <w:p>
      <w:pPr>
        <w:spacing w:after="160" w:line="340"/>
        <w:jc w:val="both"/>
      </w:pPr>
      <w:r>
        <w:t xml:space="preserve">Bitcoin (BTC) was launched in January 2009 by the pseudonymous Satoshi Nakamoto, whose white paper — published in October 2008 under the title “Bitcoin: A Peer-to-Peer Electronic Cash System” — laid out a system for electronic payments without reliance on a trusted third party. Bitcoin remains the largest cryptocurrency by market capitalization and is widely regarded as the asset class’s reserve currency.</w:t>
      </w:r>
    </w:p>
    <w:p>
      <w:pPr>
        <w:spacing w:after="160" w:line="340"/>
        <w:jc w:val="both"/>
      </w:pPr>
      <w:r>
        <w:t xml:space="preserve">Bitcoin’s monetary policy is encoded in its protocol and resistant to change. The total supply is capped at 21 million BTC. New coins are issued only through mining, and the block subsidy halves approximately every four years in an event known as the halving. This predictable, disinflationary issuance schedule contrasts sharply with fiat currencies subject to discretionary central bank policy, which has led many investors to characterize Bitcoin as “digital gold” and a potential inflation hedge.</w:t>
      </w:r>
    </w:p>
    <w:p>
      <w:pPr>
        <w:pStyle w:val="Heading3"/>
      </w:pPr>
      <w:r>
        <w:t xml:space="preserve">Ethereum</w:t>
      </w:r>
    </w:p>
    <w:p>
      <w:pPr>
        <w:spacing w:after="160" w:line="340"/>
        <w:jc w:val="both"/>
      </w:pPr>
      <w:r>
        <w:t xml:space="preserve">Ethereum (ETH) was conceived by Vitalik Buterin and launched in 2015 as a programmable blockchain — a platform on which developers could deploy smart contracts and build decentralized applications. Where Bitcoin is optimized to be sound money, Ethereum is designed as a global computing platform. ETH serves multiple functions: it pays for computational operations (gas fees), underpins the DeFi ecosystem, and secures the network as the staked asset in the PoS system.</w:t>
      </w:r>
    </w:p>
    <w:p>
      <w:pPr>
        <w:pStyle w:val="Heading3"/>
      </w:pPr>
      <w:r>
        <w:t xml:space="preserve">Other Major Cryptocurrencies</w:t>
      </w:r>
    </w:p>
    <w:p>
      <w:pPr>
        <w:spacing w:after="160" w:line="340"/>
        <w:jc w:val="both"/>
      </w:pPr>
      <w:r>
        <w:t xml:space="preserve">The broader cryptocurrency market encompasses thousands of assets with varying purposes, designs, and maturity levels. Among the most economically significant are the following.</w:t>
      </w:r>
    </w:p>
    <w:p>
      <w:pPr>
        <w:pStyle w:val="ListParagraph"/>
        <w:numPr>
          <w:ilvl w:val="0"/>
          <w:numId w:val="2"/>
        </w:numPr>
        <w:spacing w:after="100"/>
      </w:pPr>
      <w:r>
        <w:rPr>
          <w:rFonts w:ascii="Georgia" w:cs="Georgia" w:eastAsia="Georgia" w:hAnsi="Georgia"/>
          <w:b/>
          <w:bCs/>
          <w:sz w:val="22"/>
          <w:szCs w:val="22"/>
        </w:rPr>
        <w:t xml:space="preserve">Solana (SOL): </w:t>
      </w:r>
      <w:r>
        <w:rPr>
          <w:rFonts w:ascii="Georgia" w:cs="Georgia" w:eastAsia="Georgia" w:hAnsi="Georgia"/>
          <w:sz w:val="22"/>
          <w:szCs w:val="22"/>
        </w:rPr>
        <w:t xml:space="preserve">A high-performance blockchain prioritizing speed and low transaction costs. Solana uses a combination of Proof of History and Proof of Stake to achieve theoretical throughputs of tens of thousands of transactions per second, making it popular for gaming, NFTs, and high-frequency DeFi applications.</w:t>
      </w:r>
    </w:p>
    <w:p>
      <w:pPr>
        <w:pStyle w:val="ListParagraph"/>
        <w:numPr>
          <w:ilvl w:val="0"/>
          <w:numId w:val="2"/>
        </w:numPr>
        <w:spacing w:after="100"/>
      </w:pPr>
      <w:r>
        <w:rPr>
          <w:rFonts w:ascii="Georgia" w:cs="Georgia" w:eastAsia="Georgia" w:hAnsi="Georgia"/>
          <w:b/>
          <w:bCs/>
          <w:sz w:val="22"/>
          <w:szCs w:val="22"/>
        </w:rPr>
        <w:t xml:space="preserve">BNB (formerly Binance Coin): </w:t>
      </w:r>
      <w:r>
        <w:rPr>
          <w:rFonts w:ascii="Georgia" w:cs="Georgia" w:eastAsia="Georgia" w:hAnsi="Georgia"/>
          <w:sz w:val="22"/>
          <w:szCs w:val="22"/>
        </w:rPr>
        <w:t xml:space="preserve">The native token of the BNB Chain ecosystem, originally issued by Binance to provide fee discounts on its exchange. BNB Chain hosts a substantial DeFi and NFT ecosystem, though its relatively centralized validator set draws criticism from decentralization advocates.</w:t>
      </w:r>
    </w:p>
    <w:p>
      <w:pPr>
        <w:pStyle w:val="ListParagraph"/>
        <w:numPr>
          <w:ilvl w:val="0"/>
          <w:numId w:val="2"/>
        </w:numPr>
        <w:spacing w:after="100"/>
      </w:pPr>
      <w:r>
        <w:rPr>
          <w:rFonts w:ascii="Georgia" w:cs="Georgia" w:eastAsia="Georgia" w:hAnsi="Georgia"/>
          <w:b/>
          <w:bCs/>
          <w:sz w:val="22"/>
          <w:szCs w:val="22"/>
        </w:rPr>
        <w:t xml:space="preserve">XRP (Ripple): </w:t>
      </w:r>
      <w:r>
        <w:rPr>
          <w:rFonts w:ascii="Georgia" w:cs="Georgia" w:eastAsia="Georgia" w:hAnsi="Georgia"/>
          <w:sz w:val="22"/>
          <w:szCs w:val="22"/>
        </w:rPr>
        <w:t xml:space="preserve">Designed for cross-border payment settlement, XRP operates on the XRP Ledger and is used by financial institutions for near-instant international transfers. Ripple Labs, its developer, has faced prolonged regulatory scrutiny in the United States.</w:t>
      </w:r>
    </w:p>
    <w:p>
      <w:pPr>
        <w:pStyle w:val="ListParagraph"/>
        <w:numPr>
          <w:ilvl w:val="0"/>
          <w:numId w:val="2"/>
        </w:numPr>
        <w:spacing w:after="100"/>
      </w:pPr>
      <w:r>
        <w:rPr>
          <w:rFonts w:ascii="Georgia" w:cs="Georgia" w:eastAsia="Georgia" w:hAnsi="Georgia"/>
          <w:b/>
          <w:bCs/>
          <w:sz w:val="22"/>
          <w:szCs w:val="22"/>
        </w:rPr>
        <w:t xml:space="preserve">Stablecoins (USDT, USDC, DAI): </w:t>
      </w:r>
      <w:r>
        <w:rPr>
          <w:rFonts w:ascii="Georgia" w:cs="Georgia" w:eastAsia="Georgia" w:hAnsi="Georgia"/>
          <w:sz w:val="22"/>
          <w:szCs w:val="22"/>
        </w:rPr>
        <w:t xml:space="preserve">A distinct and critically important category, stablecoins peg their value to a reference asset — typically the US dollar. Tether (USDT) and USD Coin (USDC) are centralized and backed by fiat reserves, while DAI is an algorithmically governed, crypto-collateralized stablecoin issued by the MakerDAO protocol. Stablecoins serve as the primary medium of exchange and unit of account within the crypto ecosystem.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4"/>
              <w:bottom w:val="single" w:color="1F6FEB" w:sz="4"/>
              <w:right w:val="single" w:color="1F6FEB" w:sz="4"/>
            </w:tcBorders>
            <w:shd w:fill="EEF4FF" w:val="clear"/>
            <w:tcMar>
              <w:top w:type="dxa" w:w="160"/>
              <w:left w:type="dxa" w:w="240"/>
              <w:bottom w:type="dxa" w:w="160"/>
              <w:right w:type="dxa" w:w="240"/>
            </w:tcMar>
          </w:tcPr>
          <w:p>
            <w:pPr>
              <w:spacing w:after="80"/>
            </w:pPr>
            <w:r>
              <w:rPr>
                <w:rFonts w:ascii="Arial" w:cs="Arial" w:eastAsia="Arial" w:hAnsi="Arial"/>
                <w:b/>
                <w:bCs/>
                <w:color w:val="1F6FEB"/>
                <w:sz w:val="22"/>
                <w:szCs w:val="22"/>
              </w:rPr>
              <w:t xml:space="preserve">Key Term: Market Capitalization</w:t>
            </w:r>
          </w:p>
          <w:p>
            <w:pPr>
              <w:spacing w:after="80"/>
            </w:pPr>
            <w:r>
              <w:rPr>
                <w:rFonts w:ascii="Georgia" w:cs="Georgia" w:eastAsia="Georgia" w:hAnsi="Georgia"/>
                <w:sz w:val="20"/>
                <w:szCs w:val="20"/>
              </w:rPr>
              <w:t xml:space="preserve">In cryptocurrency markets, market capitalization is calculated by multiplying the current price of a coin by its circulating supply. It serves as a rough proxy for relative size and market adoption. However, it is an imperfect metric: the price of the last marginal transaction does not necessarily reflect the capital that would be required to acquire the entire supply.</w:t>
            </w:r>
          </w:p>
        </w:tc>
      </w:tr>
    </w:tbl>
    <w:p>
      <w:pPr>
        <w:spacing w:after="80"/>
      </w:pPr>
      <w:r>
        <w:t xml:space="preserve"/>
      </w:r>
    </w:p>
    <w:p>
      <w:pPr>
        <w:pStyle w:val="Heading2"/>
      </w:pPr>
      <w:r>
        <w:t xml:space="preserve">26.3 Cryptocurrency Wallets and Security</w:t>
      </w:r>
    </w:p>
    <w:p>
      <w:pPr>
        <w:spacing w:after="160" w:line="340"/>
        <w:jc w:val="both"/>
      </w:pPr>
      <w:r>
        <w:t xml:space="preserve">Ownership of cryptocurrency is not technically ownership of a coin stored somewhere; it is control of a private key that authorizes the movement of funds recorded on a blockchain. A cryptocurrency wallet is therefore more accurately described as a key management system — software or hardware that stores private keys and facilitates the creation and signing of transactions.</w:t>
      </w:r>
    </w:p>
    <w:p>
      <w:pPr>
        <w:pStyle w:val="Heading3"/>
      </w:pPr>
      <w:r>
        <w:t xml:space="preserve">Types of Wallets</w:t>
      </w:r>
    </w:p>
    <w:p>
      <w:pPr>
        <w:spacing w:after="160" w:line="340"/>
        <w:jc w:val="both"/>
      </w:pPr>
      <w:r>
        <w:t xml:space="preserve">Wallets are broadly classified by whether they maintain an active connection to the internet. Hot wallets are internet-connected, making them convenient for frequent transactions but inherently more exposed to remote attacks. Cold wallets store keys in an environment isolated from the internet, dramatically reducing the attack surface at the cost of accessibility.</w:t>
      </w:r>
    </w:p>
    <w:p>
      <w:pPr>
        <w:pStyle w:val="ListParagraph"/>
        <w:numPr>
          <w:ilvl w:val="0"/>
          <w:numId w:val="2"/>
        </w:numPr>
        <w:spacing w:after="100"/>
      </w:pPr>
      <w:r>
        <w:rPr>
          <w:rFonts w:ascii="Georgia" w:cs="Georgia" w:eastAsia="Georgia" w:hAnsi="Georgia"/>
          <w:b/>
          <w:bCs/>
          <w:sz w:val="22"/>
          <w:szCs w:val="22"/>
        </w:rPr>
        <w:t xml:space="preserve">Hardware Wallets: </w:t>
      </w:r>
      <w:r>
        <w:rPr>
          <w:rFonts w:ascii="Georgia" w:cs="Georgia" w:eastAsia="Georgia" w:hAnsi="Georgia"/>
          <w:sz w:val="22"/>
          <w:szCs w:val="22"/>
        </w:rPr>
        <w:t xml:space="preserve">Physical devices (such as those made by Ledger and Trezor) that store private keys in a secure element chip. Transactions are signed on the device itself, meaning private keys never touch internet-connected systems. Considered the gold standard for securing significant holdings.</w:t>
      </w:r>
    </w:p>
    <w:p>
      <w:pPr>
        <w:pStyle w:val="ListParagraph"/>
        <w:numPr>
          <w:ilvl w:val="0"/>
          <w:numId w:val="2"/>
        </w:numPr>
        <w:spacing w:after="100"/>
      </w:pPr>
      <w:r>
        <w:rPr>
          <w:rFonts w:ascii="Georgia" w:cs="Georgia" w:eastAsia="Georgia" w:hAnsi="Georgia"/>
          <w:b/>
          <w:bCs/>
          <w:sz w:val="22"/>
          <w:szCs w:val="22"/>
        </w:rPr>
        <w:t xml:space="preserve">Software Wallets: </w:t>
      </w:r>
      <w:r>
        <w:rPr>
          <w:rFonts w:ascii="Georgia" w:cs="Georgia" w:eastAsia="Georgia" w:hAnsi="Georgia"/>
          <w:sz w:val="22"/>
          <w:szCs w:val="22"/>
        </w:rPr>
        <w:t xml:space="preserve">Applications installed on a computer or smartphone. Non-custodial software wallets (e.g., MetaMask, Exodus, Trust Wallet) give the user full control of private keys, while custodial wallets (hosted by exchanges) delegate key management to a third party.</w:t>
      </w:r>
    </w:p>
    <w:p>
      <w:pPr>
        <w:pStyle w:val="ListParagraph"/>
        <w:numPr>
          <w:ilvl w:val="0"/>
          <w:numId w:val="2"/>
        </w:numPr>
        <w:spacing w:after="100"/>
      </w:pPr>
      <w:r>
        <w:rPr>
          <w:rFonts w:ascii="Georgia" w:cs="Georgia" w:eastAsia="Georgia" w:hAnsi="Georgia"/>
          <w:b/>
          <w:bCs/>
          <w:sz w:val="22"/>
          <w:szCs w:val="22"/>
        </w:rPr>
        <w:t xml:space="preserve">Paper Wallets: </w:t>
      </w:r>
      <w:r>
        <w:rPr>
          <w:rFonts w:ascii="Georgia" w:cs="Georgia" w:eastAsia="Georgia" w:hAnsi="Georgia"/>
          <w:sz w:val="22"/>
          <w:szCs w:val="22"/>
        </w:rPr>
        <w:t xml:space="preserve">Physical printouts of a private key or its QR code. While fully offline, they are vulnerable to physical damage, loss, and inadvertent exposure. Their use has declined with the proliferation of hardware wallets.</w:t>
      </w:r>
    </w:p>
    <w:p>
      <w:pPr>
        <w:pStyle w:val="ListParagraph"/>
        <w:numPr>
          <w:ilvl w:val="0"/>
          <w:numId w:val="2"/>
        </w:numPr>
        <w:spacing w:after="100"/>
      </w:pPr>
      <w:r>
        <w:rPr>
          <w:rFonts w:ascii="Georgia" w:cs="Georgia" w:eastAsia="Georgia" w:hAnsi="Georgia"/>
          <w:b/>
          <w:bCs/>
          <w:sz w:val="22"/>
          <w:szCs w:val="22"/>
        </w:rPr>
        <w:t xml:space="preserve">Multi-Signature (Multisig) Wallets: </w:t>
      </w:r>
      <w:r>
        <w:rPr>
          <w:rFonts w:ascii="Georgia" w:cs="Georgia" w:eastAsia="Georgia" w:hAnsi="Georgia"/>
          <w:sz w:val="22"/>
          <w:szCs w:val="22"/>
        </w:rPr>
        <w:t xml:space="preserve">Require a threshold of multiple private keys to authorize a transaction (e.g., 2-of-3 or 3-of-5). Multisig setups are widely used by institutions, DAOs, and individuals seeking to eliminate the single point of failure inherent in single-key arrangements.</w:t>
      </w:r>
    </w:p>
    <w:p>
      <w:pPr>
        <w:pStyle w:val="Heading3"/>
      </w:pPr>
      <w:r>
        <w:t xml:space="preserve">Seed Phrases and Key Derivation</w:t>
      </w:r>
    </w:p>
    <w:p>
      <w:pPr>
        <w:spacing w:after="160" w:line="340"/>
        <w:jc w:val="both"/>
      </w:pPr>
      <w:r>
        <w:t xml:space="preserve">Most modern wallets implement the BIP-39 standard, generating a human-readable mnemonic seed phrase (typically 12 or 24 words) from which all of a wallet’s private keys are mathematically derived. This seed phrase is the master backup: possession of the seed phrase grants complete access to all associated funds, and loss of the seed phrase in the absence of any other backup means permanent loss of access. Secure, redundant physical storage of seed phrases — separate from any device, ideally on metal plates resistant to fire and water — is a non-negotiable practice for any serious holder.</w:t>
      </w:r>
    </w:p>
    <w:p>
      <w:pPr>
        <w:pStyle w:val="Heading3"/>
      </w:pPr>
      <w:r>
        <w:t xml:space="preserve">Security Best Practices</w:t>
      </w:r>
    </w:p>
    <w:p>
      <w:pPr>
        <w:pStyle w:val="ListParagraph"/>
        <w:numPr>
          <w:ilvl w:val="0"/>
          <w:numId w:val="2"/>
        </w:numPr>
        <w:spacing w:after="100"/>
      </w:pPr>
      <w:r>
        <w:rPr>
          <w:rFonts w:ascii="Georgia" w:cs="Georgia" w:eastAsia="Georgia" w:hAnsi="Georgia"/>
          <w:sz w:val="22"/>
          <w:szCs w:val="22"/>
        </w:rPr>
        <w:t xml:space="preserve">Never share private keys or seed phrases with anyone under any circumstances.</w:t>
      </w:r>
    </w:p>
    <w:p>
      <w:pPr>
        <w:pStyle w:val="ListParagraph"/>
        <w:numPr>
          <w:ilvl w:val="0"/>
          <w:numId w:val="2"/>
        </w:numPr>
        <w:spacing w:after="100"/>
      </w:pPr>
      <w:r>
        <w:rPr>
          <w:rFonts w:ascii="Georgia" w:cs="Georgia" w:eastAsia="Georgia" w:hAnsi="Georgia"/>
          <w:sz w:val="22"/>
          <w:szCs w:val="22"/>
        </w:rPr>
        <w:t xml:space="preserve">Be highly skeptical of unsolicited contact. Social engineering is the most common attack vector.</w:t>
      </w:r>
    </w:p>
    <w:p>
      <w:pPr>
        <w:pStyle w:val="ListParagraph"/>
        <w:numPr>
          <w:ilvl w:val="0"/>
          <w:numId w:val="2"/>
        </w:numPr>
        <w:spacing w:after="100"/>
      </w:pPr>
      <w:r>
        <w:rPr>
          <w:rFonts w:ascii="Georgia" w:cs="Georgia" w:eastAsia="Georgia" w:hAnsi="Georgia"/>
          <w:sz w:val="22"/>
          <w:szCs w:val="22"/>
        </w:rPr>
        <w:t xml:space="preserve">Verify wallet addresses character-by-character before sending. Clipboard-hijacking malware exists to silently replace copied addresses with attacker-controlled ones.</w:t>
      </w:r>
    </w:p>
    <w:p>
      <w:pPr>
        <w:pStyle w:val="ListParagraph"/>
        <w:numPr>
          <w:ilvl w:val="0"/>
          <w:numId w:val="2"/>
        </w:numPr>
        <w:spacing w:after="100"/>
      </w:pPr>
      <w:r>
        <w:rPr>
          <w:rFonts w:ascii="Georgia" w:cs="Georgia" w:eastAsia="Georgia" w:hAnsi="Georgia"/>
          <w:sz w:val="22"/>
          <w:szCs w:val="22"/>
        </w:rPr>
        <w:t xml:space="preserve">Enable two-factor authentication (2FA) on exchange accounts; prefer authenticator apps over SMS.</w:t>
      </w:r>
    </w:p>
    <w:p>
      <w:pPr>
        <w:pStyle w:val="ListParagraph"/>
        <w:numPr>
          <w:ilvl w:val="0"/>
          <w:numId w:val="2"/>
        </w:numPr>
        <w:spacing w:after="100"/>
      </w:pPr>
      <w:r>
        <w:rPr>
          <w:rFonts w:ascii="Georgia" w:cs="Georgia" w:eastAsia="Georgia" w:hAnsi="Georgia"/>
          <w:sz w:val="22"/>
          <w:szCs w:val="22"/>
        </w:rPr>
        <w:t xml:space="preserve">Keep hardware wallet firmware and software wallets updated.</w:t>
      </w:r>
    </w:p>
    <w:p>
      <w:pPr>
        <w:pStyle w:val="ListParagraph"/>
        <w:numPr>
          <w:ilvl w:val="0"/>
          <w:numId w:val="2"/>
        </w:numPr>
        <w:spacing w:after="100"/>
      </w:pPr>
      <w:r>
        <w:rPr>
          <w:rFonts w:ascii="Georgia" w:cs="Georgia" w:eastAsia="Georgia" w:hAnsi="Georgia"/>
          <w:sz w:val="22"/>
          <w:szCs w:val="22"/>
        </w:rPr>
        <w:t xml:space="preserve">Use dedicated, clean devices for significant holdings whenever possible.</w:t>
      </w:r>
    </w:p>
    <w:p>
      <w:pPr>
        <w:spacing w:after="80"/>
      </w:pPr>
      <w:r>
        <w:t xml:space="preserve"/>
      </w:r>
    </w:p>
    <w:p>
      <w:pPr>
        <w:pStyle w:val="Heading2"/>
      </w:pPr>
      <w:r>
        <w:t xml:space="preserve">26.4 DeFi (Decentralized Finance)</w:t>
      </w:r>
    </w:p>
    <w:p>
      <w:pPr>
        <w:spacing w:after="160" w:line="340"/>
        <w:jc w:val="both"/>
      </w:pPr>
      <w:r>
        <w:t xml:space="preserve">Decentralized Finance, universally abbreviated as DeFi, refers to a broad ecosystem of financial protocols and applications built on programmable blockchains — predominantly Ethereum and its layer-2 networks — that replicate or reimagine traditional financial services without relying on centralized intermediaries such as banks, brokers, or clearinghouses. Instead of a company managing a service through proprietary systems, DeFi protocols operate through open-source smart contracts that execute automatically and transparently.</w:t>
      </w:r>
    </w:p>
    <w:p>
      <w:pPr>
        <w:spacing w:after="160" w:line="340"/>
        <w:jc w:val="both"/>
      </w:pPr>
      <w:r>
        <w:t xml:space="preserve">The DeFi ecosystem grew explosively between 2020 and 2021 in a period dubbed “DeFi Summer,” with total value locked (TVL) — the aggregate value of assets deposited in DeFi protocols — surging from under one billion dollars to peaks exceeding one hundred billion dollars. The sector experienced severe contractions in the bear market of 2022, exposing weaknesses in overleveraged and poorly designed protocols, but emerged with greater scrutiny and, arguably, more resilient architecture.</w:t>
      </w:r>
    </w:p>
    <w:p>
      <w:pPr>
        <w:pStyle w:val="Heading3"/>
      </w:pPr>
      <w:r>
        <w:t xml:space="preserve">Decentralized Exchanges (DEXs)</w:t>
      </w:r>
    </w:p>
    <w:p>
      <w:pPr>
        <w:spacing w:after="160" w:line="340"/>
        <w:jc w:val="both"/>
      </w:pPr>
      <w:r>
        <w:t xml:space="preserve">Decentralized exchanges allow users to trade cryptocurrencies directly from their wallets, without depositing funds onto a centralized platform. The dominant model is the Automated Market Maker (AMM), pioneered by Uniswap. Rather than a traditional order book matching buyers and sellers, AMMs use liquidity pools — reserves of token pairs contributed by liquidity providers — and a mathematical formula to determine exchange rates. Uniswap’s constant-product formula (x * y = k) is the most foundational example.</w:t>
      </w:r>
    </w:p>
    <w:p>
      <w:pPr>
        <w:spacing w:after="160" w:line="340"/>
        <w:jc w:val="both"/>
      </w:pPr>
      <w:r>
        <w:t xml:space="preserve">Liquidity providers earn fees from trades occurring in their pool but face a phenomenon called impermanent loss: when the price ratio of pooled tokens diverges significantly from the ratio at deposit, the value of their holdings may be less than had they simply held the tokens without providing liquidity. Sophisticated LPs model this risk carefully before committing capital.</w:t>
      </w:r>
    </w:p>
    <w:p>
      <w:pPr>
        <w:pStyle w:val="Heading3"/>
      </w:pPr>
      <w:r>
        <w:t xml:space="preserve">Lending and Borrowing Protocols</w:t>
      </w:r>
    </w:p>
    <w:p>
      <w:pPr>
        <w:spacing w:after="160" w:line="340"/>
        <w:jc w:val="both"/>
      </w:pPr>
      <w:r>
        <w:t xml:space="preserve">Protocols such as Aave and Compound allow users to supply cryptocurrency as collateral and borrow other assets, with interest rates set algorithmically based on supply and demand. These protocols are overcollateralized by design: borrowers must post collateral worth more than the loan value. If the collateral’s value falls below a liquidation threshold, the protocol automatically sells the collateral to repay the loan, protecting lenders. This model eliminates credit risk but requires borrowers to maintain active awareness of their collateral ratios.</w:t>
      </w:r>
    </w:p>
    <w:p>
      <w:pPr>
        <w:pStyle w:val="Heading3"/>
      </w:pPr>
      <w:r>
        <w:t xml:space="preserve">Risks in DeFi</w:t>
      </w:r>
    </w:p>
    <w:p>
      <w:pPr>
        <w:spacing w:after="160" w:line="340"/>
        <w:jc w:val="both"/>
      </w:pPr>
      <w:r>
        <w:t xml:space="preserve">DeFi carries a distinct and layered risk profile compared to traditional finance.</w:t>
      </w:r>
    </w:p>
    <w:p>
      <w:pPr>
        <w:pStyle w:val="ListParagraph"/>
        <w:numPr>
          <w:ilvl w:val="0"/>
          <w:numId w:val="2"/>
        </w:numPr>
        <w:spacing w:after="100"/>
      </w:pPr>
      <w:r>
        <w:rPr>
          <w:rFonts w:ascii="Georgia" w:cs="Georgia" w:eastAsia="Georgia" w:hAnsi="Georgia"/>
          <w:b/>
          <w:bCs/>
          <w:sz w:val="22"/>
          <w:szCs w:val="22"/>
        </w:rPr>
        <w:t xml:space="preserve">Smart Contract Risk: </w:t>
      </w:r>
      <w:r>
        <w:rPr>
          <w:rFonts w:ascii="Georgia" w:cs="Georgia" w:eastAsia="Georgia" w:hAnsi="Georgia"/>
          <w:sz w:val="22"/>
          <w:szCs w:val="22"/>
        </w:rPr>
        <w:t xml:space="preserve">Bugs or vulnerabilities in protocol code can be exploited by attackers to drain funds. Hundreds of millions of dollars have been lost to smart contract exploits. Audits by reputable security firms reduce but do not eliminate this risk.</w:t>
      </w:r>
    </w:p>
    <w:p>
      <w:pPr>
        <w:pStyle w:val="ListParagraph"/>
        <w:numPr>
          <w:ilvl w:val="0"/>
          <w:numId w:val="2"/>
        </w:numPr>
        <w:spacing w:after="100"/>
      </w:pPr>
      <w:r>
        <w:rPr>
          <w:rFonts w:ascii="Georgia" w:cs="Georgia" w:eastAsia="Georgia" w:hAnsi="Georgia"/>
          <w:b/>
          <w:bCs/>
          <w:sz w:val="22"/>
          <w:szCs w:val="22"/>
        </w:rPr>
        <w:t xml:space="preserve">Oracle Risk: </w:t>
      </w:r>
      <w:r>
        <w:rPr>
          <w:rFonts w:ascii="Georgia" w:cs="Georgia" w:eastAsia="Georgia" w:hAnsi="Georgia"/>
          <w:sz w:val="22"/>
          <w:szCs w:val="22"/>
        </w:rPr>
        <w:t xml:space="preserve">DeFi protocols rely on price oracles — external data feeds — to price collateral. Oracle manipulation attacks have been used to trigger fraudulent liquidations or distorted lending conditions.</w:t>
      </w:r>
    </w:p>
    <w:p>
      <w:pPr>
        <w:pStyle w:val="ListParagraph"/>
        <w:numPr>
          <w:ilvl w:val="0"/>
          <w:numId w:val="2"/>
        </w:numPr>
        <w:spacing w:after="100"/>
      </w:pPr>
      <w:r>
        <w:rPr>
          <w:rFonts w:ascii="Georgia" w:cs="Georgia" w:eastAsia="Georgia" w:hAnsi="Georgia"/>
          <w:b/>
          <w:bCs/>
          <w:sz w:val="22"/>
          <w:szCs w:val="22"/>
        </w:rPr>
        <w:t xml:space="preserve">Liquidity Risk: </w:t>
      </w:r>
      <w:r>
        <w:rPr>
          <w:rFonts w:ascii="Georgia" w:cs="Georgia" w:eastAsia="Georgia" w:hAnsi="Georgia"/>
          <w:sz w:val="22"/>
          <w:szCs w:val="22"/>
        </w:rPr>
        <w:t xml:space="preserve">In stress scenarios, protocols may face liquidity crises, and assets may become difficult to exit at expected prices.</w:t>
      </w:r>
    </w:p>
    <w:p>
      <w:pPr>
        <w:pStyle w:val="ListParagraph"/>
        <w:numPr>
          <w:ilvl w:val="0"/>
          <w:numId w:val="2"/>
        </w:numPr>
        <w:spacing w:after="100"/>
      </w:pPr>
      <w:r>
        <w:rPr>
          <w:rFonts w:ascii="Georgia" w:cs="Georgia" w:eastAsia="Georgia" w:hAnsi="Georgia"/>
          <w:b/>
          <w:bCs/>
          <w:sz w:val="22"/>
          <w:szCs w:val="22"/>
        </w:rPr>
        <w:t xml:space="preserve">Governance Risk: </w:t>
      </w:r>
      <w:r>
        <w:rPr>
          <w:rFonts w:ascii="Georgia" w:cs="Georgia" w:eastAsia="Georgia" w:hAnsi="Georgia"/>
          <w:sz w:val="22"/>
          <w:szCs w:val="22"/>
        </w:rPr>
        <w:t xml:space="preserve">Many protocols are governed by token holders who vote on changes. Governance can be manipulated by large token holders, and poorly conceived proposals can damage protocol integrity.</w:t>
      </w:r>
    </w:p>
    <w:p>
      <w:pPr>
        <w:spacing w:after="80"/>
      </w:pPr>
      <w:r>
        <w:t xml:space="preserve"/>
      </w:r>
    </w:p>
    <w:p>
      <w:pPr>
        <w:pStyle w:val="Heading2"/>
      </w:pPr>
      <w:r>
        <w:t xml:space="preserve">26.5 NFTs and Digital Collectibles</w:t>
      </w:r>
    </w:p>
    <w:p>
      <w:pPr>
        <w:spacing w:after="160" w:line="340"/>
        <w:jc w:val="both"/>
      </w:pPr>
      <w:r>
        <w:t xml:space="preserve">A Non-Fungible Token (NFT) is a blockchain-based cryptographic token representing ownership of a unique item or piece of content. Unlike fungible tokens such as BTC or ETH — where each unit is identical and interchangeable — each NFT has a distinct identifier and a distinct set of properties encoded in its metadata. This non-fungibility makes NFTs suitable for representing ownership of art, music, in-game items, virtual real estate, event tickets, identity credentials, and a wide range of other unique assets.</w:t>
      </w:r>
    </w:p>
    <w:p>
      <w:pPr>
        <w:spacing w:after="160" w:line="340"/>
        <w:jc w:val="both"/>
      </w:pPr>
      <w:r>
        <w:t xml:space="preserve">NFTs are most commonly implemented on Ethereum using the ERC-721 and ERC-1155 token standards, though comparable standards exist on Solana (cNFTs), Polygon, and other chains. The token itself contains a pointer to the associated media, which is typically stored off-chain (on platforms like IPFS or Arweave), raising questions about permanence: if the storage service ceases to operate, the token may persist on the blockchain while the associated content becomes inaccessible.</w:t>
      </w:r>
    </w:p>
    <w:p>
      <w:pPr>
        <w:pStyle w:val="Heading3"/>
      </w:pPr>
      <w:r>
        <w:t xml:space="preserve">The NFT Market Cycle</w:t>
      </w:r>
    </w:p>
    <w:p>
      <w:pPr>
        <w:spacing w:after="160" w:line="340"/>
        <w:jc w:val="both"/>
      </w:pPr>
      <w:r>
        <w:t xml:space="preserve">The NFT market experienced a historically intense boom in 2021, with monthly primary and secondary sale volumes on Ethereum surpassing several billion dollars at its peak. Projects like CryptoPunks, Bored Ape Yacht Club, and Art Blocks attracted mainstream media attention and drove speculative investment. The market cooled sharply in 2022 and continued to contract, revealing that the majority of NFT projects lacked the cultural or utility-driven fundamentals necessary to sustain long-term value.</w:t>
      </w:r>
    </w:p>
    <w:p>
      <w:pPr>
        <w:spacing w:after="160" w:line="340"/>
        <w:jc w:val="both"/>
      </w:pPr>
      <w:r>
        <w:t xml:space="preserve">Analysts and investors who survived the cycle intact typically distinguished between speculative collectibles, which derive value primarily from perceived status and market momentum, and utility NFTs, which provide ongoing benefits such as access to events, voting rights in organizations, or in-game functionality. The latter category is more likely to exhibit durable value but is also more dependent on the continued operation and success of the issuing platform.</w:t>
      </w:r>
    </w:p>
    <w:p>
      <w:pPr>
        <w:pStyle w:val="Heading3"/>
      </w:pPr>
      <w:r>
        <w:t xml:space="preserve">Intellectual Property Considerations</w:t>
      </w:r>
    </w:p>
    <w:p>
      <w:pPr>
        <w:spacing w:after="160" w:line="340"/>
        <w:jc w:val="both"/>
      </w:pPr>
      <w:r>
        <w:t xml:space="preserve">A common misconception holds that purchasing an NFT automatically grants the buyer intellectual property rights to the associated artwork. In most cases, this is incorrect. The NFT represents ownership of a token on the blockchain, not the copyright to the underlying work. IP rights are governed by the terms and conditions established by the creator or issuing platform, and these vary widely. Buyers should read these terms carefully, as some collections grant broad commercial licenses to the token holder while others restrict rights substantially.</w:t>
      </w:r>
    </w:p>
    <w:p>
      <w:pPr>
        <w:spacing w:after="80"/>
      </w:pPr>
      <w:r>
        <w:t xml:space="preserve"/>
      </w:r>
    </w:p>
    <w:p>
      <w:pPr>
        <w:pStyle w:val="Heading2"/>
      </w:pPr>
      <w:r>
        <w:t xml:space="preserve">26.6 Crypto Trading Strategies</w:t>
      </w:r>
    </w:p>
    <w:p>
      <w:pPr>
        <w:spacing w:after="160" w:line="340"/>
        <w:jc w:val="both"/>
      </w:pPr>
      <w:r>
        <w:t xml:space="preserve">Trading cryptocurrencies involves the same fundamental analytical disciplines applied in equity markets — technical analysis, fundamental analysis, and risk management — but within a market that operates continuously, lacks circuit breakers, is highly reflexive, and is subject to dramatic volatility. These characteristics create both enlarged opportunity and enlarged risk. A clear strategic framework and rigorous risk management are prerequisites for any serious participant.</w:t>
      </w:r>
    </w:p>
    <w:p>
      <w:pPr>
        <w:pStyle w:val="Heading3"/>
      </w:pPr>
      <w:r>
        <w:t xml:space="preserve">Spot Trading and Long-Term Holding (HODLing)</w:t>
      </w:r>
    </w:p>
    <w:p>
      <w:pPr>
        <w:spacing w:after="160" w:line="340"/>
        <w:jc w:val="both"/>
      </w:pPr>
      <w:r>
        <w:t xml:space="preserve">Spot trading involves the direct purchase and sale of cryptocurrency at current market prices. The simplest strategy is long-term accumulation and holding, colloquially termed HODLing within the community (derived from a misspelled forum post that became a cultural artifact). Long-term holders typically base their conviction on macro-level theses — Bitcoin as a store of value, Ethereum as a global settlement layer — and seek to ride multi-year adoption curves while ignoring shorter-term volatility. Dollar-cost averaging (DCA), the practice of deploying capital in fixed-interval increments regardless of price, is a widely recommended approach for long-term accumulators as it smooths entry prices and removes emotional timing decisions.</w:t>
      </w:r>
    </w:p>
    <w:p>
      <w:pPr>
        <w:pStyle w:val="Heading3"/>
      </w:pPr>
      <w:r>
        <w:t xml:space="preserve">Technical Analysis in Crypto Markets</w:t>
      </w:r>
    </w:p>
    <w:p>
      <w:pPr>
        <w:spacing w:after="160" w:line="340"/>
        <w:jc w:val="both"/>
      </w:pPr>
      <w:r>
        <w:t xml:space="preserve">Technical analysis (TA) evaluates price charts, volume, and derivatives of these data to forecast future price movements. Standard TA tools — moving averages, RSI, MACD, Fibonacci retracements, support and resistance levels — are applied extensively in crypto markets. Market structure analysis, the identification of higher highs and higher lows in uptrends or lower lows and lower highs in downtrends, provides context for positioning. On-chain analytics — data derived directly from blockchain activity such as exchange inflows, wallet address cohort behavior, and miner economics — supplements traditional TA and is unique to the crypto asset class.</w:t>
      </w:r>
    </w:p>
    <w:p>
      <w:pPr>
        <w:pStyle w:val="Heading3"/>
      </w:pPr>
      <w:r>
        <w:t xml:space="preserve">Derivatives and Leverage</w:t>
      </w:r>
    </w:p>
    <w:p>
      <w:pPr>
        <w:spacing w:after="160" w:line="340"/>
        <w:jc w:val="both"/>
      </w:pPr>
      <w:r>
        <w:t xml:space="preserve">Perpetual futures contracts — a derivative instrument without expiry date, using a funding rate mechanism to keep contract prices anchored to spot prices — have become the dominant trading vehicle in crypto markets by volume. Exchanges offer leverage of ten, twenty, or even one hundred times, allowing traders to control positions many multiples of their capital. Leverage dramatically amplifies both gains and losses, and liquidation cascades — in which forced position closures drive prices further in the adverse direction, triggering additional liquidations — are a recurring and destructive feature of crypto market downturns. Position sizing and disciplined stop-loss usage are non-negotiable for leveraged traders.</w:t>
      </w:r>
    </w:p>
    <w:p>
      <w:pPr>
        <w:pStyle w:val="Heading3"/>
      </w:pPr>
      <w:r>
        <w:t xml:space="preserve">Arbitrage and Market-Neutral Strategies</w:t>
      </w:r>
    </w:p>
    <w:p>
      <w:pPr>
        <w:spacing w:after="160" w:line="340"/>
        <w:jc w:val="both"/>
      </w:pPr>
      <w:r>
        <w:t xml:space="preserve">Price discrepancies for the same asset across different exchanges or between spot and futures markets create arbitrage opportunities. Statistical arbitrage strategies exploit mean-reverting relationships between correlated assets. Basis trading captures the spread between spot and futures prices. These strategies require sophisticated infrastructure and real-time execution capabilities to be viable, and many are now dominated by algorithmic market makers. Nonetheless, cross-exchange cash-and-carry trades — holding spot while shorting an equivalent futures position to capture the funding rate — remain accessible to retail participants during periods of high positive funding.</w:t>
      </w:r>
    </w:p>
    <w:p>
      <w:pPr>
        <w:spacing w:after="80"/>
      </w:pPr>
      <w:r>
        <w:t xml:space="preserve"/>
      </w:r>
    </w:p>
    <w:p>
      <w:pPr>
        <w:pStyle w:val="Heading2"/>
      </w:pPr>
      <w:r>
        <w:t xml:space="preserve">26.7 Staking and Yield Farming</w:t>
      </w:r>
    </w:p>
    <w:p>
      <w:pPr>
        <w:spacing w:after="160" w:line="340"/>
        <w:jc w:val="both"/>
      </w:pPr>
      <w:r>
        <w:t xml:space="preserve">Two of the primary mechanisms for earning returns on cryptocurrency holdings without active trading are staking and yield farming. While often conflated, they are distinct activities with different risk profiles, mechanics, and return sources.</w:t>
      </w:r>
    </w:p>
    <w:p>
      <w:pPr>
        <w:pStyle w:val="Heading3"/>
      </w:pPr>
      <w:r>
        <w:t xml:space="preserve">Staking</w:t>
      </w:r>
    </w:p>
    <w:p>
      <w:pPr>
        <w:spacing w:after="160" w:line="340"/>
        <w:jc w:val="both"/>
      </w:pPr>
      <w:r>
        <w:t xml:space="preserve">In a Proof of Stake blockchain, staking refers to the act of locking cryptocurrency in the network’s validator set to participate in consensus and earn staking rewards. These rewards are funded by protocol inflation (new token issuance) and, increasingly, by transaction fees. Staking is generally considered a lower-risk yield activity relative to DeFi farming because it does not involve smart contract interaction beyond the native staking contract and is an inherent network function.</w:t>
      </w:r>
    </w:p>
    <w:p>
      <w:pPr>
        <w:spacing w:after="160" w:line="340"/>
        <w:jc w:val="both"/>
      </w:pPr>
      <w:r>
        <w:t xml:space="preserve">Ethereum staking requires 32 ETH to operate an independent validator node but can be accessed at any size through liquid staking protocols such as Lido (stETH) or Rocket Pool (rETH). These protocols issue liquid tokens representing staked assets, which continue to appreciate against ETH as staking rewards accumulate and can themselves be used in DeFi applications — a practice known as restaking or liquid staking derivatives (LSDs). Validators face a risk called slashing: malicious behavior or specific technical failures (such as double-signing) can result in a portion of staked funds being permanently destroyed as a penalty.</w:t>
      </w:r>
    </w:p>
    <w:p>
      <w:pPr>
        <w:pStyle w:val="Heading3"/>
      </w:pPr>
      <w:r>
        <w:t xml:space="preserve">Yield Farming</w:t>
      </w:r>
    </w:p>
    <w:p>
      <w:pPr>
        <w:spacing w:after="160" w:line="340"/>
        <w:jc w:val="both"/>
      </w:pPr>
      <w:r>
        <w:t xml:space="preserve">Yield farming (also called liquidity mining) refers broadly to the deployment of cryptocurrency assets in DeFi protocols to earn yield, frequently involving the active optimization of returns across multiple platforms. The yield may derive from trading fees in liquidity pools, lending interest, protocol token emissions rewarding early liquidity providers, or combinations thereof.</w:t>
      </w:r>
    </w:p>
    <w:p>
      <w:pPr>
        <w:spacing w:after="160" w:line="340"/>
        <w:jc w:val="both"/>
      </w:pPr>
      <w:r>
        <w:t xml:space="preserve">Returns in yield farming are quoted in Annual Percentage Yield (APY), though in practice these rates are highly variable and reflexive: as more capital flows into a high-yielding pool, rewards per dollar deposited decline. Headline APYs during periods of aggressive liquidity incentive programs can appear extraordinarily high but often reflect significant and rapidly declining reward token values or short-lived promotional periods.</w:t>
      </w:r>
    </w:p>
    <w:p>
      <w:pPr>
        <w:spacing w:after="160" w:line="340"/>
        <w:jc w:val="both"/>
      </w:pPr>
      <w:r>
        <w:t xml:space="preserve">The risk profile of yield farming is substantially higher than pure staking. Participants are exposed to smart contract risk from each protocol in a strategy, impermanent loss in AMM pools, reward token price risk, and occasionally the risk of protocol insolvency or exploits. Advanced farmers often use yield aggregators such as Yearn Finance, which automatically compound and rebalance positions across protocols, abstracting complexity at the cost of additional smart contract exposure.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4"/>
              <w:bottom w:val="single" w:color="1F6FEB" w:sz="4"/>
              <w:right w:val="single" w:color="1F6FEB" w:sz="4"/>
            </w:tcBorders>
            <w:shd w:fill="EEF4FF" w:val="clear"/>
            <w:tcMar>
              <w:top w:type="dxa" w:w="160"/>
              <w:left w:type="dxa" w:w="240"/>
              <w:bottom w:type="dxa" w:w="160"/>
              <w:right w:type="dxa" w:w="240"/>
            </w:tcMar>
          </w:tcPr>
          <w:p>
            <w:pPr>
              <w:spacing w:after="80"/>
            </w:pPr>
            <w:r>
              <w:rPr>
                <w:rFonts w:ascii="Arial" w:cs="Arial" w:eastAsia="Arial" w:hAnsi="Arial"/>
                <w:b/>
                <w:bCs/>
                <w:color w:val="1F6FEB"/>
                <w:sz w:val="22"/>
                <w:szCs w:val="22"/>
              </w:rPr>
              <w:t xml:space="preserve">Risk Reminder: Yield Farming</w:t>
            </w:r>
          </w:p>
          <w:p>
            <w:pPr>
              <w:spacing w:after="80"/>
            </w:pPr>
            <w:r>
              <w:rPr>
                <w:rFonts w:ascii="Georgia" w:cs="Georgia" w:eastAsia="Georgia" w:hAnsi="Georgia"/>
                <w:sz w:val="20"/>
                <w:szCs w:val="20"/>
              </w:rPr>
              <w:t xml:space="preserve">Extremely high advertised APYs in DeFi farming should be treated with considerable skepticism. Returns denominated in newly issued reward tokens are subject to aggressive sell pressure from other farmers, and the “real” return in stablecoin-equivalent terms is often a fraction of the headline figure. Participants should model worst-case reward token price scenarios before committing capital.</w:t>
            </w:r>
          </w:p>
        </w:tc>
      </w:tr>
    </w:tbl>
    <w:p>
      <w:pPr>
        <w:spacing w:after="80"/>
      </w:pPr>
      <w:r>
        <w:t xml:space="preserve"/>
      </w:r>
    </w:p>
    <w:p>
      <w:pPr>
        <w:pStyle w:val="Heading2"/>
      </w:pPr>
      <w:r>
        <w:t xml:space="preserve">26.8 Cryptocurrency Tax Implications</w:t>
      </w:r>
    </w:p>
    <w:p>
      <w:pPr>
        <w:spacing w:after="160" w:line="340"/>
        <w:jc w:val="both"/>
      </w:pPr>
      <w:r>
        <w:t xml:space="preserve">Taxation of cryptocurrency is a significant and evolving area of law. Tax authorities in most major jurisdictions have issued guidance establishing that cryptocurrency is treated as property rather than currency for tax purposes, with important implications for how gains, losses, income, and other crypto-denominated activities are reported. Non-compliance, whether through ignorance or intentional evasion, carries material legal and financial risk as regulators invest heavily in blockchain analytics capabilities.</w:t>
      </w:r>
    </w:p>
    <w:p>
      <w:pPr>
        <w:pStyle w:val="Heading3"/>
      </w:pPr>
      <w:r>
        <w:t xml:space="preserve">Taxable Events</w:t>
      </w:r>
    </w:p>
    <w:p>
      <w:pPr>
        <w:spacing w:after="160" w:line="340"/>
        <w:jc w:val="both"/>
      </w:pPr>
      <w:r>
        <w:t xml:space="preserve">The following events are typically treated as taxable in most major jurisdictions including the United States:</w:t>
      </w:r>
    </w:p>
    <w:p>
      <w:pPr>
        <w:pStyle w:val="ListParagraph"/>
        <w:numPr>
          <w:ilvl w:val="0"/>
          <w:numId w:val="2"/>
        </w:numPr>
        <w:spacing w:after="100"/>
      </w:pPr>
      <w:r>
        <w:rPr>
          <w:rFonts w:ascii="Georgia" w:cs="Georgia" w:eastAsia="Georgia" w:hAnsi="Georgia"/>
          <w:sz w:val="22"/>
          <w:szCs w:val="22"/>
        </w:rPr>
        <w:t xml:space="preserve">Selling cryptocurrency for fiat currency triggers a capital gain or loss.</w:t>
      </w:r>
    </w:p>
    <w:p>
      <w:pPr>
        <w:pStyle w:val="ListParagraph"/>
        <w:numPr>
          <w:ilvl w:val="0"/>
          <w:numId w:val="2"/>
        </w:numPr>
        <w:spacing w:after="100"/>
      </w:pPr>
      <w:r>
        <w:rPr>
          <w:rFonts w:ascii="Georgia" w:cs="Georgia" w:eastAsia="Georgia" w:hAnsi="Georgia"/>
          <w:sz w:val="22"/>
          <w:szCs w:val="22"/>
        </w:rPr>
        <w:t xml:space="preserve">Trading one cryptocurrency for another is treated as a disposal of the first asset and a purchase of the second at fair market value, creating a taxable event.</w:t>
      </w:r>
    </w:p>
    <w:p>
      <w:pPr>
        <w:pStyle w:val="ListParagraph"/>
        <w:numPr>
          <w:ilvl w:val="0"/>
          <w:numId w:val="2"/>
        </w:numPr>
        <w:spacing w:after="100"/>
      </w:pPr>
      <w:r>
        <w:rPr>
          <w:rFonts w:ascii="Georgia" w:cs="Georgia" w:eastAsia="Georgia" w:hAnsi="Georgia"/>
          <w:sz w:val="22"/>
          <w:szCs w:val="22"/>
        </w:rPr>
        <w:t xml:space="preserve">Using cryptocurrency to purchase goods or services is a taxable disposal.</w:t>
      </w:r>
    </w:p>
    <w:p>
      <w:pPr>
        <w:pStyle w:val="ListParagraph"/>
        <w:numPr>
          <w:ilvl w:val="0"/>
          <w:numId w:val="2"/>
        </w:numPr>
        <w:spacing w:after="100"/>
      </w:pPr>
      <w:r>
        <w:rPr>
          <w:rFonts w:ascii="Georgia" w:cs="Georgia" w:eastAsia="Georgia" w:hAnsi="Georgia"/>
          <w:sz w:val="22"/>
          <w:szCs w:val="22"/>
        </w:rPr>
        <w:t xml:space="preserve">Receiving cryptocurrency as payment for services constitutes ordinary income at the fair market value on receipt.</w:t>
      </w:r>
    </w:p>
    <w:p>
      <w:pPr>
        <w:pStyle w:val="ListParagraph"/>
        <w:numPr>
          <w:ilvl w:val="0"/>
          <w:numId w:val="2"/>
        </w:numPr>
        <w:spacing w:after="100"/>
      </w:pPr>
      <w:r>
        <w:rPr>
          <w:rFonts w:ascii="Georgia" w:cs="Georgia" w:eastAsia="Georgia" w:hAnsi="Georgia"/>
          <w:sz w:val="22"/>
          <w:szCs w:val="22"/>
        </w:rPr>
        <w:t xml:space="preserve">Mining rewards are generally treated as ordinary income at fair market value upon receipt.</w:t>
      </w:r>
    </w:p>
    <w:p>
      <w:pPr>
        <w:pStyle w:val="ListParagraph"/>
        <w:numPr>
          <w:ilvl w:val="0"/>
          <w:numId w:val="2"/>
        </w:numPr>
        <w:spacing w:after="100"/>
      </w:pPr>
      <w:r>
        <w:rPr>
          <w:rFonts w:ascii="Georgia" w:cs="Georgia" w:eastAsia="Georgia" w:hAnsi="Georgia"/>
          <w:sz w:val="22"/>
          <w:szCs w:val="22"/>
        </w:rPr>
        <w:t xml:space="preserve">Staking rewards are increasingly treated as ordinary income, though this treatment remains subject to litigation in some jurisdictions.</w:t>
      </w:r>
    </w:p>
    <w:p>
      <w:pPr>
        <w:pStyle w:val="ListParagraph"/>
        <w:numPr>
          <w:ilvl w:val="0"/>
          <w:numId w:val="2"/>
        </w:numPr>
        <w:spacing w:after="100"/>
      </w:pPr>
      <w:r>
        <w:rPr>
          <w:rFonts w:ascii="Georgia" w:cs="Georgia" w:eastAsia="Georgia" w:hAnsi="Georgia"/>
          <w:sz w:val="22"/>
          <w:szCs w:val="22"/>
        </w:rPr>
        <w:t xml:space="preserve">Airdrops received are generally treated as ordinary income at fair market value at the time of receipt.</w:t>
      </w:r>
    </w:p>
    <w:p>
      <w:pPr>
        <w:pStyle w:val="Heading3"/>
      </w:pPr>
      <w:r>
        <w:t xml:space="preserve">Capital Gains Holding Periods</w:t>
      </w:r>
    </w:p>
    <w:p>
      <w:pPr>
        <w:spacing w:after="160" w:line="340"/>
        <w:jc w:val="both"/>
      </w:pPr>
      <w:r>
        <w:t xml:space="preserve">In the United States, assets held for more than one year qualify for long-term capital gains rates, which are substantially lower than ordinary income rates for most taxpayers (0%, 15%, or 20% depending on income, versus up to 37% for ordinary income). Assets held for one year or less are taxed at ordinary income rates as short-term capital gains. Holding period strategy is therefore an important consideration when planning disposals.</w:t>
      </w:r>
    </w:p>
    <w:p>
      <w:pPr>
        <w:pStyle w:val="Heading3"/>
      </w:pPr>
      <w:r>
        <w:t xml:space="preserve">Cost Basis and Accounting Methods</w:t>
      </w:r>
    </w:p>
    <w:p>
      <w:pPr>
        <w:spacing w:after="160" w:line="340"/>
        <w:jc w:val="both"/>
      </w:pPr>
      <w:r>
        <w:t xml:space="preserve">Accurate capital gain and loss calculation requires knowing the cost basis of each unit of cryptocurrency disposed. Common accounting methods include First In, First Out (FIFO), Last In, First Out (LIFO), and Specific Identification, each producing different taxable outcomes. Many jurisdictions impose restrictions on which methods are permissible. Detailed records of every acquisition — including date, quantity, and price — are essential. Dedicated cryptocurrency tax software (such as Koinly, TaxBit, or CoinTracker) can import transaction histories from exchanges and wallets to automate gain and loss calculations.</w:t>
      </w:r>
    </w:p>
    <w:p>
      <w:pPr>
        <w:pStyle w:val="Heading3"/>
      </w:pPr>
      <w:r>
        <w:t xml:space="preserve">DeFi and NFT Tax Complexity</w:t>
      </w:r>
    </w:p>
    <w:p>
      <w:pPr>
        <w:spacing w:after="160" w:line="340"/>
        <w:jc w:val="both"/>
      </w:pPr>
      <w:r>
        <w:t xml:space="preserve">DeFi activity introduces substantial complexity. Providing liquidity, receiving LP tokens, harvesting yield, and unwinding positions may each generate taxable events, and the treatment of impermanent loss remains unsettled in many jurisdictions. NFT sales generate capital gains or losses, and NFT creators who sell their work typically recognize ordinary income. Tax professionals with specific cryptocurrency experience are strongly recommended for any participant with complex DeFi or NFT activity.</w:t>
      </w:r>
    </w:p>
    <w:p>
      <w:pPr>
        <w:spacing w:after="80"/>
      </w:pPr>
      <w:r>
        <w:t xml:space="preserve"/>
      </w:r>
    </w:p>
    <w:p>
      <w:pPr>
        <w:pStyle w:val="Heading2"/>
      </w:pPr>
      <w:r>
        <w:t xml:space="preserve">26.9 Regulatory Environment</w:t>
      </w:r>
    </w:p>
    <w:p>
      <w:pPr>
        <w:spacing w:after="160" w:line="340"/>
        <w:jc w:val="both"/>
      </w:pPr>
      <w:r>
        <w:t xml:space="preserve">The regulatory treatment of cryptocurrency is one of the most consequential and contested dimensions of the industry. Jurisdictions around the world have adopted approaches ranging from welcoming regulatory frameworks designed to attract crypto businesses to outright prohibitions on trading and mining. The regulatory landscape is shifting rapidly, and market participants must monitor developments closely as new rules can materially affect the legality, tax treatment, and operational structure of crypto activities.</w:t>
      </w:r>
    </w:p>
    <w:p>
      <w:pPr>
        <w:pStyle w:val="Heading3"/>
      </w:pPr>
      <w:r>
        <w:t xml:space="preserve">United States</w:t>
      </w:r>
    </w:p>
    <w:p>
      <w:pPr>
        <w:spacing w:after="160" w:line="340"/>
        <w:jc w:val="both"/>
      </w:pPr>
      <w:r>
        <w:t xml:space="preserve">The United States has historically taken a fragmented regulatory approach, with jurisdiction contested among multiple federal agencies. The Securities and Exchange Commission (SEC) has aggressively asserted that many cryptocurrency tokens constitute securities under the Howey Test, requiring registration or a valid exemption. The Commodity Futures Trading Commission (CFTC) treats Bitcoin and Ether as commodities and has jurisdiction over derivatives markets. The Financial Crimes Enforcement Network (FinCEN) enforces Bank Secrecy Act requirements on money service businesses, including cryptocurrency exchanges, which must implement Know Your Customer (KYC) and Anti-Money Laundering (AML) programs. The Internal Revenue Service (IRS) has progressively increased its enforcement and reporting requirements. Legislative efforts to create a comprehensive federal crypto regulatory framework have progressed slowly but gained momentum, with several significant bills advancing through Congress in recent years.</w:t>
      </w:r>
    </w:p>
    <w:p>
      <w:pPr>
        <w:pStyle w:val="Heading3"/>
      </w:pPr>
      <w:r>
        <w:t xml:space="preserve">European Union</w:t>
      </w:r>
    </w:p>
    <w:p>
      <w:pPr>
        <w:spacing w:after="160" w:line="340"/>
        <w:jc w:val="both"/>
      </w:pPr>
      <w:r>
        <w:t xml:space="preserve">The European Union has enacted the Markets in Crypto-Assets (MiCA) regulation, which represents the most comprehensive and systematic regulatory framework for digital assets among major jurisdictions. MiCA came into force in stages beginning in 2024, establishing licensing requirements for crypto-asset service providers, rules for stablecoin issuers (termed e-money token and asset-referenced token issuers), and disclosure requirements for crypto-asset offerings. MiCA provides regulatory clarity that the EU anticipates will encourage institutional participation while protecting consumers.</w:t>
      </w:r>
    </w:p>
    <w:p>
      <w:pPr>
        <w:pStyle w:val="Heading3"/>
      </w:pPr>
      <w:r>
        <w:t xml:space="preserve">Asia-Pacific</w:t>
      </w:r>
    </w:p>
    <w:p>
      <w:pPr>
        <w:spacing w:after="160" w:line="340"/>
        <w:jc w:val="both"/>
      </w:pPr>
      <w:r>
        <w:t xml:space="preserve">Singapore has emerged as a regional hub under the Monetary Authority of Singapore’s (MAS) Payment Services Act framework, though it has tightened its retail crypto advertising rules. Japan has a mature regulatory framework treating Bitcoin as a legal payment method, with licensed exchanges subject to robust oversight. China has imposed comprehensive bans on cryptocurrency trading and mining. Australia, South Korea, and Hong Kong have each developed distinct but generally evolving regulatory regimes.</w:t>
      </w:r>
    </w:p>
    <w:p>
      <w:pPr>
        <w:pStyle w:val="Heading3"/>
      </w:pPr>
      <w:r>
        <w:t xml:space="preserve">Key Regulatory Themes</w:t>
      </w:r>
    </w:p>
    <w:p>
      <w:pPr>
        <w:pStyle w:val="ListParagraph"/>
        <w:numPr>
          <w:ilvl w:val="0"/>
          <w:numId w:val="2"/>
        </w:numPr>
        <w:spacing w:after="100"/>
      </w:pPr>
      <w:r>
        <w:rPr>
          <w:rFonts w:ascii="Georgia" w:cs="Georgia" w:eastAsia="Georgia" w:hAnsi="Georgia"/>
          <w:b/>
          <w:bCs/>
          <w:sz w:val="22"/>
          <w:szCs w:val="22"/>
        </w:rPr>
        <w:t xml:space="preserve">Stablecoin regulation: </w:t>
      </w:r>
      <w:r>
        <w:rPr>
          <w:rFonts w:ascii="Georgia" w:cs="Georgia" w:eastAsia="Georgia" w:hAnsi="Georgia"/>
          <w:sz w:val="22"/>
          <w:szCs w:val="22"/>
        </w:rPr>
        <w:t xml:space="preserve">Policymakers worldwide have prioritized establishing reserve, disclosure, and licensing standards for stablecoin issuers following the collapse of algorithmic stablecoin Terra/LUNA in 2022.</w:t>
      </w:r>
    </w:p>
    <w:p>
      <w:pPr>
        <w:pStyle w:val="ListParagraph"/>
        <w:numPr>
          <w:ilvl w:val="0"/>
          <w:numId w:val="2"/>
        </w:numPr>
        <w:spacing w:after="100"/>
      </w:pPr>
      <w:r>
        <w:rPr>
          <w:rFonts w:ascii="Georgia" w:cs="Georgia" w:eastAsia="Georgia" w:hAnsi="Georgia"/>
          <w:b/>
          <w:bCs/>
          <w:sz w:val="22"/>
          <w:szCs w:val="22"/>
        </w:rPr>
        <w:t xml:space="preserve">Travel Rule: </w:t>
      </w:r>
      <w:r>
        <w:rPr>
          <w:rFonts w:ascii="Georgia" w:cs="Georgia" w:eastAsia="Georgia" w:hAnsi="Georgia"/>
          <w:sz w:val="22"/>
          <w:szCs w:val="22"/>
        </w:rPr>
        <w:t xml:space="preserve">Financial Action Task Force (FATF) guidance requires virtual asset service providers to collect and transmit originator and beneficiary information for transfers, mirroring the rule applied to wire transfers.</w:t>
      </w:r>
    </w:p>
    <w:p>
      <w:pPr>
        <w:pStyle w:val="ListParagraph"/>
        <w:numPr>
          <w:ilvl w:val="0"/>
          <w:numId w:val="2"/>
        </w:numPr>
        <w:spacing w:after="100"/>
      </w:pPr>
      <w:r>
        <w:rPr>
          <w:rFonts w:ascii="Georgia" w:cs="Georgia" w:eastAsia="Georgia" w:hAnsi="Georgia"/>
          <w:b/>
          <w:bCs/>
          <w:sz w:val="22"/>
          <w:szCs w:val="22"/>
        </w:rPr>
        <w:t xml:space="preserve">CBDC development: </w:t>
      </w:r>
      <w:r>
        <w:rPr>
          <w:rFonts w:ascii="Georgia" w:cs="Georgia" w:eastAsia="Georgia" w:hAnsi="Georgia"/>
          <w:sz w:val="22"/>
          <w:szCs w:val="22"/>
        </w:rPr>
        <w:t xml:space="preserve">Many central banks are developing or piloting Central Bank Digital Currencies, which may coexist with or compete against private cryptocurrencies and stablecoins.</w:t>
      </w:r>
    </w:p>
    <w:p>
      <w:pPr>
        <w:spacing w:after="80"/>
      </w:pPr>
      <w:r>
        <w:t xml:space="preserve"/>
      </w:r>
    </w:p>
    <w:p>
      <w:pPr>
        <w:pStyle w:val="Heading2"/>
      </w:pPr>
      <w:r>
        <w:t xml:space="preserve">26.10 Smart Contracts and dApps</w:t>
      </w:r>
    </w:p>
    <w:p>
      <w:pPr>
        <w:spacing w:after="160" w:line="340"/>
        <w:jc w:val="both"/>
      </w:pPr>
      <w:r>
        <w:t xml:space="preserve">Smart contracts are self-executing programs stored on a blockchain whose terms are directly encoded in software. When predefined conditions are met, the contract executes automatically without requiring a trusted third party to verify or enforce the agreement. The concept was articulated by cryptographer Nick Szabo in the 1990s, but it was Ethereum’s introduction in 2015 of a Turing-complete smart contract platform that made programmable, general-purpose contracts practically viable at scale.</w:t>
      </w:r>
    </w:p>
    <w:p>
      <w:pPr>
        <w:spacing w:after="160" w:line="340"/>
        <w:jc w:val="both"/>
      </w:pPr>
      <w:r>
        <w:t xml:space="preserve">Smart contracts are written in blockchain-specific programming languages — Solidity and Vyper for Ethereum, Rust and Move for Solana and Aptos respectively. Once deployed, their code is immutable (unless the contract is designed with upgrade mechanisms) and publicly readable, enabling independent verification of behavior by any party. These properties — transparency, determinism, and censorship resistance — are central to DeFi’s value proposition.</w:t>
      </w:r>
    </w:p>
    <w:p>
      <w:pPr>
        <w:pStyle w:val="Heading3"/>
      </w:pPr>
      <w:r>
        <w:t xml:space="preserve">Decentralized Applications (dApps)</w:t>
      </w:r>
    </w:p>
    <w:p>
      <w:pPr>
        <w:spacing w:after="160" w:line="340"/>
        <w:jc w:val="both"/>
      </w:pPr>
      <w:r>
        <w:t xml:space="preserve">Decentralized applications (dApps) are applications whose backend logic runs on a blockchain via smart contracts, rather than on centralized servers. A dApp typically combines on-chain smart contracts with a conventional frontend interface (hosted on a web server or IPFS) that users interact with through a wallet connector. The term “decentralized” can be misleading: while the core logic may be on-chain and non-custodial, the frontend and data infrastructure often retain points of centralization. Fully decentralized, censorship-resistant applications represent an aspirational rather than universally achieved state.</w:t>
      </w:r>
    </w:p>
    <w:p>
      <w:pPr>
        <w:pStyle w:val="Heading3"/>
      </w:pPr>
      <w:r>
        <w:t xml:space="preserve">Major dApp Categories</w:t>
      </w:r>
    </w:p>
    <w:p>
      <w:pPr>
        <w:spacing w:after="160" w:line="340"/>
        <w:jc w:val="both"/>
      </w:pPr>
      <w:r>
        <w:t xml:space="preserve">The dApp ecosystem has diversified substantially beyond the DeFi primitives described earlier in this chapter.</w:t>
      </w:r>
    </w:p>
    <w:p>
      <w:pPr>
        <w:pStyle w:val="ListParagraph"/>
        <w:numPr>
          <w:ilvl w:val="0"/>
          <w:numId w:val="2"/>
        </w:numPr>
        <w:spacing w:after="100"/>
      </w:pPr>
      <w:r>
        <w:rPr>
          <w:rFonts w:ascii="Georgia" w:cs="Georgia" w:eastAsia="Georgia" w:hAnsi="Georgia"/>
          <w:b/>
          <w:bCs/>
          <w:sz w:val="22"/>
          <w:szCs w:val="22"/>
        </w:rPr>
        <w:t xml:space="preserve">Decentralized Autonomous Organizations (DAOs): </w:t>
      </w:r>
      <w:r>
        <w:rPr>
          <w:rFonts w:ascii="Georgia" w:cs="Georgia" w:eastAsia="Georgia" w:hAnsi="Georgia"/>
          <w:sz w:val="22"/>
          <w:szCs w:val="22"/>
        </w:rPr>
        <w:t xml:space="preserve">Entities governed by token holders through on-chain voting, with treasuries and operational decisions executed via smart contracts. DAOs have funded protocol development, managed investment portfolios, and governed media organizations.</w:t>
      </w:r>
    </w:p>
    <w:p>
      <w:pPr>
        <w:pStyle w:val="ListParagraph"/>
        <w:numPr>
          <w:ilvl w:val="0"/>
          <w:numId w:val="2"/>
        </w:numPr>
        <w:spacing w:after="100"/>
      </w:pPr>
      <w:r>
        <w:rPr>
          <w:rFonts w:ascii="Georgia" w:cs="Georgia" w:eastAsia="Georgia" w:hAnsi="Georgia"/>
          <w:b/>
          <w:bCs/>
          <w:sz w:val="22"/>
          <w:szCs w:val="22"/>
        </w:rPr>
        <w:t xml:space="preserve">Decentralized Identity: </w:t>
      </w:r>
      <w:r>
        <w:rPr>
          <w:rFonts w:ascii="Georgia" w:cs="Georgia" w:eastAsia="Georgia" w:hAnsi="Georgia"/>
          <w:sz w:val="22"/>
          <w:szCs w:val="22"/>
        </w:rPr>
        <w:t xml:space="preserve">Protocols enabling self-sovereign identity, in which individuals control verifiable credentials without depending on centralized identity providers.</w:t>
      </w:r>
    </w:p>
    <w:p>
      <w:pPr>
        <w:pStyle w:val="ListParagraph"/>
        <w:numPr>
          <w:ilvl w:val="0"/>
          <w:numId w:val="2"/>
        </w:numPr>
        <w:spacing w:after="100"/>
      </w:pPr>
      <w:r>
        <w:rPr>
          <w:rFonts w:ascii="Georgia" w:cs="Georgia" w:eastAsia="Georgia" w:hAnsi="Georgia"/>
          <w:b/>
          <w:bCs/>
          <w:sz w:val="22"/>
          <w:szCs w:val="22"/>
        </w:rPr>
        <w:t xml:space="preserve">Decentralized Storage: </w:t>
      </w:r>
      <w:r>
        <w:rPr>
          <w:rFonts w:ascii="Georgia" w:cs="Georgia" w:eastAsia="Georgia" w:hAnsi="Georgia"/>
          <w:sz w:val="22"/>
          <w:szCs w:val="22"/>
        </w:rPr>
        <w:t xml:space="preserve">Protocols such as Filecoin and Arweave offer blockchain-incentivized distributed storage, addressing the data availability challenges inherent in fully on-chain applications.</w:t>
      </w:r>
    </w:p>
    <w:p>
      <w:pPr>
        <w:pStyle w:val="ListParagraph"/>
        <w:numPr>
          <w:ilvl w:val="0"/>
          <w:numId w:val="2"/>
        </w:numPr>
        <w:spacing w:after="100"/>
      </w:pPr>
      <w:r>
        <w:rPr>
          <w:rFonts w:ascii="Georgia" w:cs="Georgia" w:eastAsia="Georgia" w:hAnsi="Georgia"/>
          <w:b/>
          <w:bCs/>
          <w:sz w:val="22"/>
          <w:szCs w:val="22"/>
        </w:rPr>
        <w:t xml:space="preserve">GameFi and the Metaverse: </w:t>
      </w:r>
      <w:r>
        <w:rPr>
          <w:rFonts w:ascii="Georgia" w:cs="Georgia" w:eastAsia="Georgia" w:hAnsi="Georgia"/>
          <w:sz w:val="22"/>
          <w:szCs w:val="22"/>
        </w:rPr>
        <w:t xml:space="preserve">Blockchain-based games in which in-game assets are represented as NFTs and can be traded or monetized outside the game’s native environment. The sustainability of play-to-earn models has been vigorously tested and questioned across market cycles.</w:t>
      </w:r>
    </w:p>
    <w:p>
      <w:pPr>
        <w:pStyle w:val="ListParagraph"/>
        <w:numPr>
          <w:ilvl w:val="0"/>
          <w:numId w:val="2"/>
        </w:numPr>
        <w:spacing w:after="100"/>
      </w:pPr>
      <w:r>
        <w:rPr>
          <w:rFonts w:ascii="Georgia" w:cs="Georgia" w:eastAsia="Georgia" w:hAnsi="Georgia"/>
          <w:b/>
          <w:bCs/>
          <w:sz w:val="22"/>
          <w:szCs w:val="22"/>
        </w:rPr>
        <w:t xml:space="preserve">Cross-Chain Infrastructure: </w:t>
      </w:r>
      <w:r>
        <w:rPr>
          <w:rFonts w:ascii="Georgia" w:cs="Georgia" w:eastAsia="Georgia" w:hAnsi="Georgia"/>
          <w:sz w:val="22"/>
          <w:szCs w:val="22"/>
        </w:rPr>
        <w:t xml:space="preserve">Bridges and interoperability protocols that allow assets and messages to move between different blockchain networks, expanding composability but introducing significant security complexity. Bridge exploits have represented some of the largest losses in the history of crypto.</w:t>
      </w:r>
    </w:p>
    <w:p>
      <w:pPr>
        <w:pStyle w:val="Heading3"/>
      </w:pPr>
      <w:r>
        <w:t xml:space="preserve">Layer 2 Scaling Solutions</w:t>
      </w:r>
    </w:p>
    <w:p>
      <w:pPr>
        <w:spacing w:after="160" w:line="340"/>
        <w:jc w:val="both"/>
      </w:pPr>
      <w:r>
        <w:t xml:space="preserve">As demand for Ethereum block space grew, transaction fees became prohibitively expensive for many use cases. Layer 2 (L2) scaling solutions address this by processing transactions off the Ethereum mainnet (Layer 1) and periodically committing compressed summaries or cryptographic proofs of those transactions to the mainnet for security. The two dominant L2 architectures are Optimistic Rollups (used by Arbitrum and Optimism), which assume transactions are valid unless challenged within a dispute window, and ZK-Rollups (used by zkSync and Starknet), which use zero-knowledge proofs to cryptographically verify the correctness of batched transactions. ZK-Rollups offer stronger security guarantees and faster finality but are more computationally intensive to generate.</w:t>
      </w:r>
    </w:p>
    <w:p>
      <w:pPr>
        <w:spacing w:after="80"/>
      </w:pPr>
      <w:r>
        <w:t xml:space="preserve"/>
      </w:r>
    </w:p>
    <w:p>
      <w:pPr>
        <w:pBdr>
          <w:bottom w:val="single" w:color="1F6FEB" w:sz="4" w:space="1"/>
        </w:pBdr>
        <w:spacing w:after="120"/>
      </w:pPr>
      <w:r>
        <w:t xml:space="preserve"/>
      </w:r>
    </w:p>
    <w:p>
      <w:pPr>
        <w:spacing w:after="200"/>
        <w:jc w:val="both"/>
      </w:pPr>
      <w:r>
        <w:rPr>
          <w:rFonts w:ascii="Arial" w:cs="Arial" w:eastAsia="Arial" w:hAnsi="Arial"/>
          <w:b/>
          <w:bCs/>
          <w:sz w:val="22"/>
          <w:szCs w:val="22"/>
        </w:rPr>
        <w:t xml:space="preserve">Chapter Summary. </w:t>
      </w:r>
      <w:r>
        <w:rPr>
          <w:rFonts w:ascii="Georgia" w:cs="Georgia" w:eastAsia="Georgia" w:hAnsi="Georgia"/>
          <w:sz w:val="22"/>
          <w:szCs w:val="22"/>
        </w:rPr>
        <w:t xml:space="preserve">Cryptocurrency and digital assets constitute a technologically complex and rapidly evolving asset class that intersects finance, cryptography, computer science, law, and monetary theory. From the elegant simplicity of Bitcoin’s Proof of Work consensus to the intricate composability of DeFi protocols and the programmable versatility of smart contracts, the ecosystem offers both profound innovation and significant risk. Investors and practitioners approaching this space should prioritize technical literacy, security discipline, regulatory awareness, and rigorous risk management. The extraordinary returns generated in bull markets are frequently accompanied by equally extraordinary losses in corrections, and the history of the asset class is replete with failures attributable to leverage, fraud, protocol exploits, and misplaced confidence. A considered, well-informed approach grounded in the principles described throughout this chapter is essential.</w:t>
      </w:r>
    </w:p>
    <w:p>
      <w:pPr>
        <w:pBdr>
          <w:bottom w:val="single" w:color="1F6FEB" w:sz="4" w:space="1"/>
        </w:pBd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D1B2A"/>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1A3A5C"/>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2026-02-20T06:18:31.379Z</dcterms:created>
  <dcterms:modified xsi:type="dcterms:W3CDTF">2026-02-20T06:18:31.380Z</dcterms:modified>
</cp:coreProperties>
</file>

<file path=docProps/custom.xml><?xml version="1.0" encoding="utf-8"?>
<Properties xmlns="http://schemas.openxmlformats.org/officeDocument/2006/custom-properties" xmlns:vt="http://schemas.openxmlformats.org/officeDocument/2006/docPropsVTypes"/>
</file>