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Viewer fixture 文档</w:t>
      </w:r>
    </w:p>
    <w:p>
      <w:r>
        <w:t xml:space="preserve">Plain, </w:t>
      </w:r>
      <w:r>
        <w:rPr>
          <w:b/>
          <w:bCs/>
        </w:rPr>
        <w:t xml:space="preserve">bold</w:t>
      </w:r>
      <w:r>
        <w:t xml:space="preserve"> and </w:t>
      </w:r>
      <w:r>
        <w:rPr>
          <w:i/>
          <w:iCs/>
        </w:rPr>
        <w:t xml:space="preserve">italic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</w:t>
            </w:r>
          </w:p>
        </w:tc>
      </w:tr>
    </w:tbl>
    <w:p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88c47f870857fe8aabe2534242d7c0579f2f2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2026-09-03T01:54:22.550Z</dcterms:created>
  <dcterms:modified xsi:type="dcterms:W3CDTF">2026-09-03T01:54:22.551Z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