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ضصث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2152142521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09376922176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09936799884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تهران - خیابان ولیعصر - بالاتر از پارک ساعی - پلاک 2209 - طبقه 6 - واحد 1
02191013791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ضصث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تست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2152142521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09376922176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09936799884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تهران - خیابان ولیعصر - بالاتر از پارک ساعی - پلاک 2209 - طبقه 6 - واحد 1
02191013791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اکسیژن با خلوص 99 درصد و فشار 135 اتمسفر در روی سکوی کارخانه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bookmarkStart w:id="0" w:name="_GoBack"/>
      <w:bookmarkEnd w:id="0"/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000/450/2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 w:hint="cs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40 لیتر گاز اکسیژن با خلوص 99 درصد و فشار 135 اتمسفر در روی سکوی کارخانه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000/950/1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 لیتر گاز اکسیژن با خلوص 99 درصد و فشار 135 اتمسفر در روی سکوی کارخانه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000/400/1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 w:hint="cs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10 لیتر گاز اکسیژن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000/100/1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50 لیتر گاز نیتروژن با خلوص 99 درصد و فشار 135 اتمسفر در روی سکوی کارخانه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   000/400/3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40 لیتر گاز نیتروژن با خلوص 99 درصد و فشار 135 اتمس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فر در روی سکوی کارخانه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000/700/2 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اکسیژن مایع هر کیلو با خلوص 99 درصد در روی سکوی کارخانه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000/104         ریال</w:t>
      </w:r>
    </w:p>
    <w:p w:rsid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نیتروژن مایع هر لیتر با خلوص 99 درصد در روی سکوی کارخانه       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000/146          ریال</w:t>
      </w:r>
    </w:p>
    <w:p w:rsidR="00FC4DB2" w:rsidRPr="00DE5C88" w:rsidRDefault="00DE5C88" w:rsidP="00DE5C88">
      <w:pPr>
        <w:pStyle w:val="ListParagraph"/>
        <w:numPr>
          <w:ilvl w:val="0"/>
          <w:numId w:val="2"/>
        </w:numPr>
        <w:tabs>
          <w:tab w:val="right" w:pos="566"/>
          <w:tab w:val="left" w:pos="7875"/>
        </w:tabs>
        <w:bidi/>
        <w:spacing w:after="0" w:line="240" w:lineRule="auto"/>
        <w:ind w:right="90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20کیلوگرم گاز کربنیک در سیلندرهای 40 لیتری روی سکوی کارخانه                          </w:t>
      </w:r>
      <w:r>
        <w:rPr>
          <w:rFonts w:ascii="Arial Narrow" w:hAnsi="Arial Narrow" w:cs="B Nazanin"/>
          <w:sz w:val="24"/>
          <w:szCs w:val="24"/>
          <w:lang w:bidi="fa-IR"/>
        </w:rPr>
        <w:t xml:space="preserve">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000/500/4       ریال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512C9F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AF5F1D" w:rsidRDefault="00AF5F1D" w:rsidP="00AF5F1D">
      <w:pPr>
        <w:bidi/>
        <w:rPr>
          <w:lang w:bidi="fa-IR"/>
        </w:rPr>
      </w:pPr>
    </w:p>
    <w:sectPr w:rsidR="00AF5F1D" w:rsidSect="00DE5C88">
      <w:headerReference w:type="default" r:id="rId8"/>
      <w:pgSz w:w="12240" w:h="15840"/>
      <w:pgMar w:top="18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82" w:rsidRDefault="00D07782" w:rsidP="00FC4DB2">
      <w:pPr>
        <w:spacing w:after="0" w:line="240" w:lineRule="auto"/>
      </w:pPr>
      <w:r>
        <w:separator/>
      </w:r>
    </w:p>
  </w:endnote>
  <w:endnote w:type="continuationSeparator" w:id="0">
    <w:p w:rsidR="00D07782" w:rsidRDefault="00D07782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82" w:rsidRDefault="00D07782" w:rsidP="00FC4DB2">
      <w:pPr>
        <w:spacing w:after="0" w:line="240" w:lineRule="auto"/>
      </w:pPr>
      <w:r>
        <w:separator/>
      </w:r>
    </w:p>
  </w:footnote>
  <w:footnote w:type="continuationSeparator" w:id="0">
    <w:p w:rsidR="00D07782" w:rsidRDefault="00D07782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24-04-18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24-04-18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3" name="Picture 3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5C88" w:rsidRPr="00DE5C88">
      <w:rPr>
        <w:rtl/>
      </w:rPr>
      <w:t xml:space="preserve"> </w:t>
    </w:r>
    <w:r w:rsidR="00DE5C88" w:rsidRPr="00DE5C88">
      <w:rPr>
        <w:rFonts w:cs="B Titr"/>
        <w:noProof/>
        <w:rtl/>
      </w:rPr>
      <w:t>نرخ نامه تول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 w:hint="eastAsia"/>
        <w:noProof/>
        <w:rtl/>
      </w:rPr>
      <w:t>د</w:t>
    </w:r>
    <w:r w:rsidR="00DE5C88" w:rsidRPr="00DE5C88">
      <w:rPr>
        <w:rFonts w:cs="B Titr"/>
        <w:noProof/>
        <w:rtl/>
      </w:rPr>
      <w:t xml:space="preserve"> کنندگان گاز ها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طب</w:t>
    </w:r>
    <w:r w:rsidR="00DE5C88" w:rsidRPr="00DE5C88">
      <w:rPr>
        <w:rFonts w:cs="B Titr" w:hint="cs"/>
        <w:noProof/>
        <w:rtl/>
      </w:rPr>
      <w:t>ی</w:t>
    </w:r>
    <w:r w:rsidR="00DE5C88" w:rsidRPr="00DE5C88">
      <w:rPr>
        <w:rFonts w:cs="B Titr"/>
        <w:noProof/>
        <w:rtl/>
      </w:rPr>
      <w:t xml:space="preserve"> و صنعت</w:t>
    </w:r>
    <w:r w:rsidR="00DE5C88" w:rsidRPr="00DE5C88">
      <w:rPr>
        <w:rFonts w:cs="B Titr" w:hint="cs"/>
        <w:noProof/>
        <w:rtl/>
      </w:rPr>
      <w:t>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721DA"/>
    <w:multiLevelType w:val="hybridMultilevel"/>
    <w:tmpl w:val="CC1CF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CC1FE9"/>
    <w:rsid w:val="00D07782"/>
    <w:rsid w:val="00DE5C88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563A-D7A8-4FC8-8D72-EF28B625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2024-04-18T09:59:00Z</dcterms:created>
  <dcterms:modified xsi:type="dcterms:W3CDTF">2024-04-18T15:05:00Z</dcterms:modified>
</cp:coreProperties>
</file>