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C36ED8">
      <w:pPr>
        <w:rPr>
          <w:rFonts w:hint="eastAsia"/>
        </w:rPr>
      </w:pPr>
      <w:r>
        <w:rPr>
          <w:rFonts w:hint="eastAsia"/>
        </w:rPr>
        <w:t>There are two code file that simulate BD-RIS performance. Fig2.snr.m file simulates the snr performance, as well as Fig 4.sum-rate simulates the sumrate performance.</w:t>
      </w:r>
    </w:p>
    <w:p w14:paraId="528B5E03">
      <w:pPr>
        <w:rPr>
          <w:rFonts w:hint="eastAsia"/>
        </w:rPr>
      </w:pPr>
      <w:r>
        <w:rPr>
          <w:rFonts w:hint="eastAsia"/>
        </w:rPr>
        <w:t xml:space="preserve"> Among them, the takagi's factorization-based  BD-RIS matrix, as references the paperI. Santamaria, M. Soleymani, E. Jorswieck and J. Gutiérrez, "SNR Maximization in Beyond Diagonal RIS-Assisted Single and Multiple Antenna Links,” in IEEE Signal Processing Letters, vol. 30, pp. 923-926, 2023, doi: 10.1109/LSP.2023.3296902.</w:t>
      </w:r>
    </w:p>
    <w:p w14:paraId="45C2E23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6BB0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2025-05-03T13:54:11Z</dcterms:created>
  <dc:creator>PC</dc:creator>
  <cp:lastModifiedBy>蓓</cp:lastModifiedBy>
  <dcterms:modified xsi:type="dcterms:W3CDTF">2025-05-03T13:54:14Z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eyJoZGlkIjoiOTA2NWI0ZDQwYTA1YjM2M2U4MGEwMGU2NDJhNGRhMTYiLCJ1c2VySWQiOiI0MzYxNjIwMzIifQ==</vt:lpwstr>
  </property>
  <property fmtid="{D5CDD505-2E9C-101B-9397-08002B2CF9AE}" pid="4" name="ICV">
    <vt:lpwstr>3110F2C5759040BE9D25726B6975978C_12</vt:lpwstr>
  </property>
</Properties>
</file>