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F1A" w:val="clear"/>
            <w:vAlign w:val="top"/>
          </w:tcPr>
          <w:p>
            <w:pPr>
              <w:spacing w:before="4092"/>
            </w:pPr>
          </w:p>
          <w:p>
            <w:pPr>
              <w:pBdr>
                <w:bottom w:val="single" w:color="3DDBB5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DDBB5"/>
                <w:spacing w:val="40"/>
                <w:sz w:val="18"/>
                <w:szCs w:val="18"/>
              </w:rPr>
              <w:t xml:space="preserve">P  I  N  G  N  E  S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PingNest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通知伴侣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本地优先的 Windows 微信通知中心 · 自述文档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    本：v2.0.0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平    台：Windows 10 / 11（64 位）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发布日期：2026 年 8 月 30 日</w:t>
            </w:r>
          </w:p>
          <w:p>
            <w:pPr>
              <w:pBdr>
                <w:left w:val="single" w:color="3DDBB5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开    源：github.com/BeiChen-CN/PingNest</w:t>
            </w:r>
          </w:p>
          <w:p>
            <w:pPr>
              <w:spacing w:before="4092"/>
            </w:pPr>
          </w:p>
          <w:p>
            <w:pPr>
              <w:pBdr>
                <w:top w:val="single" w:color="3DDBB5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PingNest · 消息巢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CC BY-NC-SA 4.0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4402F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一、产品简介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二、核心功能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桌面通知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通知历史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静音与范围控制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 系统与连接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三、九套通知样式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四、工作台界面与动效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 奶油工作台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 四套动效方案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五、安装与上手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5.1 运行环境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5.2 首次连接微信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5.3 从源码构建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六、架构与隐私安全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七、兼容性与限制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八、版本历程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九、许可与致谢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说明：本目录由域代码生成。编辑文档后，请在目录上点击右键并选择「更新域」，以确保页码准确。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4402F"/>
          <w:sz w:val="32"/>
          <w:szCs w:val="32"/>
        </w:rPr>
        <w:t xml:space="preserve">一、产品简介</w:t>
      </w:r>
      <w:bookmarkEnd w:id="100000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PingNest（消息巢）是一个本地优先的 Windows 桌面微信通知中心。它监听本机微信的新消息，在桌面以可自定义的卡片样式弹出通知，并把每一条通知整理进本地通知中心，供随时检索与回看。它的目标很朴素：让你在工作、学习或全屏应用期间，不必反复切换微信窗口，也能可靠地掌握重要消息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2.0 版本对界面进行了推倒重来式的重设计：全新的「奶油工作台」视觉语言（淡奶油绿主色、墨绿信号块、奶油纸底色），九套风格迥异的通知样式，四套可切换的全局动效方案，以及以数据为中心的 Bento 主页。与此同时，底层完成了一系列架构升级——通知历史迁移到 SQLite 本地数据库、通知中心改为增量广播、原生数据库监控经由伴生库实时推送——让更美的界面建立在更稳的底座上。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需要说明的是：PingNest 面向个人本地使用，不属于微信官方客户端，也不提供微信官方接口。项目通过 Windows 原生能力读取本机微信数据，实际可用性取决于微信版本、安装方式和系统权限。请仅在你理解并接受这一权限边界的设备上使用。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14402F"/>
          <w:sz w:val="32"/>
          <w:szCs w:val="32"/>
        </w:rPr>
        <w:t xml:space="preserve">二、核心功能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4402F"/>
          <w:sz w:val="28"/>
          <w:szCs w:val="28"/>
        </w:rPr>
        <w:t xml:space="preserve">2.1 桌面通知</w:t>
      </w:r>
      <w:bookmarkEnd w:id="100002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PingNest 支持私聊、群聊和公众号消息的桌面提醒。通知卡片提供九种可选样式（详见第三章），位置、大小、持续时间、透明度、提示音与消息合并方式均可在设置中调整；卡片大小分为大、中、小三档，整体等比缩放而不破坏每套样式的设计比例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当多个会话同时来消息时，通知窗口支持同屏堆叠 1 至 6 张卡片：超出上限时最旧的卡片播放退场动画，全部退场后窗口自动隐藏；设为 1 则回到单卡替换行为。点击通知后可以选择激活微信主窗口、打开 PingNest 通知历史或不执行任何操作；激活微信失败时会自动回到历史页并定位对应会话。通知支持多显示器，并默认跟随光标所在屏幕弹出。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4402F"/>
          <w:sz w:val="28"/>
          <w:szCs w:val="28"/>
        </w:rPr>
        <w:t xml:space="preserve">2.2 通知历史</w:t>
      </w:r>
      <w:bookmarkEnd w:id="100003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所有通知都会进入本地通知中心：按会话整理，支持按联系人、群聊和消息内容搜索，支持按日期与消息类型筛选，也可复制消息、删除单条记录或清空全部历史。历史数据保存在本地 SQLite 数据库中，页面展示的始终是实际保存的记录数量。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4402F"/>
          <w:sz w:val="28"/>
          <w:szCs w:val="28"/>
        </w:rPr>
        <w:t xml:space="preserve">2.3 静音与范围控制</w:t>
      </w:r>
      <w:bookmarkEnd w:id="100004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针对热闹的群聊或关键字，可以创建本地静音规则：规则条件支持「满足任一」或「同时满足全部」两种组合方式，作用范围支持所有会话、仅选中会话与排除选中会话三种。规则可以随时启用、停用、编辑或删除，被静音的消息只入历史、不打扰桌面。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14402F"/>
          <w:sz w:val="28"/>
          <w:szCs w:val="28"/>
        </w:rPr>
        <w:t xml:space="preserve">2.4 系统与连接</w:t>
      </w:r>
      <w:bookmarkEnd w:id="100005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PingNest 会自动检测微信进程与本地数据路径，首次连接时按界面引导完成校验；支持重新连接、重新建立 Hook 与删除已保存连接。应用支持开机启动，默认启动至系统托盘，关闭主窗口后继续驻留托盘接收通知。应用加载原生库前会校验随安装包分发的 SHA256 完整性清单，被替换或损坏的 DLL 将被拒绝加载并给出重装指引。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Calibri" w:eastAsia="SimHei"/>
          <w:b/>
          <w:bCs/>
          <w:color w:val="14402F"/>
          <w:sz w:val="32"/>
          <w:szCs w:val="32"/>
        </w:rPr>
        <w:t xml:space="preserve">三、九套通知样式</w:t>
      </w:r>
      <w:bookmarkEnd w:id="100006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2.0 用九套全新样式替换了旧版样式，每一套都有独立的视觉语言、入场与退场编排，并在外观页提供实时预览。旧样式标识会自动迁移到最接近的新样式，老用户升级后无需重新配置。</w:t>
      </w:r>
    </w:p>
    <w:p>
      <w:pPr>
        <w:keepNext/>
        <w:spacing w:after="100" w:before="160" w:line="312"/>
      </w:pPr>
      <w:r>
        <w:rPr>
          <w:rFonts w:ascii="Calibri" w:eastAsia="SimHei"/>
          <w:b/>
          <w:bCs/>
          <w:color w:val="14402F"/>
          <w:sz w:val="21"/>
          <w:szCs w:val="21"/>
        </w:rPr>
        <w:t xml:space="preserve">表 1  九套通知样式一览</w:t>
      </w:r>
    </w:p>
    <w:tbl>
      <w:tblPr>
        <w:tblW w:type="pct" w:w="100%"/>
        <w:tblBorders>
          <w:top w:val="single" w:color="2A7A65" w:sz="4"/>
          <w:left w:val="none" w:color="FFFFFF" w:sz="0"/>
          <w:bottom w:val="single" w:color="2A7A65" w:sz="4"/>
          <w:right w:val="none" w:color="FFFFFF" w:sz="0"/>
          <w:insideH w:val="single" w:color="C5D8D0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样式</w:t>
            </w:r>
          </w:p>
        </w:tc>
        <w:tc>
          <w:tcPr>
            <w:tcW w:type="pct" w:w="7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特色</w:t>
            </w:r>
          </w:p>
        </w:tc>
      </w:tr>
      <w:tr>
        <w:trPr>
          <w:cantSplit/>
        </w:trPr>
        <w:tc>
          <w:tcPr>
            <w:tcW w:type="pct" w:w="2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潮汐</w:t>
            </w:r>
          </w:p>
        </w:tc>
        <w:tc>
          <w:tcPr>
            <w:tcW w:type="pct" w:w="7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液态玻璃质感，流光缓缓扫过卡片，适合喜欢柔和氛围的桌面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终端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系统日志式单行呈现，附带光标闪烁，极客感十足</w:t>
            </w:r>
          </w:p>
        </w:tc>
      </w:tr>
      <w:tr>
        <w:trPr>
          <w:cantSplit/>
        </w:trPr>
        <w:tc>
          <w:tcPr>
            <w:tcW w:type="pct" w:w="2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信笺</w:t>
            </w:r>
          </w:p>
        </w:tc>
        <w:tc>
          <w:tcPr>
            <w:tcW w:type="pct" w:w="7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纸质信笺搭配时间邮戳，撤回的消息会盖上印章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霓虹弧光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旋转弧光与文字辉光，暗色桌面上的一道焦点</w:t>
            </w:r>
          </w:p>
        </w:tc>
      </w:tr>
      <w:tr>
        <w:trPr>
          <w:cantSplit/>
        </w:trPr>
        <w:tc>
          <w:tcPr>
            <w:tcW w:type="pct" w:w="2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音轨</w:t>
            </w:r>
          </w:p>
        </w:tc>
        <w:tc>
          <w:tcPr>
            <w:tcW w:type="pct" w:w="7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信号频谱随消息活性起伏，视觉化的“正在说话”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蜂巢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六边蜂室造型，多会话堆叠时横向拼成整片蜂窝</w:t>
            </w:r>
          </w:p>
        </w:tc>
      </w:tr>
      <w:tr>
        <w:trPr>
          <w:cantSplit/>
        </w:trPr>
        <w:tc>
          <w:tcPr>
            <w:tcW w:type="pct" w:w="2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卷轴</w:t>
            </w:r>
          </w:p>
        </w:tc>
        <w:tc>
          <w:tcPr>
            <w:tcW w:type="pct" w:w="7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热敏纸带滚动接收消息流水，适合快节奏的群聊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呼吸圆环</w:t>
            </w:r>
          </w:p>
        </w:tc>
        <w:tc>
          <w:tcPr>
            <w:tcW w:type="pct" w:w="7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真实倒计时圆环指示剩余停留时间，临期发出警示脉冲</w:t>
            </w:r>
          </w:p>
        </w:tc>
      </w:tr>
      <w:tr>
        <w:trPr>
          <w:cantSplit/>
        </w:trPr>
        <w:tc>
          <w:tcPr>
            <w:tcW w:type="pct" w:w="2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灵动胶囊</w:t>
            </w:r>
          </w:p>
        </w:tc>
        <w:tc>
          <w:tcPr>
            <w:tcW w:type="pct" w:w="7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壳体由中间向两边展开、内容延后浮现；消失时内容先隐、壳体向中间收拢</w:t>
            </w:r>
          </w:p>
        </w:tc>
      </w:tr>
    </w:tbl>
    <w:p>
      <w:pPr>
        <w:spacing w:after="200" w:line="312"/>
        <w:jc w:val="both"/>
      </w:pPr>
      <w:r>
        <w:rPr>
          <w:rFonts w:ascii="Calibri" w:eastAsia="Microsoft YaHei"/>
          <w:i/>
          <w:iCs/>
          <w:color w:val="5A6B63"/>
          <w:sz w:val="21"/>
          <w:szCs w:val="21"/>
        </w:rPr>
        <w:t xml:space="preserve">注：潮汐样式在多显示器小屏下自动收纳；蜂巢仅在多卡堆叠时展开蜂窝排布。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14402F"/>
          <w:sz w:val="32"/>
          <w:szCs w:val="32"/>
        </w:rPr>
        <w:t xml:space="preserve">四、工作台界面与动效</w:t>
      </w:r>
      <w:bookmarkEnd w:id="100007"/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4402F"/>
          <w:sz w:val="28"/>
          <w:szCs w:val="28"/>
        </w:rPr>
        <w:t xml:space="preserve">4.1 奶油工作台</w:t>
      </w:r>
      <w:bookmarkEnd w:id="100008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主界面采用自研的「奶油工作台」设计语言：以淡奶油绿为品牌主色、墨绿为信号色、奶油纸色为底，靠细线、留白与少量品牌色组织层级。左侧是带滑行胶囊选中态的导航侧栏与迷你连接状态卡，顶部是可搜索的命令栏（Ctrl+K 唤起命令面板，覆盖页面跳转与常用操作），右侧贴齐窗口控制按钮。主页是纯数据的 Bento 甲板：实时消息流、未读、连接健康度、最近会话、今日概览与本地历史容量一目了然，设置项全部归位各功能页。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4402F"/>
          <w:sz w:val="28"/>
          <w:szCs w:val="28"/>
        </w:rPr>
        <w:t xml:space="preserve">4.2 四套动效方案</w:t>
      </w:r>
      <w:bookmarkEnd w:id="100009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界面动效提供四套整体方案，在外观页一键切换、即时生效：全局的缓动曲线、时长、位移与交错节奏（侧栏胶囊滑行、页面进场、卡片浮现、控件过渡）随方案整体切换，而不是零散的特效开关。系统开启「减弱动态效果」时，应用会自动退化为直接呈现。</w:t>
      </w:r>
    </w:p>
    <w:p>
      <w:pPr>
        <w:keepNext/>
        <w:spacing w:after="100" w:before="160" w:line="312"/>
      </w:pPr>
      <w:r>
        <w:rPr>
          <w:rFonts w:ascii="Calibri" w:eastAsia="SimHei"/>
          <w:b/>
          <w:bCs/>
          <w:color w:val="14402F"/>
          <w:sz w:val="21"/>
          <w:szCs w:val="21"/>
        </w:rPr>
        <w:t xml:space="preserve">表 2  动效方案</w:t>
      </w:r>
    </w:p>
    <w:tbl>
      <w:tblPr>
        <w:tblW w:type="pct" w:w="100%"/>
        <w:tblBorders>
          <w:top w:val="single" w:color="2A7A65" w:sz="4"/>
          <w:left w:val="none" w:color="FFFFFF" w:sz="0"/>
          <w:bottom w:val="single" w:color="2A7A65" w:sz="4"/>
          <w:right w:val="none" w:color="FFFFFF" w:sz="0"/>
          <w:insideH w:val="single" w:color="C5D8D0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方案</w:t>
            </w:r>
          </w:p>
        </w:tc>
        <w:tc>
          <w:tcPr>
            <w:tcW w:type="pct" w:w="40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节奏</w:t>
            </w:r>
          </w:p>
        </w:tc>
        <w:tc>
          <w:tcPr>
            <w:tcW w:type="pct" w:w="40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适合</w:t>
            </w:r>
          </w:p>
        </w:tc>
      </w:tr>
      <w:tr>
        <w:trPr>
          <w:cantSplit/>
        </w:trPr>
        <w:tc>
          <w:tcPr>
            <w:tcW w:type="pct" w:w="2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绸缎（默认）</w:t>
            </w:r>
          </w:p>
        </w:tc>
        <w:tc>
          <w:tcPr>
            <w:tcW w:type="pct" w:w="4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丝滑缓动，长尾收束</w:t>
            </w:r>
          </w:p>
        </w:tc>
        <w:tc>
          <w:tcPr>
            <w:tcW w:type="pct" w:w="4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希望界面流畅优雅的日常使用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水滴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弹性回弹，略带俏皮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喜欢灵动、有生命感的界面</w:t>
            </w:r>
          </w:p>
        </w:tc>
      </w:tr>
      <w:tr>
        <w:trPr>
          <w:cantSplit/>
        </w:trPr>
        <w:tc>
          <w:tcPr>
            <w:tcW w:type="pct" w:w="2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墨锋</w:t>
            </w:r>
          </w:p>
        </w:tc>
        <w:tc>
          <w:tcPr>
            <w:tcW w:type="pct" w:w="4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干脆利落，快速到位</w:t>
            </w:r>
          </w:p>
        </w:tc>
        <w:tc>
          <w:tcPr>
            <w:tcW w:type="pct" w:w="4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追求效率、讨厌等待的用户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漂浮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轻盈浮动，失重感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喜欢轻巧氛围的浅色桌面</w:t>
            </w:r>
          </w:p>
        </w:tc>
      </w:tr>
    </w:tbl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深色模式跟随系统：Windows 切换主题时，工作台与全部通知样式整体换肤，原生窗口背景色同步更新，避免暗色环境下的加载白闪。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Calibri" w:eastAsia="SimHei"/>
          <w:b/>
          <w:bCs/>
          <w:color w:val="14402F"/>
          <w:sz w:val="32"/>
          <w:szCs w:val="32"/>
        </w:rPr>
        <w:t xml:space="preserve">五、安装与上手</w:t>
      </w:r>
      <w:bookmarkEnd w:id="100010"/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14402F"/>
          <w:sz w:val="28"/>
          <w:szCs w:val="28"/>
        </w:rPr>
        <w:t xml:space="preserve">5.1 运行环境</w:t>
      </w:r>
      <w:bookmarkEnd w:id="100011"/>
    </w:p>
    <w:p>
      <w:pPr>
        <w:keepNext/>
        <w:spacing w:after="100" w:before="160" w:line="312"/>
      </w:pPr>
      <w:r>
        <w:rPr>
          <w:rFonts w:ascii="Calibri" w:eastAsia="SimHei"/>
          <w:b/>
          <w:bCs/>
          <w:color w:val="14402F"/>
          <w:sz w:val="21"/>
          <w:szCs w:val="21"/>
        </w:rPr>
        <w:t xml:space="preserve">表 3  运行环境要求</w:t>
      </w:r>
    </w:p>
    <w:tbl>
      <w:tblPr>
        <w:tblW w:type="pct" w:w="100%"/>
        <w:tblBorders>
          <w:top w:val="single" w:color="2A7A65" w:sz="4"/>
          <w:left w:val="none" w:color="FFFFFF" w:sz="0"/>
          <w:bottom w:val="single" w:color="2A7A65" w:sz="4"/>
          <w:right w:val="none" w:color="FFFFFF" w:sz="0"/>
          <w:insideH w:val="single" w:color="C5D8D0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70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7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Windows 10 或更高版本（64 位）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微信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桌面版微信，已登录</w:t>
            </w:r>
          </w:p>
        </w:tc>
      </w:tr>
      <w:tr>
        <w:trPr>
          <w:cantSplit/>
        </w:trPr>
        <w:tc>
          <w:tcPr>
            <w:tcW w:type="pct" w:w="3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开发环境</w:t>
            </w:r>
          </w:p>
        </w:tc>
        <w:tc>
          <w:tcPr>
            <w:tcW w:type="pct" w:w="7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Node.js LTS（仅从源码运行或开发时需要）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权限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PingNest 与微信使用相同的权限级别；权限受限时可尝试以管理员身份启动</w:t>
            </w:r>
          </w:p>
        </w:tc>
      </w:tr>
    </w:tbl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4402F"/>
          <w:sz w:val="28"/>
          <w:szCs w:val="28"/>
        </w:rPr>
        <w:t xml:space="preserve">5.2 首次连接微信</w:t>
      </w:r>
      <w:bookmarkEnd w:id="100012"/>
    </w:p>
    <w:p>
      <w:pPr>
        <w:spacing w:after="4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使用安装包完成安装后，首次进入连接页面请按以下顺序操作：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Microsoft YaHei"/>
          <w:color w:val="202020"/>
          <w:sz w:val="24"/>
          <w:szCs w:val="24"/>
        </w:rPr>
        <w:t xml:space="preserve">在微信登录界面，先点击 PingNest 的「开始连接」；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Microsoft YaHei"/>
          <w:color w:val="202020"/>
          <w:sz w:val="24"/>
          <w:szCs w:val="24"/>
        </w:rPr>
        <w:t xml:space="preserve">再点击微信界面的「登录」，完成扫码或登录确认；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Calibri" w:eastAsia="Microsoft YaHei"/>
          <w:color w:val="202020"/>
          <w:sz w:val="24"/>
          <w:szCs w:val="24"/>
        </w:rPr>
        <w:t xml:space="preserve">等待 PingNest 完成检测、连接和校验；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eastAsia="Microsoft YaHei"/>
          <w:color w:val="202020"/>
          <w:sz w:val="24"/>
          <w:szCs w:val="24"/>
        </w:rPr>
        <w:t xml:space="preserve">连接成功后进入工作台，消息监听自动启动。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顺序很重要：先让 PingNest 开始监听，再完成微信登录，密钥才能被正确捕获。如果自动连接失败，请先确认微信已启动并登录，然后点击「重新检查」或「重新连接」。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14402F"/>
          <w:sz w:val="28"/>
          <w:szCs w:val="28"/>
        </w:rPr>
        <w:t xml:space="preserve">5.3 从源码构建</w:t>
      </w:r>
      <w:bookmarkEnd w:id="100013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项目在 Windows x64 上开发与构建（依赖微信相关的 Windows 原生动态库）。常用命令如下：</w:t>
      </w:r>
    </w:p>
    <w:p>
      <w:pPr>
        <w:keepNext/>
        <w:spacing w:after="100" w:before="160" w:line="312"/>
      </w:pPr>
      <w:r>
        <w:rPr>
          <w:rFonts w:ascii="Calibri" w:eastAsia="SimHei"/>
          <w:b/>
          <w:bCs/>
          <w:color w:val="14402F"/>
          <w:sz w:val="21"/>
          <w:szCs w:val="21"/>
        </w:rPr>
        <w:t xml:space="preserve">表 4  常用命令</w:t>
      </w:r>
    </w:p>
    <w:tbl>
      <w:tblPr>
        <w:tblW w:type="pct" w:w="100%"/>
        <w:tblBorders>
          <w:top w:val="single" w:color="2A7A65" w:sz="4"/>
          <w:left w:val="none" w:color="FFFFFF" w:sz="0"/>
          <w:bottom w:val="single" w:color="2A7A65" w:sz="4"/>
          <w:right w:val="none" w:color="FFFFFF" w:sz="0"/>
          <w:insideH w:val="single" w:color="C5D8D0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  <w:tc>
          <w:tcPr>
            <w:tcW w:type="pct" w:w="62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npm install</w:t>
            </w:r>
          </w:p>
        </w:tc>
        <w:tc>
          <w:tcPr>
            <w:tcW w:type="pct" w:w="6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安装依赖，并自动生成原生库完整性清单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npm run dev</w:t>
            </w:r>
          </w:p>
        </w:tc>
        <w:tc>
          <w:tcPr>
            <w:tcW w:type="pct" w:w="6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启动开发环境</w:t>
            </w:r>
          </w:p>
        </w:tc>
      </w:tr>
      <w:tr>
        <w:trPr>
          <w:cantSplit/>
        </w:trPr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npm run typecheck</w:t>
            </w:r>
          </w:p>
        </w:tc>
        <w:tc>
          <w:tcPr>
            <w:tcW w:type="pct" w:w="6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TypeScript 类型检查</w:t>
            </w:r>
          </w:p>
        </w:tc>
      </w:tr>
      <w:tr>
        <w:trPr>
          <w:cantSplit/>
        </w:trP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npm test</w:t>
            </w:r>
          </w:p>
        </w:tc>
        <w:tc>
          <w:tcPr>
            <w:tcW w:type="pct" w:w="6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运行自动化测试（88 项）</w:t>
            </w:r>
          </w:p>
        </w:tc>
      </w:tr>
      <w:tr>
        <w:trPr>
          <w:cantSplit/>
        </w:trPr>
        <w:tc>
          <w:tcPr>
            <w:tcW w:type="pct" w:w="38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npm run build</w:t>
            </w:r>
          </w:p>
        </w:tc>
        <w:tc>
          <w:tcPr>
            <w:tcW w:type="pct" w:w="62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构建 Windows 安装包（产物位于 release/）</w:t>
            </w:r>
          </w:p>
        </w:tc>
      </w:tr>
    </w:tbl>
    <w:p>
      <w:pPr>
        <w:pStyle w:val="Heading1"/>
        <w:spacing w:after="160" w:before="360" w:line="312"/>
      </w:pPr>
      <w:bookmarkStart w:id="100014" w:name="_Toc100014"/>
      <w:r>
        <w:rPr>
          <w:rFonts w:ascii="Calibri" w:eastAsia="SimHei"/>
          <w:b/>
          <w:bCs/>
          <w:color w:val="14402F"/>
          <w:sz w:val="32"/>
          <w:szCs w:val="32"/>
        </w:rPr>
        <w:t xml:space="preserve">六、架构与隐私安全</w:t>
      </w:r>
      <w:bookmarkEnd w:id="100014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进程隔离：微信密钥获取与数据库查询运行在独立的 Worker 进程中，与主界面进程相互隔离，降低原生库异常对应用的影响。消息检测拥有双通道：原生数据库监控管道在数据库写入时实时推送变更事件（由配套的 pingnest_monitor.dll 监听数据目录实现）；轮询作为常驻兜底通道持续存在，并在监控活跃时自动降低频率以减少空转。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本地存储与加密：通知历史保存在用户数据目录的 SQLite 数据库（WAL 模式，随写随持久化）；支持时逐行使用系统凭据加密保存，不支持时按行回退本地明文。旧版本的 JSON 历史会在首次启动时自动迁移入库并保留原文件。微信数据库密钥同样经系统凭据加密保存。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隐私边界：消息内容、联系人信息与配置不会由 PingNest 上传到任何远程服务；唯一的运行期外联点是联系人头像图片经由微信 CDN 加载。应用不包含遥测、不上报统计数据。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完整性校验：安装包内置原生库的 SHA256 清单，应用在加载每个 DLL 前逐一校验，被替换、损坏或跨项目混用的库会被拒绝加载并提示重新安装；构建产物同时附带 SHA256SUMS 文件供发布渠道核对。核心逻辑由 88 项自动化测试覆盖（消息基线、去重与撤回、会话分组、通知布局、配置校验、推送链路、规则引擎与存储层等）。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14402F"/>
          <w:sz w:val="32"/>
          <w:szCs w:val="32"/>
        </w:rPr>
        <w:t xml:space="preserve">七、兼容性与限制</w:t>
      </w:r>
      <w:bookmarkEnd w:id="100015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原生资源必须使用与 PingNest 配套的版本：wx_key.dll 负责注入微信进程获取数据库密钥，wcdb_api.dll 负责解密查询微信数据库，二者与运行时依赖共同构成发布包的最小资源集，请勿替换、重命名或混用。混用其他项目（如 WeFlow、CipherTalk）的授权 DLL 会以 AUTH_FAILED:auth_env_missing、错误码 -1006 或 -2301 等形式失败，此时应恢复配套的完整 resources 目录。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能力边界：微信版本、安装方式与安全软件可能影响连接结果；「激活微信窗口」只负责把微信主窗口带到前台，不模拟微信内部点击，也不保证定位到指定聊天；读取本机微信数据属于高权限操作，请仅在个人设备上使用。</w:t>
      </w:r>
    </w:p>
    <w:p>
      <w:pPr>
        <w:pStyle w:val="Heading1"/>
        <w:spacing w:after="160" w:before="360" w:line="312"/>
      </w:pPr>
      <w:bookmarkStart w:id="100016" w:name="_Toc100016"/>
      <w:r>
        <w:rPr>
          <w:rFonts w:ascii="Calibri" w:eastAsia="SimHei"/>
          <w:b/>
          <w:bCs/>
          <w:color w:val="14402F"/>
          <w:sz w:val="32"/>
          <w:szCs w:val="32"/>
        </w:rPr>
        <w:t xml:space="preserve">八、版本历程</w:t>
      </w:r>
      <w:bookmarkEnd w:id="100016"/>
    </w:p>
    <w:p>
      <w:pPr>
        <w:keepNext/>
        <w:spacing w:after="100" w:before="160" w:line="312"/>
      </w:pPr>
      <w:r>
        <w:rPr>
          <w:rFonts w:ascii="Calibri" w:eastAsia="SimHei"/>
          <w:b/>
          <w:bCs/>
          <w:color w:val="14402F"/>
          <w:sz w:val="21"/>
          <w:szCs w:val="21"/>
        </w:rPr>
        <w:t xml:space="preserve">表 5  版本历程</w:t>
      </w:r>
    </w:p>
    <w:tbl>
      <w:tblPr>
        <w:tblW w:type="pct" w:w="100%"/>
        <w:tblBorders>
          <w:top w:val="single" w:color="2A7A65" w:sz="4"/>
          <w:left w:val="none" w:color="FFFFFF" w:sz="0"/>
          <w:bottom w:val="single" w:color="2A7A65" w:sz="4"/>
          <w:right w:val="none" w:color="FFFFFF" w:sz="0"/>
          <w:insideH w:val="single" w:color="C5D8D0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20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日期</w:t>
            </w:r>
          </w:p>
        </w:tc>
        <w:tc>
          <w:tcPr>
            <w:tcW w:type="pct" w:w="66%"/>
            <w:shd w:fill="2A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要点</w:t>
            </w:r>
          </w:p>
        </w:tc>
      </w:tr>
      <w:tr>
        <w:trPr>
          <w:cantSplit/>
        </w:trPr>
        <w:tc>
          <w:tcPr>
            <w:tcW w:type="pct" w:w="1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0.1.0</w:t>
            </w:r>
          </w:p>
        </w:tc>
        <w:tc>
          <w:tcPr>
            <w:tcW w:type="pct" w:w="2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2026-08-25</w:t>
            </w:r>
          </w:p>
        </w:tc>
        <w:tc>
          <w:tcPr>
            <w:tcW w:type="pct" w:w="6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首个公开版本：桌面通知、四种经典样式、通知历史与静音规则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1.0.0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2026-08-28</w:t>
            </w:r>
          </w:p>
        </w:tc>
        <w:tc>
          <w:tcPr>
            <w:tcW w:type="pct" w:w="6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MD3「分层工作台」界面；主进程架构拆分、统一日志与 CI，测试扩至 40 项</w:t>
            </w:r>
          </w:p>
        </w:tc>
      </w:tr>
      <w:tr>
        <w:trPr>
          <w:cantSplit/>
        </w:trPr>
        <w:tc>
          <w:tcPr>
            <w:tcW w:type="pct" w:w="14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2.0.0</w:t>
            </w:r>
          </w:p>
        </w:tc>
        <w:tc>
          <w:tcPr>
            <w:tcW w:type="pct" w:w="20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2026-08-30</w:t>
            </w:r>
          </w:p>
        </w:tc>
        <w:tc>
          <w:tcPr>
            <w:tcW w:type="pct" w:w="66%"/>
            <w:shd w:fill="ED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</w:pPr>
            <w:r>
              <w:rPr>
                <w:rFonts w:ascii="Calibri" w:eastAsia="Microsoft YaHei"/>
                <w:b w:val="false"/>
                <w:bCs w:val="false"/>
                <w:color w:val="202020"/>
                <w:sz w:val="21"/>
                <w:szCs w:val="21"/>
              </w:rPr>
              <w:t xml:space="preserve">奶油工作台界面推倒重来；九套通知样式与四套动效；SQLite 本地存储、增量广播与原生监控伴生库；测试扩至 88 项</w:t>
            </w:r>
          </w:p>
        </w:tc>
      </w:tr>
    </w:tbl>
    <w:p>
      <w:pPr>
        <w:pStyle w:val="Heading1"/>
        <w:spacing w:after="160" w:before="360" w:line="312"/>
      </w:pPr>
      <w:bookmarkStart w:id="100017" w:name="_Toc100017"/>
      <w:r>
        <w:rPr>
          <w:rFonts w:ascii="Calibri" w:eastAsia="SimHei"/>
          <w:b/>
          <w:bCs/>
          <w:color w:val="14402F"/>
          <w:sz w:val="32"/>
          <w:szCs w:val="32"/>
        </w:rPr>
        <w:t xml:space="preserve">九、许可与致谢</w:t>
      </w:r>
      <w:bookmarkEnd w:id="100017"/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本项目采用 CC BY-NC-SA 4.0（署名—非商业性使用—相同方式共享）许可证发布：个人学习与日常使用没有问题；以营利为目的的使用通常会被认定为商业使用，需要另行获得作者授权；改编后再分发的作品需继续以相同许可证授权并注明出处；仅安装使用、不改编不分发不受约束。npm 运行时依赖按其自身许可分发，清单随安装包附带；原生组件的许可见仓库内相应目录。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202020"/>
          <w:sz w:val="24"/>
          <w:szCs w:val="24"/>
        </w:rPr>
        <w:t xml:space="preserve">感谢 WeFlow 项目提供的思路与代码参考，PingNest 在其基础上结合自身需求进行了适配、重构与界面实现。问题与建议欢迎通过 GitHub Issues 反馈，提交时请附上 Windows 与微信版本、复现步骤和错误信息。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3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3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8D0" w:sz="2" w:space="4"/>
      </w:pBdr>
      <w:jc w:val="right"/>
    </w:pPr>
    <w:r>
      <w:rPr>
        <w:rFonts w:ascii="Calibri" w:eastAsia="Microsoft YaHei"/>
        <w:color w:val="5A6B63"/>
        <w:sz w:val="16"/>
        <w:szCs w:val="16"/>
      </w:rPr>
      <w:t xml:space="preserve">PingNest 2.0 · 自述文档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0202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440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4402F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2026-08-30T12:16:49.167Z</dcterms:created>
  <dcterms:modified xsi:type="dcterms:W3CDTF">2026-08-30T12:16:49.168Z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