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AI 素材与版权证明说明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美术、配音、音乐、开源软件与 IP 证据链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证据原则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保留“谁在何时用什么工具、基于什么输入、按什么许可生成或取得、最终文件是哪一个”的完整链路。仅保存成品图片或写一句“AI 生成”通常不足以应对权属核验。</w:t>
            </w:r>
          </w:p>
        </w:tc>
      </w:tr>
    </w:tbl>
    <w:p/>
    <w:p>
      <w:pPr>
        <w:pStyle w:val="Heading1"/>
      </w:pPr>
      <w:r>
        <w:t>一、当前素材来源核验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2100"/>
        <w:gridCol w:w="2460"/>
      </w:tblGrid>
      <w:tr>
        <w:trPr>
          <w:tblHeader w:val="true"/>
        </w:trP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仓库证据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当前判断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上线前动作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程序代码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Git 提交历史、React/Vite 源码、自动测试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以项目原创代码为主，含开源依赖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保留提交记录并生成第三方许可清单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美术图片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任务文档记录 Codex 内置图像生成及提示词；public/assets 中 109 个资源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大量 AI 生成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归档提示词、生成记录、账号与商用条款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人物参考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人物形象定稿参考图与提示词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需确认参考图来源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逐张记录是否自有或获授权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配音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mmx-cli TTS；manifest 约 248 个音频文件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合成语音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确认音色/服务商商业许可和真人权利限制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BGM/音效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mmx music 与 audio_generation 提示词登记；3 首 BGM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AI/工具生成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留存订单、生成参数和商用条款快照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字体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未打包字体文件，仅调用系统中文字体栈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低风险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小游戏适配后使用平台/系统字体或已授权字体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历史/小说资料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docs/小说素材及取材文档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仅研发参考，不应进入发行包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确认没有大段复制；不要随上线包分发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第三方 IP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黑冰台名称借鉴《大秦帝国》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高风险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改名或取得明确授权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二维码/社交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微信、Telegram 二维码与外链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提审风险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从提审版与截图中移除</w:t>
            </w:r>
          </w:p>
        </w:tc>
      </w:tr>
    </w:tbl>
    <w:p/>
    <w:p>
      <w:pPr>
        <w:pStyle w:val="Heading1"/>
      </w:pPr>
      <w:r>
        <w:t>二、AI 美术证据登记字段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填写要求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资产编号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唯一编号，例如 IMG-BG-001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最终文件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相对路径、文件名、哈希值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生成工具/模型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产品名称、模型版本、账号主体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生成时间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精确日期与时区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提示词与参考图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完整正负提示词；参考图来源与权利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编辑记录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裁切、合成、修图、重绘和人工贡献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商用依据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套餐、订单、许可条款链接和条款截图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审核结论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无水印、无可识别第三方 IP、无乱字、无肖像风险</w:t>
            </w:r>
          </w:p>
        </w:tc>
      </w:tr>
    </w:tbl>
    <w:p/>
    <w:p>
      <w:pPr>
        <w:pStyle w:val="Heading1"/>
      </w:pPr>
      <w:r>
        <w:t>三、音频证据登记字段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配音：文本、角色、音色 ID、语速、音调、生成命令、生成时间、服务账号、商业许可。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BGM/音效：完整提示词、时长、文件规格、生成工具、订单或调用记录、后期处理。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若音色模仿或接近真人，必须确认服务条款允许且不存在未经授权的声音克隆。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保存原始文件和最终压缩文件的哈希；替换时保留版本关系。</w:t>
      </w:r>
    </w:p>
    <w:p>
      <w:pPr>
        <w:pStyle w:val="Heading1"/>
      </w:pPr>
      <w:r>
        <w:t>四、开源软件合规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package-lock.json 显示项目依赖包含 MIT、Apache-2.0、BSD、ISC、CC-BY-4.0 等许可。发行前应从最终生产依赖生成 THIRD_PARTY_NOTICES，按各许可证要求保留版权声明和许可证文本。不要仅依赖 package-lock 中的 license 字段。</w:t>
      </w:r>
    </w:p>
    <w:p>
      <w:pPr>
        <w:pStyle w:val="Heading1"/>
      </w:pPr>
      <w:r>
        <w:t>五、版权承诺底稿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可在平台要求时使用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本人确认提交的《秦灭六国》游戏程序、文字、美术、音频及其他素材均为本人原创、已获得合法授权，或属于依法可以使用的公共领域内容；不存在未经许可复制第三方游戏、小说、影视、音乐、字体、商标、角色形象、真人肖像或声音的情形。对 AI 辅助生成素材，本人已核对所用服务的商业使用条款并保留生成与编辑记录。如发生权利争议，本人将依法承担相应责任并及时整改。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《秦灭六国》｜AI 素材与版权证明说明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