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appendix-a-optimality-of-the-noise-axis"/>
    <w:p>
      <w:pPr>
        <w:pStyle w:val="Heading3"/>
      </w:pPr>
      <w:r>
        <w:t xml:space="preserve">Appendix A  – Optimality of the noise axis</w:t>
      </w:r>
    </w:p>
    <w:p>
      <w:pPr>
        <w:pStyle w:val="FirstParagraph"/>
      </w:pPr>
      <w:r>
        <w:t xml:space="preserve">We prove that the Fisher ratio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S</m:t>
              </m:r>
              <m:r>
                <m:rPr>
                  <m:sty m:val="p"/>
                </m:rPr>
                <m:t>(</m:t>
              </m:r>
              <m: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t>N</m:t>
              </m:r>
              <m:r>
                <m:rPr>
                  <m:sty m:val="p"/>
                </m:rPr>
                <m:t>(</m:t>
              </m:r>
              <m:r>
                <m:t>θ</m:t>
              </m:r>
              <m:r>
                <m:rPr>
                  <m:sty m:val="p"/>
                </m:rPr>
                <m:t>)</m:t>
              </m:r>
            </m:den>
          </m:f>
          <m:r>
            <m:t> </m:t>
          </m:r>
          <m:r>
            <m:rPr>
              <m:nor/>
              <m:sty m:val="p"/>
            </m:rPr>
            <m:t>with</m:t>
          </m:r>
          <m:r>
            <m:t> </m:t>
          </m:r>
          <m:r>
            <m:t>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rPr>
              <m:sty m:val="b"/>
            </m:rPr>
            <m:t>v</m:t>
          </m:r>
          <m:r>
            <m:rPr>
              <m:sty m:val="p"/>
            </m:rPr>
            <m:t>(</m:t>
          </m:r>
          <m: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​</m:t>
              </m:r>
              <m:r>
                <m:rPr>
                  <m:sty m:val="p"/>
                </m:rPr>
                <m:t>⊤</m:t>
              </m:r>
            </m:sup>
          </m:sSup>
          <m:r>
            <m:rPr>
              <m:sty m:val="p"/>
            </m:rPr>
            <m:t>Δ</m:t>
          </m:r>
          <m:r>
            <m:rPr>
              <m:sty m:val="b"/>
            </m:rPr>
            <m:t>μ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 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b"/>
            </m:rPr>
            <m:t>v</m:t>
          </m:r>
          <m:r>
            <m:rPr>
              <m:sty m:val="p"/>
            </m:rPr>
            <m:t>(</m:t>
          </m:r>
          <m:r>
            <m:t>θ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​</m:t>
              </m:r>
              <m:r>
                <m:rPr>
                  <m:sty m:val="p"/>
                </m:rPr>
                <m:t>⊤</m:t>
              </m:r>
            </m:sup>
          </m:sSup>
          <m:r>
            <m:rPr>
              <m:sty m:val="b"/>
            </m:rPr>
            <m:t>Σ</m:t>
          </m:r>
          <m:r>
            <m:t> </m:t>
          </m:r>
          <m:r>
            <m:rPr>
              <m:sty m:val="b"/>
            </m:rPr>
            <m:t>v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is maximised at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, i.e. when the read‑out vector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exactly the noise/coding axis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geometry-of-the-tuned-rankone-network"/>
    <w:p>
      <w:pPr>
        <w:pStyle w:val="Heading4"/>
      </w:pPr>
      <w:r>
        <w:t xml:space="preserve">1. Geometry of the tuned rank‑one network</w:t>
      </w:r>
    </w:p>
    <w:p>
      <w:pPr>
        <w:pStyle w:val="FirstParagraph"/>
      </w:pPr>
      <w:r>
        <w:t xml:space="preserve">After synaptic tuning the stimulus difference and dominant noise direction coincide,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>
              <m:sty m:val="b"/>
            </m:rPr>
            <m:t>μ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t>a</m:t>
          </m:r>
          <m:r>
            <m:t> </m:t>
          </m:r>
          <m:sSub>
            <m:e>
              <m:r>
                <m:rPr>
                  <m:sty m:val="b"/>
                </m:rPr>
                <m:t>u</m:t>
              </m:r>
            </m:e>
            <m:sub>
              <m:r>
                <m:rPr>
                  <m:nor/>
                  <m:sty m:val="p"/>
                </m:rPr>
                <m:t>slow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‖"/>
              <m:sepChr m:val=""/>
              <m:endChr m:val="‖"/>
              <m:grow/>
            </m:dPr>
            <m:e>
              <m:r>
                <m:rPr>
                  <m:sty m:val="p"/>
                </m:rPr>
                <m:t>Δ</m:t>
              </m:r>
              <m:r>
                <m:rPr>
                  <m:sty m:val="b"/>
                </m:rPr>
                <m:t>μ</m:t>
              </m:r>
            </m:e>
          </m:d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u</m:t>
            </m:r>
          </m:e>
          <m:sub>
            <m:r>
              <m:rPr>
                <m:nor/>
                <m:sty m:val="p"/>
              </m:rPr>
              <m:t>slow</m:t>
            </m:r>
          </m:sub>
        </m:sSub>
      </m:oMath>
      <w:r>
        <w:t xml:space="preserve"> </w:t>
      </w:r>
      <w:r>
        <w:t xml:space="preserve">is the unit eigen‑vector of</w:t>
      </w:r>
      <w:r>
        <w:t xml:space="preserve"> 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with the largest eigenvalue.</w:t>
      </w:r>
      <w:r>
        <w:t xml:space="preserve"> </w:t>
      </w:r>
      <w:r>
        <w:t xml:space="preserve">Choose an orthonormal basis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b"/>
              </m:rPr>
              <m:t>u</m:t>
            </m:r>
          </m:e>
          <m:sub>
            <m:r>
              <m:rPr>
                <m:nor/>
                <m:sty m:val="p"/>
              </m:rPr>
              <m:t>slow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u</m:t>
            </m:r>
          </m:e>
          <m:sub>
            <m:r>
              <m:rPr>
                <m:sty m:val="p"/>
              </m:rPr>
              <m:t>⟂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 </w:t>
      </w:r>
      <w:r>
        <w:t xml:space="preserve">and parameterise the read‑out axis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v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cos</m:t>
          </m:r>
          <m:r>
            <m:t>θ</m:t>
          </m:r>
          <m:r>
            <m:t> </m:t>
          </m:r>
          <m:sSub>
            <m:e>
              <m:r>
                <m:rPr>
                  <m:sty m:val="b"/>
                </m:rPr>
                <m:t>u</m:t>
              </m:r>
            </m:e>
            <m:sub>
              <m:r>
                <m:rPr>
                  <m:nor/>
                  <m:sty m:val="p"/>
                </m:rPr>
                <m:t>slow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sin</m:t>
          </m:r>
          <m:r>
            <m:t>θ</m:t>
          </m:r>
          <m:r>
            <m:t> </m:t>
          </m:r>
          <m:sSub>
            <m:e>
              <m:r>
                <m:rPr>
                  <m:sty m:val="b"/>
                </m:rPr>
                <m:t>u</m:t>
              </m:r>
            </m:e>
            <m:sub>
              <m:r>
                <m:rPr>
                  <m:sty m:val="p"/>
                </m:rPr>
                <m:t>⟂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θ</m:t>
          </m:r>
          <m:r>
            <m:rPr>
              <m:sty m:val="p"/>
            </m:rPr>
            <m:t>∈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the noise covariance shares the same eigen‑basis, write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Σ</m:t>
          </m:r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r>
            <m:t> </m:t>
          </m:r>
          <m:sSub>
            <m:e>
              <m:r>
                <m:rPr>
                  <m:sty m:val="b"/>
                </m:rPr>
                <m:t>u</m:t>
              </m:r>
            </m:e>
            <m:sub>
              <m:r>
                <m:rPr>
                  <m:nor/>
                  <m:sty m:val="p"/>
                </m:rPr>
                <m:t>slow</m:t>
              </m:r>
            </m:sub>
          </m:sSub>
          <m:sSubSup>
            <m:e>
              <m:r>
                <m:rPr>
                  <m:sty m:val="b"/>
                </m:rPr>
                <m:t>u</m:t>
              </m:r>
            </m:e>
            <m:sub>
              <m:r>
                <m:rPr>
                  <m:nor/>
                  <m:sty m:val="p"/>
                </m:rPr>
                <m:t>slow</m:t>
              </m:r>
            </m:sub>
            <m:sup>
              <m:r>
                <m:t>​</m:t>
              </m:r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r>
            <m:t> </m:t>
          </m:r>
          <m:sSub>
            <m:e>
              <m:r>
                <m:rPr>
                  <m:sty m:val="b"/>
                </m:rPr>
                <m:t>u</m:t>
              </m:r>
            </m:e>
            <m:sub>
              <m:r>
                <m:rPr>
                  <m:sty m:val="p"/>
                </m:rPr>
                <m:t>⟂</m:t>
              </m:r>
            </m:sub>
          </m:sSub>
          <m:sSubSup>
            <m:e>
              <m:r>
                <m:rPr>
                  <m:sty m:val="b"/>
                </m:rPr>
                <m:t>u</m:t>
              </m:r>
            </m:e>
            <m:sub>
              <m:r>
                <m:rPr>
                  <m:sty m:val="p"/>
                </m:rPr>
                <m:t>⟂</m:t>
              </m:r>
            </m:sub>
            <m:sup>
              <m:r>
                <m:t>​</m:t>
              </m:r>
              <m:r>
                <m:rPr>
                  <m:sty m:val="p"/>
                </m:rPr>
                <m:t>⊤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Σ</m:t>
              </m:r>
            </m:e>
            <m:sub>
              <m:r>
                <m:t>​</m:t>
              </m:r>
              <m:r>
                <m:rPr>
                  <m:nor/>
                  <m:sty m:val="p"/>
                </m:rPr>
                <m:t>rest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(the slow mode has largest variance) and</w:t>
      </w:r>
      <w:r>
        <w:t xml:space="preserve"> </w:t>
      </w:r>
      <m:oMath>
        <m:sSub>
          <m:e>
            <m:r>
              <m:rPr>
                <m:sty m:val="b"/>
              </m:rPr>
              <m:t>Σ</m:t>
            </m:r>
          </m:e>
          <m:sub>
            <m:r>
              <m:t>​</m:t>
            </m:r>
            <m:r>
              <m:rPr>
                <m:nor/>
                <m:sty m:val="p"/>
              </m:rPr>
              <m:t>rest</m:t>
            </m:r>
          </m:sub>
        </m:sSub>
      </m:oMath>
      <w:r>
        <w:t xml:space="preserve"> </w:t>
      </w:r>
      <w:r>
        <w:t xml:space="preserve">living in the remaining orthogonal sub‑space.</w:t>
      </w:r>
    </w:p>
    <w:p>
      <w:r>
        <w:pict>
          <v:rect style="width:0;height:1.5pt" o:hralign="center" o:hrstd="t" o:hr="t"/>
        </w:pict>
      </w:r>
    </w:p>
    <w:bookmarkEnd w:id="9"/>
    <w:bookmarkStart w:id="10" w:name="Xf35f83748036596d91b85c8477ce0ba70e76e13"/>
    <w:p>
      <w:pPr>
        <w:pStyle w:val="Heading4"/>
      </w:pPr>
      <w:r>
        <w:t xml:space="preserve">2. Closed‑form expressions for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Using the orthogonality relations: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t>S</m:t>
              </m:r>
              <m:r>
                <m:rPr>
                  <m:sty m:val="p"/>
                </m:rPr>
                <m:t>(</m:t>
              </m:r>
              <m:r>
                <m:t>θ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[</m:t>
              </m:r>
              <m:r>
                <m:t>a</m:t>
              </m:r>
              <m:r>
                <m:t> 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cos</m:t>
              </m:r>
              <m:r>
                <m:t>θ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r>
                <m:rPr>
                  <m:sty m:val="p"/>
                </m:rPr>
                <m:t>,</m:t>
              </m:r>
            </m:e>
            <m:e>
              <m:r>
                <m:t>N</m:t>
              </m:r>
              <m:r>
                <m:rPr>
                  <m:sty m:val="p"/>
                </m:rPr>
                <m:t>(</m:t>
              </m:r>
              <m:r>
                <m:t>θ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r>
                <m:rPr>
                  <m:sty m:val="p"/>
                </m:rPr>
                <m:t>,</m:t>
              </m:r>
            </m:e>
          </m:eqAr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has no projection onto the “rest’’ sub‑space.</w:t>
      </w:r>
    </w:p>
    <w:p>
      <w:pPr>
        <w:pStyle w:val="BodyText"/>
      </w:pPr>
      <w:r>
        <w:t xml:space="preserve">Hence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</m:num>
            <m:den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10"/>
    <w:bookmarkStart w:id="11" w:name="stationary-points-of-jtheta"/>
    <w:p>
      <w:pPr>
        <w:pStyle w:val="Heading4"/>
      </w:pPr>
      <w:r>
        <w:t xml:space="preserve">3. Stationary points of</w:t>
      </w:r>
      <w:r>
        <w:t xml:space="preserve"> </w:t>
      </w:r>
      <m:oMath>
        <m:r>
          <m:t>J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Differentiate w.r.t. 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J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sin</m:t>
              </m:r>
              <m:r>
                <m:t>θ</m:t>
              </m:r>
              <m:r>
                <m:rPr>
                  <m:sty m:val="p"/>
                </m:rPr>
                <m:t>cos</m:t>
              </m:r>
              <m:r>
                <m:t>θ</m:t>
              </m:r>
              <m:r>
                <m:rPr>
                  <m:sty m:val="p"/>
                </m:rPr>
                <m:t>)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1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cos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θ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2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θ</m:t>
                  </m:r>
                </m:e>
              </m:d>
              <m:r>
                <m:rPr>
                  <m:sty m:val="p"/>
                </m:rPr>
                <m:t>−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cos</m:t>
                  </m:r>
                  <m:r>
                    <m:t>θ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sin</m:t>
                  </m:r>
                  <m:r>
                    <m:t>θ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sin</m:t>
                  </m:r>
                  <m:r>
                    <m:t>θ</m:t>
                  </m:r>
                  <m:r>
                    <m:rPr>
                      <m:sty m:val="p"/>
                    </m:rPr>
                    <m:t>cos</m:t>
                  </m:r>
                  <m:r>
                    <m:t>θ</m:t>
                  </m:r>
                </m:e>
              </m:d>
            </m:num>
            <m:den>
              <m:r>
                <m:rPr>
                  <m:sty m:val="p"/>
                </m:rPr>
                <m:t>(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Expand and simplify (factor</w:t>
      </w:r>
      <w:r>
        <w:t xml:space="preserve"> </w:t>
      </w:r>
      <m:oMath>
        <m:r>
          <m:t>2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r>
          <m:t>θ</m:t>
        </m:r>
        <m:r>
          <m:rPr>
            <m:sty m:val="p"/>
          </m:rPr>
          <m:t>cos</m:t>
        </m:r>
        <m:r>
          <m:t>θ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J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sin</m:t>
              </m:r>
              <m:r>
                <m:t>θ</m:t>
              </m:r>
              <m:r>
                <m:rPr>
                  <m:sty m:val="p"/>
                </m:rPr>
                <m:t>cos</m:t>
              </m:r>
              <m:r>
                <m:t>θ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1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cos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θ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2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θ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1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cos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θ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2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cos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θ</m:t>
                  </m:r>
                </m:e>
              </m:d>
            </m:num>
            <m:den>
              <m:r>
                <m:rPr>
                  <m:sty m:val="p"/>
                </m:rPr>
                <m:t>(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sin</m:t>
              </m:r>
              <m:r>
                <m:t>θ</m:t>
              </m:r>
              <m:r>
                <m:rPr>
                  <m:sty m:val="p"/>
                </m:rPr>
                <m:t>cos</m:t>
              </m:r>
              <m:r>
                <m:t>θ</m:t>
              </m:r>
              <m:r>
                <m:rPr>
                  <m:sty m:val="p"/>
                </m:rPr>
                <m:t>(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…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sin</m:t>
              </m:r>
              <m:r>
                <m:t>θ</m:t>
              </m:r>
              <m:r>
                <m:rPr>
                  <m:sty m:val="p"/>
                </m:rPr>
                <m:t>cos</m:t>
              </m:r>
              <m:r>
                <m:t>θ</m:t>
              </m:r>
              <m:r>
                <m:rPr>
                  <m:sty m:val="p"/>
                </m:rPr>
                <m:t>(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…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simpler route is to observe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J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sty m:val="p"/>
            </m:rPr>
            <m:t>⇔</m:t>
          </m:r>
          <m:r>
            <m:t> </m:t>
          </m:r>
          <m:r>
            <m:rPr>
              <m:sty m:val="p"/>
            </m:rPr>
            <m:t>sin</m:t>
          </m:r>
          <m:r>
            <m:t>θ</m:t>
          </m:r>
          <m:r>
            <m:rPr>
              <m:sty m:val="p"/>
            </m:rPr>
            <m:t>cos</m:t>
          </m:r>
          <m:r>
            <m:t>θ</m:t>
          </m:r>
          <m:r>
            <m:t> </m:t>
          </m:r>
          <m:r>
            <m:rPr>
              <m:sty m:val="p"/>
            </m:rPr>
            <m:t>(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which holds for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 </m:t>
        </m:r>
        <m:r>
          <m:t>0</m:t>
        </m:r>
        <m:r>
          <m:rPr>
            <m:sty m:val="p"/>
          </m:rPr>
          <m:t>,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}</m:t>
        </m:r>
      </m:oMath>
      <w:r>
        <w:t xml:space="preserve">.</w:t>
      </w:r>
      <w:r>
        <w:t xml:space="preserve"> </w:t>
      </w:r>
      <w:r>
        <w:t xml:space="preserve">Only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(and the equivalent</w:t>
      </w:r>
      <w:r>
        <w:t xml:space="preserve"> </w:t>
      </w:r>
      <m:oMath>
        <m:r>
          <m:rPr>
            <m:sty m:val="p"/>
          </m:rPr>
          <m:t>±</m:t>
        </m:r>
        <m:r>
          <m:t>π</m:t>
        </m:r>
      </m:oMath>
      <w:r>
        <w:t xml:space="preserve">) lies in the admissible range and produces a finite, non‑zero numerator.</w:t>
      </w:r>
    </w:p>
    <w:p>
      <w:r>
        <w:pict>
          <v:rect style="width:0;height:1.5pt" o:hralign="center" o:hrstd="t" o:hr="t"/>
        </w:pict>
      </w:r>
    </w:p>
    <w:bookmarkEnd w:id="11"/>
    <w:bookmarkStart w:id="12" w:name="nature-of-the-stationary-point"/>
    <w:p>
      <w:pPr>
        <w:pStyle w:val="Heading4"/>
      </w:pPr>
      <w:r>
        <w:t xml:space="preserve">4. Nature of the stationary point</w:t>
      </w:r>
    </w:p>
    <w:p>
      <w:pPr>
        <w:pStyle w:val="FirstParagraph"/>
      </w:pPr>
      <w:r>
        <w:t xml:space="preserve">Compute the second derivative at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J</m:t>
              </m:r>
            </m:num>
            <m:den>
              <m:r>
                <m:t>d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den>
          </m:f>
          <m:sSub>
            <m:e>
              <m:r>
                <m:rPr>
                  <m:sty m:val="p"/>
                </m:rPr>
                <m:t>|</m:t>
              </m:r>
            </m:e>
            <m:sub>
              <m:r>
                <m:t>θ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(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sSubSup>
                <m:e>
                  <m:r>
                    <m:t>λ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 </m:t>
          </m:r>
          <m:r>
            <m:rPr>
              <m:sty m:val="p"/>
            </m:rPr>
            <m:t>&lt;</m:t>
          </m:r>
          <m:r>
            <m:t> 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λ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Hence</w:t>
      </w:r>
      <w:r>
        <w:t xml:space="preserve"> </w:t>
      </w:r>
      <m:oMath>
        <m:r>
          <m:t>J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attains a</w:t>
      </w:r>
      <w:r>
        <w:t xml:space="preserve"> </w:t>
      </w:r>
      <w:r>
        <w:rPr>
          <w:b/>
          <w:bCs/>
        </w:rPr>
        <w:t xml:space="preserve">strict local maximum</w:t>
      </w:r>
      <w:r>
        <w:t xml:space="preserve"> </w:t>
      </w:r>
      <w:r>
        <w:t xml:space="preserve">at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Since</w:t>
      </w:r>
      <w:r>
        <w:t xml:space="preserve"> </w:t>
      </w:r>
      <m:oMath>
        <m:r>
          <m:t>J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</m:oMath>
      <w:r>
        <w:t xml:space="preserve">‑periodic and even, this local maximum is global.</w:t>
      </w:r>
    </w:p>
    <w:p>
      <w:r>
        <w:pict>
          <v:rect style="width:0;height:1.5pt" o:hralign="center" o:hrstd="t" o:hr="t"/>
        </w:pict>
      </w:r>
    </w:p>
    <w:bookmarkEnd w:id="12"/>
    <w:bookmarkStart w:id="13" w:name="conclusion"/>
    <w:p>
      <w:pPr>
        <w:pStyle w:val="Heading4"/>
      </w:pPr>
      <w:r>
        <w:t xml:space="preserve">5. Conclusion</w:t>
      </w:r>
    </w:p>
    <w:p>
      <w:pPr>
        <w:pStyle w:val="FirstParagraph"/>
      </w:pPr>
      <w:r>
        <w:t xml:space="preserve">The Fisher ratio</w:t>
      </w:r>
      <w:r>
        <w:t xml:space="preserve"> </w:t>
      </w:r>
      <m:oMath>
        <m:r>
          <m:t>J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is maximised when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; that is, the</w:t>
      </w:r>
      <w:r>
        <w:t xml:space="preserve"> </w:t>
      </w:r>
      <w:r>
        <w:rPr>
          <w:b/>
          <w:bCs/>
        </w:rPr>
        <w:t xml:space="preserve">optimal linear decoder aligns with the noise (slow‑mode) axis</w:t>
      </w:r>
      <w:r>
        <w:t xml:space="preserve">, confirming the result shown empirically in Fig. 2E.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2025-06-05T21:56:27Z</dcterms:created>
  <dcterms:modified xsi:type="dcterms:W3CDTF">2025-06-05T21:56:27Z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