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77A50"/>
        </w:rPr>
        <w:t>Техническое задание: методология расчёта показателей Damumed Band</w:t>
      </w:r>
    </w:p>
    <w:p>
      <w:r>
        <w:t xml:space="preserve">Документ для группы медиков-разработчиков методологии. Версия 1.4 от 14.09.2026 (учтены решения заказчика, раздел 9). Основание: </w:t>
      </w:r>
      <w:r>
        <w:rPr>
          <w:rFonts w:ascii="Courier New" w:hAnsi="Courier New"/>
        </w:rPr>
        <w:t>research/23-metodologiya-pokazateley-issledovanie.md</w:t>
      </w:r>
      <w:r>
        <w:t>.</w:t>
      </w:r>
    </w:p>
    <w:p>
      <w:r>
        <w:rPr>
          <w:b/>
        </w:rPr>
        <w:t>Объём этого договора – только wellness-версия</w:t>
      </w:r>
      <w:r>
        <w:t xml:space="preserve"> (первая партия и вторая волна). Клиническая версия (медизделие) исключена решением заказчика 14.09.2026 и будет отдельным ТЗ.</w:t>
      </w:r>
    </w:p>
    <w:p>
      <w:r>
        <w:t xml:space="preserve">Пометка </w:t>
      </w:r>
      <w:r>
        <w:rPr>
          <w:b/>
        </w:rPr>
        <w:t>«проверить»</w:t>
      </w:r>
      <w:r>
        <w:t xml:space="preserve"> – факт требует подтверждения до подписания договора.</w:t>
      </w:r>
    </w:p>
    <w:p>
      <w:pPr>
        <w:pStyle w:val="Heading2"/>
      </w:pPr>
      <w:r>
        <w:rPr>
          <w:color w:val="177A50"/>
        </w:rPr>
        <w:t>1. Цель и результат работы</w:t>
      </w:r>
    </w:p>
    <w:p>
      <w:r>
        <w:t xml:space="preserve">1.1. </w:t>
      </w:r>
      <w:r>
        <w:rPr>
          <w:b/>
        </w:rPr>
        <w:t>Цель.</w:t>
      </w:r>
      <w:r>
        <w:t xml:space="preserve"> Разработать собственную, научно обоснованную и проверяемую методологию расчёта показателей сна, восстановления, нагрузки, дыхания и температуры по данным браслета Damumed Band.</w:t>
      </w:r>
    </w:p>
    <w:p>
      <w:r>
        <w:t>1.2. Методология должна давать показатели не хуже по полезности, чем у WHOOP, Oura, Fitbit, Garmin и Samsung, и при этом быть научно обоснованной и проверенной на пожилых пользователях, а не только на молодых и здоровых.</w:t>
      </w:r>
    </w:p>
    <w:p>
      <w:r>
        <w:t xml:space="preserve">1.3. </w:t>
      </w:r>
      <w:r>
        <w:rPr>
          <w:b/>
        </w:rPr>
        <w:t>Результат работы</w:t>
      </w:r>
      <w:r>
        <w:t xml:space="preserve"> – комплект документов, по которому:</w:t>
      </w:r>
    </w:p>
    <w:p>
      <w:pPr>
        <w:pStyle w:val="ListBullet"/>
      </w:pPr>
      <w:r>
        <w:t>программисты реализуют расчёт без дополнительных вопросов к врачам;</w:t>
      </w:r>
    </w:p>
    <w:p>
      <w:pPr>
        <w:pStyle w:val="ListBullet"/>
      </w:pPr>
      <w:r>
        <w:t>заказчик проводит валидационные исследования точности показателей.</w:t>
      </w:r>
    </w:p>
    <w:p>
      <w:r>
        <w:t xml:space="preserve">Методология – </w:t>
      </w:r>
      <w:r>
        <w:rPr>
          <w:b/>
        </w:rPr>
        <w:t>коммерческая тайна заказчика</w:t>
      </w:r>
      <w:r>
        <w:t xml:space="preserve"> и не публикуется (раздел 8).</w:t>
      </w:r>
    </w:p>
    <w:p>
      <w:r>
        <w:t>1.4. Принципы, обязательные для всей работы:</w:t>
      </w:r>
    </w:p>
    <w:p>
      <w:r>
        <w:t>1. Только опубликованная наука и собственные данные. Закрытые алгоритмы конкурентов не используются.</w:t>
      </w:r>
    </w:p>
    <w:p>
      <w:r>
        <w:t xml:space="preserve">2. Каждый показатель – от </w:t>
      </w:r>
      <w:r>
        <w:rPr>
          <w:b/>
        </w:rPr>
        <w:t>личного базового уровня</w:t>
      </w:r>
      <w:r>
        <w:t xml:space="preserve"> пользователя; популяционная норма – только на время прогрева и там, где личная норма невозможна.</w:t>
      </w:r>
    </w:p>
    <w:p>
      <w:r>
        <w:t>3. Формулы детерминированные и объяснимые. Машинное обучение не используется.</w:t>
      </w:r>
    </w:p>
    <w:p>
      <w:r>
        <w:t>4. Любой композитный показатель прозрачен для пользователя: видно, из каких показателей он сложился и какой вклад дал каждый. Формула, веса и пороги документируются полностью, но не раскрываются.</w:t>
      </w:r>
    </w:p>
    <w:p>
      <w:r>
        <w:t>5. Пользователь должен понимать, из чего получилось число, за 30 секунд.</w:t>
      </w:r>
    </w:p>
    <w:p>
      <w:pPr>
        <w:pStyle w:val="Heading2"/>
      </w:pPr>
      <w:r>
        <w:rPr>
          <w:color w:val="177A50"/>
        </w:rPr>
        <w:t>2. Исходные условия</w:t>
      </w:r>
    </w:p>
    <w:p>
      <w:pPr>
        <w:pStyle w:val="Heading3"/>
      </w:pPr>
      <w:r>
        <w:rPr>
          <w:color w:val="177A50"/>
        </w:rPr>
        <w:t>2.1. Что даёт браслет</w:t>
      </w:r>
    </w:p>
    <w:p>
      <w:r>
        <w:t>Требования к заводу – RFQ v1.1 с дополнением 2 от 14.09.2026. Точные значения завод подтвердит после выбора модели, и выбранный завод может отдать не всё.</w:t>
      </w:r>
    </w:p>
    <w:p>
      <w:r>
        <w:rPr>
          <w:b/>
        </w:rPr>
        <w:t>Методология строится в двух ветках:</w:t>
      </w:r>
    </w:p>
    <w:p>
      <w:r>
        <w:t xml:space="preserve">1. </w:t>
      </w:r>
      <w:r>
        <w:rPr>
          <w:b/>
        </w:rPr>
        <w:t>Полная</w:t>
      </w:r>
      <w:r>
        <w:t xml:space="preserve"> – по таблице ниже: RR-интервалы всю ночь, сырая PPG по команде.</w:t>
      </w:r>
    </w:p>
    <w:p>
      <w:r>
        <w:t xml:space="preserve">2. </w:t>
      </w:r>
      <w:r>
        <w:rPr>
          <w:b/>
        </w:rPr>
        <w:t>Упрощённая</w:t>
      </w:r>
      <w:r>
        <w:t xml:space="preserve"> – ЧСС поминутно без RR-интервалов и без сырой PPG, SpO2 и температура по минимуму.</w:t>
      </w:r>
    </w:p>
    <w:p>
      <w:r>
        <w:t>Для каждого показателя исполнитель указывает: работает ли он в упрощённой ветке, каким методом и с какой потерей точности. Показатель, невозможный без RR-интервалов, помечается «только полная ветка».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Сигнал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Минимум, на который проектировать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Желательно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ЧСС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раз в секунду при нагрузке; ночью не реже раза в минуту; днём в покое раз в 1–10 мин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непрерывно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RR-интервалы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весь период сна, флаг качества на каждый интервал; разрешение ≤ 10 мс (</w:t>
            </w:r>
            <w:r>
              <w:rPr>
                <w:b/>
                <w:sz w:val="18"/>
              </w:rPr>
              <w:t>проверить</w:t>
            </w:r>
            <w:r>
              <w:rPr>
                <w:sz w:val="18"/>
              </w:rPr>
              <w:t xml:space="preserve"> у завода)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круглосуточно в покое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ВСР RMSSD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 5-минутным отрезкам ночью, ряд RR за каждым отрезком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собственный расчёт по RR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SpO2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не реже раза в 5 мин во сне, с флагом качества; по запросу днём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каждую минуту ночью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Частота дыхания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 5-минутным отрезкам во сне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ряд по минутам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Температура кожи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раз в минуту во сне, шаг 0,1 °C, погрешность ±0,3 °C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раз в минуту круглосуточно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Акселерометр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шаги и активность почасово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сырой сигнал 25–50 Гц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Сон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стадии по эпохам, метки засыпания и пробуждения (алгоритм завода)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собственный расчёт по сырым данным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Статус ношения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интервалы «на руке / снят»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Качество сигнала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индикатор на каждое измерение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Подтверждение напоминания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событие касания браслета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Сырая PPG и акселерометр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по команде приложения, сессия от 5 мин, ≥ 50 Гц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100 Гц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Событие нерегулярного ритма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метка времени; используется </w:t>
            </w:r>
            <w:r>
              <w:rPr>
                <w:b/>
                <w:sz w:val="18"/>
              </w:rPr>
              <w:t>только как флаг искажения</w:t>
            </w:r>
            <w:r>
              <w:rPr>
                <w:sz w:val="18"/>
              </w:rPr>
              <w:t xml:space="preserve"> (см. 3.1)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</w:tbl>
    <w:p/>
    <w:p>
      <w:r>
        <w:rPr>
          <w:b/>
        </w:rPr>
        <w:t>Браслет не измеряет</w:t>
      </w:r>
      <w:r>
        <w:t xml:space="preserve"> артериальное давление и глюкозу. Нет датчиков кожной проводимости, давления воздуха, звука.</w:t>
      </w:r>
    </w:p>
    <w:p>
      <w:pPr>
        <w:pStyle w:val="Heading3"/>
      </w:pPr>
      <w:r>
        <w:rPr>
          <w:color w:val="177A50"/>
        </w:rPr>
        <w:t>2.2. Что есть в медицинской карте Damumed</w:t>
      </w:r>
    </w:p>
    <w:p>
      <w:r>
        <w:t>Используется только для учёта искажающих факторов и настройки личной нормы, не для медицинских выводов.</w:t>
      </w:r>
    </w:p>
    <w:p>
      <w:r>
        <w:t>1. Возраст, пол, рост, вес.</w:t>
      </w:r>
    </w:p>
    <w:p>
      <w:r>
        <w:t>2. Назначенные лекарства с датами (важно: бета-блокаторы, ивабрадин, антиаритмики) – чтобы перезапускать базовый уровень при смене терапии и помечать искажения.</w:t>
      </w:r>
    </w:p>
    <w:p>
      <w:r>
        <w:t>3. Наличие хронических заболеваний (АГ, СД2, ИБС, ХСН, ФП) – как искажающий фактор, не как цель расчёта.</w:t>
      </w:r>
    </w:p>
    <w:p>
      <w:pPr>
        <w:pStyle w:val="Heading3"/>
      </w:pPr>
      <w:r>
        <w:rPr>
          <w:color w:val="177A50"/>
        </w:rPr>
        <w:t>2.3. Регуляторный статус</w:t>
      </w:r>
    </w:p>
    <w:p>
      <w:r>
        <w:t xml:space="preserve">1. </w:t>
      </w:r>
      <w:r>
        <w:rPr>
          <w:b/>
        </w:rPr>
        <w:t>Весь объём работы – wellness.</w:t>
      </w:r>
      <w:r>
        <w:t xml:space="preserve"> Показатели и формулировки не называют болезней, не ставят клинических порогов, не шлют тревог врачу.</w:t>
      </w:r>
    </w:p>
    <w:p>
      <w:r>
        <w:t>2. Клиническая версия (медизделие) – за рамками договора. Исполнитель не разрабатывает клинические пороги, скрининги заболеваний и материалы для регистрации.</w:t>
      </w:r>
    </w:p>
    <w:p>
      <w:pPr>
        <w:pStyle w:val="Heading3"/>
      </w:pPr>
      <w:r>
        <w:rPr>
          <w:color w:val="177A50"/>
        </w:rPr>
        <w:t>2.4. Целевые группы</w:t>
      </w:r>
    </w:p>
    <w:p>
      <w:r>
        <w:t>1. Пожилые пользователи 65+, в том числе с хроническими заболеваниями.</w:t>
      </w:r>
    </w:p>
    <w:p>
      <w:r>
        <w:t>2. Взрослые B2C-пользователи 18–64.</w:t>
      </w:r>
    </w:p>
    <w:p>
      <w:r>
        <w:t>3. Искажающие особенности группы 65+: фибрилляция предсердий и экстрасистолия, бета-блокаторы, тремор, сниженная перфузия, сухая истончённая кожа, медленная ходьба, ходьба с тростью или ходунками.</w:t>
      </w:r>
    </w:p>
    <w:p>
      <w:pPr>
        <w:pStyle w:val="Heading2"/>
      </w:pPr>
      <w:r>
        <w:rPr>
          <w:color w:val="177A50"/>
        </w:rPr>
        <w:t>3. Перечень показателей и обязательная карточка</w:t>
      </w:r>
    </w:p>
    <w:p>
      <w:pPr>
        <w:pStyle w:val="Heading3"/>
      </w:pPr>
      <w:r>
        <w:rPr>
          <w:color w:val="177A50"/>
        </w:rPr>
        <w:t>3.1. Приоритеты</w:t>
      </w:r>
    </w:p>
    <w:p>
      <w:r>
        <w:rPr>
          <w:b/>
        </w:rPr>
        <w:t>MVP – первая партия.</w:t>
      </w:r>
      <w:r>
        <w:t xml:space="preserve"> Срок методологии – неделя 10.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Режим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M1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Время ношения и полнота данных за сутки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служебный, приверженность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M2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Личный базовый уровень и коридор нормы (общий механизм для M5–M8)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служебный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M3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Общее время сна, латентность, пробуждения после засыпания, эффективность сна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wellness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M4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Регулярность сна (индекс SRI), середина сна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wellness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M5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Ночная ЧСС покоя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wellness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M6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Ночная вариабельность ритма (RMSSD, lnRMSSD)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wellness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M7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Ночная частота дыхания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wellness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M8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Ночное отклонение температуры кожи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wellness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M9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Шаги, минуты активности, время неподвижности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wellness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M10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Ночной SpO2 как тренд (без порогов болезни)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wellness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M11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Показатель восстановления (композит M3–M8) с разбивкой по вкладам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wellness</w:t>
            </w:r>
          </w:p>
        </w:tc>
      </w:tr>
    </w:tbl>
    <w:p/>
    <w:p>
      <w:r>
        <w:rPr>
          <w:b/>
        </w:rPr>
        <w:t>Вторая волна.</w:t>
      </w:r>
      <w:r>
        <w:t xml:space="preserve"> Срок методологии – неделя 30.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Стадии сна (только информационно)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B2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Хронотип, социальный джетлаг, долг сна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B3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Нагрузка: TRIMP Эдвардса и Банистера с поправкой на бета-блокаторы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B4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Оценка МПК (VO2max) без нагрузочного теста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B5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Дневная физиологическая активация по ВСР («стресс»)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B6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Ночное снижение ЧСС (день/ночь)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B7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Ортостатическая проба, управляемая приложением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B8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Приверженность напоминаниям (приём лекарств, измерение АД)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B9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Фазы менструального цикла по температуре (B2C)</w:t>
            </w:r>
          </w:p>
        </w:tc>
      </w:tr>
    </w:tbl>
    <w:p/>
    <w:p>
      <w:r>
        <w:rPr>
          <w:b/>
        </w:rPr>
        <w:t>Не разрабатывать</w:t>
      </w:r>
      <w:r>
        <w:t xml:space="preserve"> в этом договоре:</w:t>
      </w:r>
    </w:p>
    <w:p>
      <w:pPr>
        <w:pStyle w:val="ListBullet"/>
      </w:pPr>
      <w:r>
        <w:t>клиническую версию: ранние признаки декомпенсации ХСН, скрининг фибрилляции предсердий и нерегулярного ритма, скрининг апноэ и индекс ночных десатураций, хрупкость и риск падений, контроль ЧСС на терапии, сигналы врачу, признаки инфекции, связку с CGM;</w:t>
      </w:r>
    </w:p>
    <w:p>
      <w:pPr>
        <w:pStyle w:val="ListBullet"/>
      </w:pPr>
      <w:r>
        <w:t>биологический возраст и темп старения (доказательность слабая);</w:t>
      </w:r>
    </w:p>
    <w:p>
      <w:pPr>
        <w:pStyle w:val="ListBullet"/>
      </w:pPr>
      <w:r>
        <w:t>оценку АД и глюкозы по PPG.</w:t>
      </w:r>
    </w:p>
    <w:p>
      <w:r>
        <w:rPr>
          <w:b/>
        </w:rPr>
        <w:t>Нерегулярный ритм</w:t>
      </w:r>
      <w:r>
        <w:t xml:space="preserve"> в этом договоре – только искажающий фактор. Пользователю о ритме ничего не сообщается. Алгоритм помечает ночи с событиями нерегулярного ритма как «данные менее надёжны» и по правилам карточки исключает или ослабляет их вклад в ЧСС, ВСР и M11.</w:t>
      </w:r>
    </w:p>
    <w:p>
      <w:pPr>
        <w:pStyle w:val="Heading3"/>
      </w:pPr>
      <w:r>
        <w:rPr>
          <w:color w:val="177A50"/>
        </w:rPr>
        <w:t>3.2. Обязательная карточка показателя</w:t>
      </w:r>
    </w:p>
    <w:p>
      <w:r>
        <w:t>Каждый показатель описывается отдельной карточкой по шаблону. Карточка без любого из 12 разделов не принимается.</w:t>
      </w:r>
    </w:p>
    <w:p>
      <w:r>
        <w:t xml:space="preserve">1. </w:t>
      </w:r>
      <w:r>
        <w:rPr>
          <w:b/>
        </w:rPr>
        <w:t>Определение.</w:t>
      </w:r>
      <w:r>
        <w:t xml:space="preserve"> Одна фраза и единицы измерения.</w:t>
      </w:r>
    </w:p>
    <w:p>
      <w:r>
        <w:t xml:space="preserve">2. </w:t>
      </w:r>
      <w:r>
        <w:rPr>
          <w:b/>
        </w:rPr>
        <w:t>Физиологическое обоснование.</w:t>
      </w:r>
      <w:r>
        <w:t xml:space="preserve"> 3–5 предложений со ссылками.</w:t>
      </w:r>
    </w:p>
    <w:p>
      <w:r>
        <w:t xml:space="preserve">3. </w:t>
      </w:r>
      <w:r>
        <w:rPr>
          <w:b/>
        </w:rPr>
        <w:t>Входные данные.</w:t>
      </w:r>
      <w:r>
        <w:t xml:space="preserve"> Какие сигналы, частота, минимальная длительность.</w:t>
      </w:r>
    </w:p>
    <w:p>
      <w:r>
        <w:t xml:space="preserve">4. </w:t>
      </w:r>
      <w:r>
        <w:rPr>
          <w:b/>
        </w:rPr>
        <w:t>Минимальное качество сигнала.</w:t>
      </w:r>
      <w:r>
        <w:t xml:space="preserve"> Числом: доля валидных окон, индикатор качества, ношение. Что выдаётся при недостатке данных («недостаточно данных», не ноль).</w:t>
      </w:r>
    </w:p>
    <w:p>
      <w:r>
        <w:t xml:space="preserve">5. </w:t>
      </w:r>
      <w:r>
        <w:rPr>
          <w:b/>
        </w:rPr>
        <w:t>Алгоритм.</w:t>
      </w:r>
      <w:r>
        <w:t xml:space="preserve"> Формула и псевдокод (см. раздел 6) отдельно для полной и упрощённой ветки (раздел 2.1). Все константы с источником.</w:t>
      </w:r>
    </w:p>
    <w:p>
      <w:r>
        <w:t xml:space="preserve">6. </w:t>
      </w:r>
      <w:r>
        <w:rPr>
          <w:b/>
        </w:rPr>
        <w:t>Личный базовый уровень.</w:t>
      </w:r>
      <w:r>
        <w:t xml:space="preserve"> Окно (дней), прогрев (сколько валидных ночей до первого значения), устойчивость к пропускам, пересчёт после болезни и смены терапии.</w:t>
      </w:r>
    </w:p>
    <w:p>
      <w:r>
        <w:t xml:space="preserve">7. </w:t>
      </w:r>
      <w:r>
        <w:rPr>
          <w:b/>
        </w:rPr>
        <w:t>Шкала и пороги.</w:t>
      </w:r>
      <w:r>
        <w:t xml:space="preserve"> Диапазон значений и wellness-пороги подачи («в вашем обычном диапазоне» / «выше обычного»). Каждый порог – с обоснованием: литература или расчёт на данных.</w:t>
      </w:r>
    </w:p>
    <w:p>
      <w:r>
        <w:t xml:space="preserve">8. </w:t>
      </w:r>
      <w:r>
        <w:rPr>
          <w:b/>
        </w:rPr>
        <w:t>Интерпретация для пользователя.</w:t>
      </w:r>
      <w:r>
        <w:t xml:space="preserve"> Текст wellness-формулировкой </w:t>
      </w:r>
      <w:r>
        <w:rPr>
          <w:b/>
        </w:rPr>
        <w:t>на русском и казахском</w:t>
      </w:r>
      <w:r>
        <w:t xml:space="preserve"> – оба пишет исполнитель, до 200 знаков, без названий болезней. Карточка без казахского текста не принимается. </w:t>
      </w:r>
      <w:r>
        <w:rPr>
          <w:b/>
        </w:rPr>
        <w:t>В составе исполнителя обязателен врач, свободно владеющий казахским языком</w:t>
      </w:r>
      <w:r>
        <w:t xml:space="preserve"> устно и письменно, включая медицинскую терминологию. Он пишет и вычитывает казахские тексты всех карточек и отвечает за их смысловое совпадение с русскими. Владение языком подтверждается до подписания договора: образец текста 3 карточек на казахском.</w:t>
      </w:r>
    </w:p>
    <w:p>
      <w:r>
        <w:t xml:space="preserve">9. </w:t>
      </w:r>
      <w:r>
        <w:rPr>
          <w:b/>
        </w:rPr>
        <w:t>Справка для врача.</w:t>
      </w:r>
      <w:r>
        <w:t xml:space="preserve"> Как читать показатель, если пациент покажет его на приёме: что он значит и чего он не значит. Без порогов и тревог.</w:t>
      </w:r>
    </w:p>
    <w:p>
      <w:r>
        <w:t xml:space="preserve">10. </w:t>
      </w:r>
      <w:r>
        <w:rPr>
          <w:b/>
        </w:rPr>
        <w:t>Противопоказания и искажающие факторы.</w:t>
      </w:r>
      <w:r>
        <w:t xml:space="preserve"> Обязательно разобрать: ФП и экстрасистолия, бета-блокаторы и другие ритм-замедляющие препараты, кардиостимулятор, тремор, татуировка на запястье, тёмный фототип кожи, отёки, алкоголь, лихорадка, беременность, сменная работа. По каждому: как алгоритм это распознаёт и что делает (исключает, помечает, корректирует).</w:t>
      </w:r>
    </w:p>
    <w:p>
      <w:r>
        <w:t xml:space="preserve">11. </w:t>
      </w:r>
      <w:r>
        <w:rPr>
          <w:b/>
        </w:rPr>
        <w:t>План валидации.</w:t>
      </w:r>
      <w:r>
        <w:t xml:space="preserve"> Эталон, выборка с расчётом, метрика, порог приёмки (см. раздел 4).</w:t>
      </w:r>
    </w:p>
    <w:p>
      <w:r>
        <w:t xml:space="preserve">12. </w:t>
      </w:r>
      <w:r>
        <w:rPr>
          <w:b/>
        </w:rPr>
        <w:t>Уровень доказательности.</w:t>
      </w:r>
      <w:r>
        <w:t xml:space="preserve"> Сильная / умеренная / слабая, 3–10 ссылок (рецензируемые журналы, стандарты, регуляторные решения).</w:t>
      </w:r>
    </w:p>
    <w:p>
      <w:pPr>
        <w:pStyle w:val="Heading3"/>
      </w:pPr>
      <w:r>
        <w:rPr>
          <w:color w:val="177A50"/>
        </w:rPr>
        <w:t>3.3. Образец заполнения (сокращённо): M5 «Ночная ЧСС покоя»</w:t>
      </w:r>
    </w:p>
    <w:p>
      <w:r>
        <w:t>1. Определение: наименьшее среднее ЧСС за скользящее окно 10 мин в основном периоде сна, уд/мин.</w:t>
      </w:r>
    </w:p>
    <w:p>
      <w:r>
        <w:t>2. Обоснование: ЧСС покоя – устойчивый показатель восстановления; межсуточная вариабельность ~3 уд/мин (Quer 2020); точность носимых против ЭКГ MAPE 1,7–3,0 % (Dial 2025).</w:t>
      </w:r>
    </w:p>
    <w:p>
      <w:r>
        <w:t>3. Входные данные: ЧСС не реже раза в минуту в основном периоде сна ≥ 3 ч.</w:t>
      </w:r>
    </w:p>
    <w:p>
      <w:r>
        <w:t>4. Качество: ≥ 70 % минут сна с приемлемым индикатором качества; ношение ≥ 90 % периода сна.</w:t>
      </w:r>
    </w:p>
    <w:p>
      <w:r>
        <w:t>5. Алгоритм:</w:t>
      </w:r>
    </w:p>
    <w:p>
      <w:pPr>
        <w:spacing w:after="0"/>
        <w:ind w:left="567"/>
      </w:pPr>
      <w:r>
        <w:rPr>
          <w:rFonts w:ascii="Courier New" w:hAnsi="Courier New"/>
          <w:sz w:val="18"/>
        </w:rPr>
        <w:t>ряд = ЧСС_по_минутам(основной_сон)</w:t>
      </w:r>
    </w:p>
    <w:p>
      <w:pPr>
        <w:spacing w:after="0"/>
        <w:ind w:left="567"/>
      </w:pPr>
      <w:r>
        <w:rPr>
          <w:rFonts w:ascii="Courier New" w:hAnsi="Courier New"/>
          <w:sz w:val="18"/>
        </w:rPr>
        <w:t>ряд = исключить(ряд, качество &lt; порог_качества или движение &gt; порог_движения)</w:t>
      </w:r>
    </w:p>
    <w:p>
      <w:pPr>
        <w:spacing w:after="0"/>
        <w:ind w:left="567"/>
      </w:pPr>
      <w:r>
        <w:rPr>
          <w:rFonts w:ascii="Courier New" w:hAnsi="Courier New"/>
          <w:sz w:val="18"/>
        </w:rPr>
        <w:t>если доля_валидных(ряд) &lt; 0.70: вернуть НЕДОСТАТОЧНО_ДАННЫХ</w:t>
      </w:r>
    </w:p>
    <w:p>
      <w:pPr>
        <w:spacing w:after="0"/>
        <w:ind w:left="567"/>
      </w:pPr>
      <w:r>
        <w:rPr>
          <w:rFonts w:ascii="Courier New" w:hAnsi="Courier New"/>
          <w:sz w:val="18"/>
        </w:rPr>
        <w:t>скользящее = скользящее_среднее(ряд, окно = 10 мин, минимум_точек = 7)</w:t>
      </w:r>
    </w:p>
    <w:p>
      <w:pPr>
        <w:spacing w:after="0"/>
        <w:ind w:left="567"/>
      </w:pPr>
      <w:r>
        <w:rPr>
          <w:rFonts w:ascii="Courier New" w:hAnsi="Courier New"/>
          <w:sz w:val="18"/>
        </w:rPr>
        <w:t>вернуть округлить(минимум(скользящее), 1)</w:t>
      </w:r>
    </w:p>
    <w:p/>
    <w:p>
      <w:r>
        <w:t>6. Базовый уровень: медиана за 28 последних валидных ночей; прогрев – 7 валидных ночей; коридор – медиана ± 1,5 × MAD.</w:t>
      </w:r>
    </w:p>
    <w:p>
      <w:r>
        <w:t>7. Пороги: «в вашем обычном диапазоне» / «выше обычного» (&gt; коридора 2 ночи подряд).</w:t>
      </w:r>
    </w:p>
    <w:p>
      <w:r>
        <w:t>8. Пользователю: «Пульс во сне выше вашего обычного уровня уже 2 ночи. Так бывает при недосыпе, алкоголе или начале простуды».</w:t>
      </w:r>
    </w:p>
    <w:p>
      <w:r>
        <w:t>9. Справка для врача: показатель отражает восстановление за ночь; не заменяет ЭКГ и не оценивает эффективность терапии.</w:t>
      </w:r>
    </w:p>
    <w:p>
      <w:r>
        <w:t>10. Искажения: ФП завышает и делает ряд нестабильным – при нерегулярном ритме значение помечается; смена дозы бета-блокатора – перезапуск базового уровня.</w:t>
      </w:r>
    </w:p>
    <w:p>
      <w:r>
        <w:t>11. Валидация: Холтер, 60 человек (раздел 4.2), MAE ≤ 3 уд/мин, CCC ≥ 0,90.</w:t>
      </w:r>
    </w:p>
    <w:p>
      <w:r>
        <w:t>12. Доказательность: сильная.</w:t>
      </w:r>
    </w:p>
    <w:p>
      <w:pPr>
        <w:pStyle w:val="Heading2"/>
      </w:pPr>
      <w:r>
        <w:rPr>
          <w:color w:val="177A50"/>
        </w:rPr>
        <w:t>4. Требования к валидации точности</w:t>
      </w:r>
    </w:p>
    <w:p>
      <w:pPr>
        <w:pStyle w:val="Heading3"/>
      </w:pPr>
      <w:r>
        <w:rPr>
          <w:color w:val="177A50"/>
        </w:rPr>
        <w:t>4.1. Общие требования</w:t>
      </w:r>
    </w:p>
    <w:p>
      <w:r>
        <w:t>1. Рамка – DiMe V3: проверка датчика, аналитическая валидация алгоритма, проверка удобства. Клиническая валидация (связь с исходами заболеваний) в объём не входит.</w:t>
      </w:r>
    </w:p>
    <w:p>
      <w:r>
        <w:t>2. Протоколы – наблюдательные исследования без влияния на лечение, по принципам ISO 14155:2020 (</w:t>
      </w:r>
      <w:r>
        <w:rPr>
          <w:b/>
        </w:rPr>
        <w:t>проверить</w:t>
      </w:r>
      <w:r>
        <w:t xml:space="preserve"> актуальную редакцию).</w:t>
      </w:r>
    </w:p>
    <w:p>
      <w:r>
        <w:t>3. Статистика согласия: Бленд–Альтман со смещением и 95 % пределами согласия, MAE, MAPE, коэффициент конкордантности Лина (CCC), ICC, каппа Коэна для классов.</w:t>
      </w:r>
    </w:p>
    <w:p>
      <w:r>
        <w:t>4. В каждой выборке не менее 40 % участников 65+, не менее 25 % на бета-блокаторах, фиксация фототипа кожи и ИМТ.</w:t>
      </w:r>
    </w:p>
    <w:p>
      <w:r>
        <w:t>5. Выборка рассчитывается заранее с указанием формулы и допущений. Минимумы ниже – нижняя граница.</w:t>
      </w:r>
    </w:p>
    <w:p>
      <w:r>
        <w:t>6. Анализ по заранее зарегистрированному плану; разработчики алгоритма не видят эталонные данные тестовой выборки до фиксации версии алгоритма.</w:t>
      </w:r>
    </w:p>
    <w:p>
      <w:pPr>
        <w:pStyle w:val="Heading3"/>
      </w:pPr>
      <w:r>
        <w:rPr>
          <w:color w:val="177A50"/>
        </w:rPr>
        <w:t>4.2. Пилотные исследования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Исследование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Эталон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Выборка (минимум)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Метрики и порог приёмки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V1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Сон против полисомнографии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ПСГ по правилам AASM, 1 ночь в лаборатории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80 человек: 40 в возрасте 65+, 10 с ФП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общее время сна: смещение ≤ 30 мин, в пределах ±30 мин в 80 % ночей; сон/бодрствование по эпохам: чувствительность ≥ 90 %, специфичность ≥ 50 %; 4 стадии: каппа ≥ 0,50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V2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ЧСС, RR-интервалы, ВСР против Холтера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Холтер 24 ч или нагрудный ЭКГ-датчик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60 человек: 20 с ФП или частой экстрасистолией, 20 на бета-блокаторах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ночная ЧСС: MAE ≤ 3 уд/мин, CCC ≥ 0,90; RMSSD на чистых окнах: MAPE ≤ 15 %, CCC ≥ 0,85; детекция ударов ≥ 90 % на чистом 5-мин окне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V3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Частота дыхания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термистор/поток ПСГ (совмещается с V1)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80 человек из V1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средняя за ночь: RMSE ≤ 1,5 дых/мин; поминутная: доля в пределах ±2 дых/мин ≥ 85 %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V4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SpO2 как тренд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медицинский пальцевой оксиметр, ночь в лаборатории сна (совмещается с V1)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40 человек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смещение и пределы согласия; Arms ≤ 3,5 % в диапазоне 80–100 %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V5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Температура кожи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эталонный кожный термометр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 человек, 3 ночи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±0,3 °C (как в спецификации завода)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V6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Шаги и ходьба у 65+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видеозапись/ручной счёт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60 человек 65+, из них 20 с тростью или ходунками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шаги MAPE ≤ 10 % при обычной ходьбе, ≤ 20 % при медленной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V7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Удобство для 65+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задачи в приложении, IEC 62366-1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 человек 65+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≥ 80 % выполняют ключевые задачи без помощи</w:t>
            </w:r>
          </w:p>
        </w:tc>
      </w:tr>
    </w:tbl>
    <w:p/>
    <w:p>
      <w:pPr>
        <w:pStyle w:val="Heading3"/>
      </w:pPr>
      <w:r>
        <w:rPr>
          <w:color w:val="177A50"/>
        </w:rPr>
        <w:t>4.3. Расчёт выборки: образцы формул</w:t>
      </w:r>
    </w:p>
    <w:p>
      <w:r>
        <w:t>1. Чувствительность или специфичность с заданной точностью: n = z² × p × (1 – p) / d². Пример: чувствительность 0,90 ± 0,05 при z = 1,96 → 139 наблюдений.</w:t>
      </w:r>
    </w:p>
    <w:p>
      <w:r>
        <w:t>2. Согласие по Бленд–Альтману: метод Lu et al. 2016 от ожидаемого смещения, SD разностей и допустимых пределов.</w:t>
      </w:r>
    </w:p>
    <w:p>
      <w:r>
        <w:t>3. Референсные интервалы: ≥ 120 человек на страту (CLSI EP28-A3c).</w:t>
      </w:r>
    </w:p>
    <w:p>
      <w:pPr>
        <w:pStyle w:val="Heading3"/>
      </w:pPr>
      <w:r>
        <w:rPr>
          <w:color w:val="177A50"/>
        </w:rPr>
        <w:t>4.4. Этика и одобрения</w:t>
      </w:r>
    </w:p>
    <w:p>
      <w:r>
        <w:t xml:space="preserve">1. </w:t>
      </w:r>
      <w:r>
        <w:rPr>
          <w:b/>
        </w:rPr>
        <w:t>Базы и оплата.</w:t>
      </w:r>
      <w:r>
        <w:t xml:space="preserve"> Клинические базы (лаборатория сна, Холтер, кардиологические центры) заказчик подбирает, с ними договаривается и оплачивает их отдельно. Исполнитель пишет протоколы, готовит пакет в комиссию по биоэтике, сопровождает исследования на базах и анализирует данные.</w:t>
      </w:r>
    </w:p>
    <w:p>
      <w:r>
        <w:t xml:space="preserve">2. Каждое исследование с участием людей – одобрение локальной комиссии по биоэтике базы. Порядок работы комиссий – Кодекс РК № 360-VI, ст. 228; Центральная комиссия по биоэтике – приказ МЗ РК № ҚР ДСМ-151/2020 (ред. 30.11.2025); отдельный акт о локальных комиссиях – </w:t>
      </w:r>
      <w:r>
        <w:rPr>
          <w:b/>
        </w:rPr>
        <w:t>проверить</w:t>
      </w:r>
      <w:r>
        <w:t>.</w:t>
      </w:r>
    </w:p>
    <w:p>
      <w:r>
        <w:t xml:space="preserve">3. Наблюдательные исследования V1–V7 без влияния на лечение – </w:t>
      </w:r>
      <w:r>
        <w:rPr>
          <w:b/>
        </w:rPr>
        <w:t>проверить</w:t>
      </w:r>
      <w:r>
        <w:t xml:space="preserve"> с НЦЭЛС, нужны ли разрешения кроме комиссии по биоэтике.</w:t>
      </w:r>
    </w:p>
    <w:p>
      <w:r>
        <w:t>4. Информированное согласие отдельно на: участие, обработку персональных и медицинских данных (Закон РК № 94-V), передачу обезличенных данных разработчикам, публикацию.</w:t>
      </w:r>
    </w:p>
    <w:p>
      <w:r>
        <w:t>5. Данные хранятся в РК; исполнитель получает только обезличенные наборы. Права на данные – раздел 8.</w:t>
      </w:r>
    </w:p>
    <w:p>
      <w:pPr>
        <w:pStyle w:val="Heading2"/>
      </w:pPr>
      <w:r>
        <w:rPr>
          <w:color w:val="177A50"/>
        </w:rPr>
        <w:t>5. Требования к wellness-формулировкам</w:t>
      </w:r>
    </w:p>
    <w:p>
      <w:r>
        <w:t>Исполнитель для каждого показателя проверяет формулировки по таблице.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Можно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Нельзя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«Пульс во сне выше вашего обычного»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«Признаки декомпенсации сердечной недостаточности»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«Сон нерегулярный: время отхода ко сну меняется на 2 часа»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«Риск смерти повышен»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«Кислород во сне в вашем обычном диапазоне»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«Подозрение на апноэ сна»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Советы по образу жизни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Советы по лекарствам и дозам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Сравнение с собственной нормой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Сравнение с клиническим порогом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Упоминание нерегулярного ритма и фибрилляции предсердий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Автоматическое уведомление врача</w:t>
            </w:r>
          </w:p>
        </w:tc>
      </w:tr>
    </w:tbl>
    <w:p/>
    <w:p>
      <w:r>
        <w:t xml:space="preserve">Правило: пользователю </w:t>
      </w:r>
      <w:r>
        <w:rPr>
          <w:b/>
        </w:rPr>
        <w:t>не показывать</w:t>
      </w:r>
      <w:r>
        <w:t xml:space="preserve"> названия болезней, клинические пороги, тревоги и рекомендации «обратиться к врачу» по конкретному показателю. Общая фраза «при плохом самочувствии обратитесь к врачу» допустима.</w:t>
      </w:r>
    </w:p>
    <w:p>
      <w:pPr>
        <w:pStyle w:val="Heading2"/>
      </w:pPr>
      <w:r>
        <w:rPr>
          <w:color w:val="177A50"/>
        </w:rPr>
        <w:t>6. Требования к передаче алгоритма программистам</w:t>
      </w:r>
    </w:p>
    <w:p>
      <w:r>
        <w:t xml:space="preserve">1. </w:t>
      </w:r>
      <w:r>
        <w:rPr>
          <w:b/>
        </w:rPr>
        <w:t>Псевдокод</w:t>
      </w:r>
      <w:r>
        <w:t xml:space="preserve"> – в едином формате, согласованном на этапе 0: русские имена переменных допустимы, типы и единицы указываются явно, все константы вынесены в таблицу параметров.</w:t>
      </w:r>
    </w:p>
    <w:p>
      <w:r>
        <w:t xml:space="preserve">2. </w:t>
      </w:r>
      <w:r>
        <w:rPr>
          <w:b/>
        </w:rPr>
        <w:t>Эталонная реализация</w:t>
      </w:r>
      <w:r>
        <w:t xml:space="preserve"> – исполнитель пишет эталонный расчёт на Python или R для каждого показателя MVP и второй волны. Код передаётся заказчику, не для продакшна, а как «истина» для тестов.</w:t>
      </w:r>
    </w:p>
    <w:p>
      <w:r>
        <w:t xml:space="preserve">3. </w:t>
      </w:r>
      <w:r>
        <w:rPr>
          <w:b/>
        </w:rPr>
        <w:t>Эталонные наборы данных</w:t>
      </w:r>
      <w:r>
        <w:t xml:space="preserve"> – по каждому показателю не менее 30 записей, в том числе обязательно: - нормальная ночь; - короткий сон менее 3 ч; - браслет снят в середине ночи; - низкое качество сигнала более 40 % времени; - фибрилляция предсердий; - частая экстрасистолия; - пользователь на бета-блокаторе; - смена часового пояса; - первые 1, 6, 7 и 8 дней ношения (прогрев базового уровня); - пропуск 5 дней подряд.</w:t>
      </w:r>
    </w:p>
    <w:p>
      <w:r>
        <w:t xml:space="preserve">4. </w:t>
      </w:r>
      <w:r>
        <w:rPr>
          <w:b/>
        </w:rPr>
        <w:t>Ожидаемые результаты</w:t>
      </w:r>
      <w:r>
        <w:t xml:space="preserve"> – для каждой записи файл с выходными значениями и промежуточными величинами (в формате JSON или CSV по схеме, согласованной с командой разработки).</w:t>
      </w:r>
    </w:p>
    <w:p>
      <w:r>
        <w:t xml:space="preserve">5. </w:t>
      </w:r>
      <w:r>
        <w:rPr>
          <w:b/>
        </w:rPr>
        <w:t>Допустимые отклонения</w:t>
      </w:r>
      <w:r>
        <w:t xml:space="preserve"> реализации от эталона: - детерминированные расчёты (RMSSD, SRI, шаги, TRIMP): расхождение ≤ 0,5 % или ≤ 0,1 единицы; - ЧСС и ЧД: ≤ 0,5 уд/мин и ≤ 0,2 дых/мин; - температура: ≤ 0,02 °C; - классы и флаги: полное совпадение.</w:t>
      </w:r>
    </w:p>
    <w:p>
      <w:r>
        <w:t xml:space="preserve">6. </w:t>
      </w:r>
      <w:r>
        <w:rPr>
          <w:b/>
        </w:rPr>
        <w:t>Время.</w:t>
      </w:r>
      <w:r>
        <w:t xml:space="preserve"> Хранение в UTC, отображение в часовом поясе пользователя (для Астаны UTC+5); «ночь» определяется по основному периоду сна, а не по календарным суткам.</w:t>
      </w:r>
    </w:p>
    <w:p>
      <w:r>
        <w:t xml:space="preserve">7. </w:t>
      </w:r>
      <w:r>
        <w:rPr>
          <w:b/>
        </w:rPr>
        <w:t>Версионирование.</w:t>
      </w:r>
      <w:r>
        <w:t xml:space="preserve"> У каждой карточки номер версии (1.0, 1.1, 2.0) и журнал изменений. Изменение порога или формулы – новая версия и повторный прогон эталонных наборов.</w:t>
      </w:r>
    </w:p>
    <w:p>
      <w:r>
        <w:t xml:space="preserve">8. </w:t>
      </w:r>
      <w:r>
        <w:rPr>
          <w:b/>
        </w:rPr>
        <w:t>Воспроизводимость.</w:t>
      </w:r>
      <w:r>
        <w:t xml:space="preserve"> Один и тот же вход всегда даёт один и тот же выход; случайность запрещена.</w:t>
      </w:r>
    </w:p>
    <w:p>
      <w:pPr>
        <w:pStyle w:val="Heading2"/>
      </w:pPr>
      <w:r>
        <w:rPr>
          <w:color w:val="177A50"/>
        </w:rPr>
        <w:t>7. Результаты и критерии приёмки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Контрольная точка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 приёмки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КТ0 (неделя 2)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шаблон карточки, формат псевдокода, план работ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утверждён заказчиком и командой разработки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КТ1 (неделя 10)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11 карточек MVP; эталонный код; ≥ 30 эталонных записей на показатель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все 12 разделов заполнены, тексты на русском и казахском, обе ветки алгоритма; программист независимо воспроизвёл 3 случайных показателя по карточке с отклонением в пределах раздела 6.5; внешний рецензент без замечаний уровня «критично»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КТ2 (неделя 16)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7 протоколов валидации; расчёт выборок; пакет для комиссии по биоэтике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протоколы соответствуют разделу 4.1; пакет принят комиссией к рассмотрению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КТ3 (неделя 30)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9 карточек второй волны; отчёт о валидации точности MVP; обновлённые пороги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отчёт содержит все метрики раздела 4.2; по каждому показателю вердикт «принят / доработать / исключить»; расхождения с порогами объяснены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Итог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сводный документ методологии (конфиденциально)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принят заказчиком</w:t>
            </w:r>
          </w:p>
        </w:tc>
      </w:tr>
    </w:tbl>
    <w:p/>
    <w:p>
      <w:r>
        <w:t>Приёмка – поэтапно, актом по каждой контрольной точке. На каждой контрольной точке – очная защита перед заказчиком и внешним рецензентом под NDA (врач или специалист по цифровой медицине, не входящий в группу).</w:t>
      </w:r>
    </w:p>
    <w:p>
      <w:pPr>
        <w:pStyle w:val="Heading2"/>
      </w:pPr>
      <w:r>
        <w:rPr>
          <w:color w:val="177A50"/>
        </w:rPr>
        <w:t>8. Права на результаты и добросовестность</w:t>
      </w:r>
    </w:p>
    <w:p>
      <w:r>
        <w:t>1. Исключительные права на методологию, карточки, код, наборы данных и отчёты принадлежат заказчику с момента создания. Авторы сохраняют право авторства.</w:t>
      </w:r>
    </w:p>
    <w:p>
      <w:r>
        <w:t xml:space="preserve">2. </w:t>
      </w:r>
      <w:r>
        <w:rPr>
          <w:b/>
        </w:rPr>
        <w:t>Методология – коммерческая тайна заказчика</w:t>
      </w:r>
      <w:r>
        <w:t>: формулы, константы, веса, пороги, псевдокод, эталонный код и эталонные наборы не публикуются и не передаются третьим лицам.</w:t>
      </w:r>
    </w:p>
    <w:p>
      <w:r>
        <w:t xml:space="preserve">3. </w:t>
      </w:r>
      <w:r>
        <w:rPr>
          <w:b/>
        </w:rPr>
        <w:t>Данные пилота</w:t>
      </w:r>
      <w:r>
        <w:t xml:space="preserve"> принадлежат Damumed. Исполнитель получает обезличенные наборы только для работы по ТЗ и удаляет их после окончания договора. Использовать данные в научных статьях можно по письменному согласованию с заказчиком и без раскрытия методологии (пункт 2).</w:t>
      </w:r>
    </w:p>
    <w:p>
      <w:r>
        <w:t>4. Конфиденциальность: методология и медицинские данные – бессрочно; остальные сведения по NDA – 5 лет после окончания договора.</w:t>
      </w:r>
    </w:p>
    <w:p>
      <w:r>
        <w:t xml:space="preserve">5. </w:t>
      </w:r>
      <w:r>
        <w:rPr>
          <w:b/>
        </w:rPr>
        <w:t>Запрещено:</w:t>
      </w:r>
      <w:r>
        <w:t xml:space="preserve"> - использовать закрытые алгоритмы, внутренние документы, утёкшие материалы и исходный код WHOOP, Oura, Google/Fitbit, Garmin, Samsung, Apple и других производителей; - разбирать приложения и прошивки конкурентов для извлечения формул; - использовать материалы, полученные участниками группы под NDA от других компаний; - встраивать код с лицензиями, требующими открытия нашего кода, без письменного решения заказчика.</w:t>
      </w:r>
    </w:p>
    <w:p>
      <w:r>
        <w:t xml:space="preserve">6. </w:t>
      </w:r>
      <w:r>
        <w:rPr>
          <w:b/>
        </w:rPr>
        <w:t>Разрешено:</w:t>
      </w:r>
      <w:r>
        <w:t xml:space="preserve"> рецензируемые статьи, стандарты (CTA, ISO, IEC), регуляторные документы в открытом доступе (решения FDA, публичные сводки), публичные белые книги производителей – со ссылкой.</w:t>
      </w:r>
    </w:p>
    <w:p>
      <w:r>
        <w:t>7. Каждая формула и константа в карточке имеет ссылку на открытый источник или на собственные данные заказчика.</w:t>
      </w:r>
    </w:p>
    <w:p>
      <w:r>
        <w:t>8. Каждый участник подписывает декларацию об отсутствии конфликта интересов: консультирование, гранты, акции производителей носимых устройств за последние 3 года.</w:t>
      </w:r>
    </w:p>
    <w:p>
      <w:pPr>
        <w:pStyle w:val="Heading2"/>
      </w:pPr>
      <w:r>
        <w:rPr>
          <w:color w:val="177A50"/>
        </w:rPr>
        <w:t>9. Решения заказчика (14.09.2026)</w:t>
      </w:r>
    </w:p>
    <w:p>
      <w:r>
        <w:t xml:space="preserve">1. </w:t>
      </w:r>
      <w:r>
        <w:rPr>
          <w:b/>
        </w:rPr>
        <w:t>Сводный показатель восстановления (M11)</w:t>
      </w:r>
      <w:r>
        <w:t xml:space="preserve"> – показываем пользователю, с разбивкой по вкладам составляющих; формула и веса не раскрываются.</w:t>
      </w:r>
    </w:p>
    <w:p>
      <w:r>
        <w:t xml:space="preserve">2. </w:t>
      </w:r>
      <w:r>
        <w:rPr>
          <w:b/>
        </w:rPr>
        <w:t>Данные браслета</w:t>
      </w:r>
      <w:r>
        <w:t xml:space="preserve"> – методология в двух ветках, полной и упрощённой (раздел 2.1); выбор завода от неё не зависит.</w:t>
      </w:r>
    </w:p>
    <w:p>
      <w:r>
        <w:t xml:space="preserve">3. </w:t>
      </w:r>
      <w:r>
        <w:rPr>
          <w:b/>
        </w:rPr>
        <w:t>Проверка точности</w:t>
      </w:r>
      <w:r>
        <w:t xml:space="preserve"> – клинические базы подбирает и оплачивает заказчик; исполнитель пишет протоколы и анализирует (раздел 4.4).</w:t>
      </w:r>
    </w:p>
    <w:p>
      <w:r>
        <w:t xml:space="preserve">4. </w:t>
      </w:r>
      <w:r>
        <w:rPr>
          <w:b/>
        </w:rPr>
        <w:t>Данные пилота</w:t>
      </w:r>
      <w:r>
        <w:t xml:space="preserve"> – принадлежат Damumed; статьи по данным – по согласованию, без раскрытия методологии (раздел 8).</w:t>
      </w:r>
    </w:p>
    <w:p>
      <w:r>
        <w:t xml:space="preserve">5. </w:t>
      </w:r>
      <w:r>
        <w:rPr>
          <w:b/>
        </w:rPr>
        <w:t>Языки</w:t>
      </w:r>
      <w:r>
        <w:t xml:space="preserve"> – тексты для пользователя на русском и казахском пишет исполнитель; в группе обязателен врач со свободным казахским (раздел 3.2).</w:t>
      </w:r>
    </w:p>
    <w:p>
      <w:r>
        <w:t xml:space="preserve">6. </w:t>
      </w:r>
      <w:r>
        <w:rPr>
          <w:b/>
        </w:rPr>
        <w:t>Публикация методологии</w:t>
      </w:r>
      <w:r>
        <w:t xml:space="preserve"> – нет, коммерческая тайна заказчика (раздел 8).</w:t>
      </w:r>
    </w:p>
    <w:p>
      <w:r>
        <w:t xml:space="preserve">7. </w:t>
      </w:r>
      <w:r>
        <w:rPr>
          <w:b/>
        </w:rPr>
        <w:t>Нерегулярный ритм</w:t>
      </w:r>
      <w:r>
        <w:t xml:space="preserve"> – только как флаг искажения, пользователю не сообщается (раздел 3.1).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