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94EF1">
      <w:pPr>
        <w:spacing w:before="0" w:after="0" w:line="360" w:lineRule="auto"/>
      </w:pPr>
    </w:p>
    <w:p w14:paraId="052054C8">
      <w:pPr>
        <w:spacing w:before="0" w:after="0" w:line="360" w:lineRule="auto"/>
      </w:pPr>
    </w:p>
    <w:p w14:paraId="596FD791">
      <w:pPr>
        <w:spacing w:before="0" w:after="0" w:line="360" w:lineRule="auto"/>
      </w:pPr>
    </w:p>
    <w:p w14:paraId="2CC7E7A5">
      <w:pPr>
        <w:spacing w:before="0" w:after="0" w:line="360" w:lineRule="auto"/>
        <w:jc w:val="center"/>
      </w:pPr>
      <w:r>
        <w:rPr>
          <w:rFonts w:ascii="黑体" w:hAnsi="黑体" w:eastAsia="黑体"/>
          <w:b/>
          <w:bCs/>
          <w:sz w:val="44"/>
          <w:szCs w:val="44"/>
        </w:rPr>
        <w:t>石家庄铁道大学</w:t>
      </w:r>
    </w:p>
    <w:p w14:paraId="2111DDBD">
      <w:pPr>
        <w:spacing w:before="0" w:after="0" w:line="360" w:lineRule="auto"/>
        <w:jc w:val="center"/>
      </w:pPr>
      <w:r>
        <w:rPr>
          <w:rFonts w:ascii="黑体" w:hAnsi="黑体" w:eastAsia="黑体"/>
          <w:b/>
          <w:bCs/>
          <w:sz w:val="36"/>
          <w:szCs w:val="36"/>
        </w:rPr>
        <w:t>大学生创新创业训练计划项目</w:t>
      </w:r>
    </w:p>
    <w:p w14:paraId="7B4DB13A">
      <w:pPr>
        <w:spacing w:before="0" w:after="0" w:line="360" w:lineRule="auto"/>
      </w:pPr>
    </w:p>
    <w:p w14:paraId="384A039A">
      <w:pPr>
        <w:spacing w:before="0" w:after="0" w:line="360" w:lineRule="auto"/>
      </w:pPr>
    </w:p>
    <w:p w14:paraId="50A5E0D1">
      <w:pPr>
        <w:spacing w:before="0" w:after="0" w:line="360" w:lineRule="auto"/>
        <w:jc w:val="center"/>
      </w:pPr>
      <w:r>
        <w:rPr>
          <w:rFonts w:ascii="黑体" w:hAnsi="黑体" w:eastAsia="黑体"/>
          <w:b/>
          <w:bCs/>
          <w:sz w:val="56"/>
          <w:szCs w:val="56"/>
        </w:rPr>
        <w:t>项  目  计  划  书</w:t>
      </w:r>
    </w:p>
    <w:p w14:paraId="704D0FF7">
      <w:pPr>
        <w:spacing w:before="0" w:after="0" w:line="360" w:lineRule="auto"/>
      </w:pPr>
    </w:p>
    <w:p w14:paraId="1F9EC6D8">
      <w:pPr>
        <w:spacing w:before="0" w:after="0" w:line="360" w:lineRule="auto"/>
      </w:pPr>
    </w:p>
    <w:p w14:paraId="74B93BE2">
      <w:pPr>
        <w:spacing w:before="0" w:after="0" w:line="360" w:lineRule="auto"/>
      </w:pPr>
    </w:p>
    <w:p w14:paraId="1547B4B9">
      <w:pPr>
        <w:spacing w:before="0" w:after="0" w:line="360" w:lineRule="auto"/>
      </w:pPr>
    </w:p>
    <w:p w14:paraId="0A0E0860">
      <w:pPr>
        <w:spacing w:before="60" w:after="60" w:line="360" w:lineRule="auto"/>
        <w:jc w:val="center"/>
        <w:rPr>
          <w:rFonts w:hint="default" w:eastAsia="宋体"/>
          <w:lang w:val="en-US" w:eastAsia="zh-CN"/>
        </w:rPr>
      </w:pPr>
      <w:r>
        <w:rPr>
          <w:rFonts w:ascii="黑体" w:hAnsi="黑体" w:eastAsia="黑体"/>
          <w:b/>
          <w:bCs/>
          <w:sz w:val="24"/>
          <w:szCs w:val="24"/>
        </w:rPr>
        <w:t>项目名称：</w:t>
      </w:r>
      <w:r>
        <w:rPr>
          <w:rFonts w:ascii="宋体" w:hAnsi="宋体" w:eastAsia="宋体"/>
          <w:sz w:val="24"/>
          <w:szCs w:val="24"/>
        </w:rPr>
        <w:t>铁路危险货物运输</w:t>
      </w:r>
      <w:r>
        <w:rPr>
          <w:rFonts w:hint="eastAsia" w:ascii="宋体" w:hAnsi="宋体" w:eastAsia="宋体"/>
          <w:sz w:val="24"/>
          <w:szCs w:val="24"/>
          <w:lang w:eastAsia="zh-CN"/>
        </w:rPr>
        <w:t>“</w:t>
      </w:r>
      <w:r>
        <w:rPr>
          <w:rFonts w:hint="eastAsia" w:ascii="宋体" w:hAnsi="宋体" w:eastAsia="宋体"/>
          <w:sz w:val="24"/>
          <w:szCs w:val="24"/>
          <w:lang w:val="en-US" w:eastAsia="zh-CN"/>
        </w:rPr>
        <w:t>双重预防机制”一体化信息平台研发</w:t>
      </w:r>
    </w:p>
    <w:p w14:paraId="307C0884">
      <w:pPr>
        <w:spacing w:before="60" w:after="60" w:line="360" w:lineRule="auto"/>
        <w:jc w:val="center"/>
      </w:pPr>
      <w:r>
        <w:rPr>
          <w:rFonts w:ascii="黑体" w:hAnsi="黑体" w:eastAsia="黑体"/>
          <w:b/>
          <w:bCs/>
          <w:sz w:val="24"/>
          <w:szCs w:val="24"/>
        </w:rPr>
        <w:t>项目类别：</w:t>
      </w:r>
      <w:r>
        <w:rPr>
          <w:rFonts w:ascii="宋体" w:hAnsi="宋体" w:eastAsia="宋体"/>
          <w:sz w:val="24"/>
          <w:szCs w:val="24"/>
        </w:rPr>
        <w:t>创新训练项目</w:t>
      </w:r>
    </w:p>
    <w:p w14:paraId="0A2037B4">
      <w:pPr>
        <w:spacing w:before="60" w:after="60" w:line="360" w:lineRule="auto"/>
        <w:jc w:val="center"/>
        <w:rPr>
          <w:rFonts w:ascii="宋体" w:hAnsi="宋体" w:eastAsia="宋体"/>
          <w:sz w:val="24"/>
          <w:szCs w:val="24"/>
        </w:rPr>
      </w:pPr>
      <w:r>
        <w:rPr>
          <w:rFonts w:ascii="黑体" w:hAnsi="黑体" w:eastAsia="黑体"/>
          <w:b/>
          <w:bCs/>
          <w:sz w:val="24"/>
          <w:szCs w:val="24"/>
        </w:rPr>
        <w:t>项目负责人：</w:t>
      </w:r>
      <w:r>
        <w:rPr>
          <w:rFonts w:ascii="宋体" w:hAnsi="宋体" w:eastAsia="宋体"/>
          <w:sz w:val="24"/>
          <w:szCs w:val="24"/>
        </w:rPr>
        <w:t>郭宇翔</w:t>
      </w:r>
    </w:p>
    <w:p w14:paraId="7E6710AB">
      <w:pPr>
        <w:spacing w:before="60" w:after="60" w:line="360" w:lineRule="auto"/>
        <w:jc w:val="center"/>
        <w:rPr>
          <w:rFonts w:hint="default" w:ascii="宋体" w:hAnsi="宋体" w:eastAsia="宋体"/>
          <w:sz w:val="24"/>
          <w:szCs w:val="24"/>
          <w:lang w:val="en-US" w:eastAsia="zh-CN"/>
        </w:rPr>
      </w:pPr>
      <w:r>
        <w:rPr>
          <w:rFonts w:hint="eastAsia" w:ascii="黑体" w:hAnsi="黑体" w:eastAsia="黑体" w:cs="黑体"/>
          <w:b/>
          <w:bCs/>
          <w:sz w:val="24"/>
          <w:szCs w:val="24"/>
          <w:lang w:val="en-US" w:eastAsia="zh-CN"/>
        </w:rPr>
        <w:t>项目成员：</w:t>
      </w:r>
      <w:r>
        <w:rPr>
          <w:rFonts w:hint="eastAsia" w:ascii="宋体" w:hAnsi="宋体" w:eastAsia="宋体"/>
          <w:sz w:val="24"/>
          <w:szCs w:val="24"/>
          <w:lang w:val="en-US" w:eastAsia="zh-CN"/>
        </w:rPr>
        <w:t>刘一凡、沈鑫、张凯博</w:t>
      </w:r>
    </w:p>
    <w:p w14:paraId="783FB2EE">
      <w:pPr>
        <w:spacing w:before="60" w:after="60" w:line="360" w:lineRule="auto"/>
        <w:jc w:val="center"/>
      </w:pPr>
      <w:r>
        <w:rPr>
          <w:rFonts w:ascii="黑体" w:hAnsi="黑体" w:eastAsia="黑体"/>
          <w:b/>
          <w:bCs/>
          <w:sz w:val="24"/>
          <w:szCs w:val="24"/>
        </w:rPr>
        <w:t>所在学院：</w:t>
      </w:r>
      <w:r>
        <w:rPr>
          <w:rFonts w:ascii="宋体" w:hAnsi="宋体" w:eastAsia="宋体"/>
          <w:sz w:val="24"/>
          <w:szCs w:val="24"/>
        </w:rPr>
        <w:t>安全工程与应急管理学院</w:t>
      </w:r>
    </w:p>
    <w:p w14:paraId="387E49D1">
      <w:pPr>
        <w:spacing w:before="60" w:after="60" w:line="360" w:lineRule="auto"/>
        <w:jc w:val="center"/>
      </w:pPr>
      <w:r>
        <w:rPr>
          <w:rFonts w:ascii="黑体" w:hAnsi="黑体" w:eastAsia="黑体"/>
          <w:b/>
          <w:bCs/>
          <w:sz w:val="24"/>
          <w:szCs w:val="24"/>
        </w:rPr>
        <w:t>专业</w:t>
      </w:r>
      <w:r>
        <w:rPr>
          <w:rFonts w:hint="eastAsia" w:ascii="黑体" w:hAnsi="黑体" w:eastAsia="黑体"/>
          <w:b/>
          <w:bCs/>
          <w:sz w:val="24"/>
          <w:szCs w:val="24"/>
          <w:lang w:eastAsia="zh-CN"/>
        </w:rPr>
        <w:t>：</w:t>
      </w:r>
      <w:r>
        <w:rPr>
          <w:rFonts w:ascii="宋体" w:hAnsi="宋体" w:eastAsia="宋体"/>
          <w:sz w:val="24"/>
          <w:szCs w:val="24"/>
        </w:rPr>
        <w:t>安全工程</w:t>
      </w:r>
    </w:p>
    <w:p w14:paraId="06CE3566">
      <w:pPr>
        <w:spacing w:before="60" w:after="60" w:line="360" w:lineRule="auto"/>
        <w:jc w:val="center"/>
      </w:pPr>
      <w:r>
        <w:rPr>
          <w:rFonts w:ascii="黑体" w:hAnsi="黑体" w:eastAsia="黑体"/>
          <w:b/>
          <w:bCs/>
          <w:sz w:val="24"/>
          <w:szCs w:val="24"/>
        </w:rPr>
        <w:t>指导教师：</w:t>
      </w:r>
      <w:r>
        <w:rPr>
          <w:rFonts w:ascii="宋体" w:hAnsi="宋体" w:eastAsia="宋体"/>
          <w:sz w:val="24"/>
          <w:szCs w:val="24"/>
        </w:rPr>
        <w:t>陈明义</w:t>
      </w:r>
    </w:p>
    <w:p w14:paraId="7066B83F">
      <w:pPr>
        <w:spacing w:before="60" w:after="60" w:line="360" w:lineRule="auto"/>
        <w:jc w:val="center"/>
      </w:pPr>
      <w:r>
        <w:rPr>
          <w:rFonts w:ascii="黑体" w:hAnsi="黑体" w:eastAsia="黑体"/>
          <w:b/>
          <w:bCs/>
          <w:sz w:val="24"/>
          <w:szCs w:val="24"/>
        </w:rPr>
        <w:t>推荐单位：</w:t>
      </w:r>
      <w:r>
        <w:rPr>
          <w:rFonts w:ascii="宋体" w:hAnsi="宋体" w:eastAsia="宋体"/>
          <w:sz w:val="24"/>
          <w:szCs w:val="24"/>
        </w:rPr>
        <w:t>石家庄铁道大学安全工程与应急管理学院</w:t>
      </w:r>
    </w:p>
    <w:p w14:paraId="42D124C8">
      <w:pPr>
        <w:spacing w:before="60" w:after="60" w:line="360" w:lineRule="auto"/>
        <w:jc w:val="center"/>
      </w:pPr>
      <w:r>
        <w:rPr>
          <w:rFonts w:ascii="黑体" w:hAnsi="黑体" w:eastAsia="黑体"/>
          <w:b/>
          <w:bCs/>
          <w:sz w:val="24"/>
          <w:szCs w:val="24"/>
        </w:rPr>
        <w:t>编制日期：</w:t>
      </w:r>
      <w:r>
        <w:rPr>
          <w:rFonts w:ascii="宋体" w:hAnsi="宋体" w:eastAsia="宋体"/>
          <w:sz w:val="24"/>
          <w:szCs w:val="24"/>
        </w:rPr>
        <w:t>2026年8月</w:t>
      </w:r>
    </w:p>
    <w:p w14:paraId="0780D2A0">
      <w:r>
        <w:br w:type="page"/>
      </w:r>
    </w:p>
    <w:p w14:paraId="70CE9525">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lang w:val="en-US" w:eastAsia="zh-CN"/>
        </w:rPr>
      </w:pPr>
      <w:r>
        <w:rPr>
          <w:rFonts w:hint="eastAsia" w:ascii="宋体" w:hAnsi="宋体" w:eastAsia="宋体" w:cs="宋体"/>
          <w:b/>
          <w:bCs/>
          <w:sz w:val="28"/>
          <w:szCs w:val="28"/>
        </w:rPr>
        <w:t>一、项目</w:t>
      </w:r>
      <w:r>
        <w:rPr>
          <w:rFonts w:hint="eastAsia" w:ascii="宋体" w:hAnsi="宋体" w:eastAsia="宋体" w:cs="宋体"/>
          <w:b/>
          <w:bCs/>
          <w:sz w:val="28"/>
          <w:szCs w:val="28"/>
          <w:lang w:val="en-US" w:eastAsia="zh-CN"/>
        </w:rPr>
        <w:t>简介</w:t>
      </w:r>
    </w:p>
    <w:p w14:paraId="59C3C0D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right="0" w:firstLine="560" w:firstLineChars="200"/>
        <w:jc w:val="both"/>
        <w:textAlignment w:val="auto"/>
        <w:rPr>
          <w:rFonts w:hint="eastAsia" w:ascii="宋体" w:hAnsi="宋体" w:eastAsia="宋体" w:cs="宋体"/>
          <w:sz w:val="28"/>
          <w:szCs w:val="28"/>
        </w:rPr>
      </w:pPr>
      <w:r>
        <w:rPr>
          <w:rFonts w:hint="eastAsia" w:ascii="宋体" w:hAnsi="宋体" w:eastAsia="宋体" w:cs="宋体"/>
          <w:b w:val="0"/>
          <w:bCs w:val="0"/>
          <w:i w:val="0"/>
          <w:iCs w:val="0"/>
          <w:color w:val="000000"/>
          <w:spacing w:val="0"/>
          <w:w w:val="100"/>
          <w:sz w:val="28"/>
          <w:szCs w:val="28"/>
          <w:vertAlign w:val="baseline"/>
        </w:rPr>
        <w:t>本项目聚焦铁路危险货物运输安全管理难题，针对运输全过程的主要作业环节，建立一套铁路危险货物运输隐患排查与风险管控评估体系。依托此体系评估标准，整合量化指标与管控规范，开发隐患排查清单和风险评估与分级管控的可视化操作平台，可智能判别风险等级、定位安全隐患，并匹配针对性防控措施与操作注意事项。项目实现风险评估数字化、管控流程可视化，为铁路危险货物运输安全管理提供简易高效工具，助力提升运输风险管控智能化水平。</w:t>
      </w:r>
    </w:p>
    <w:p w14:paraId="164E2981">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default" w:ascii="宋体" w:hAnsi="宋体" w:eastAsia="宋体" w:cs="宋体"/>
          <w:sz w:val="28"/>
          <w:szCs w:val="28"/>
          <w:lang w:val="en-US" w:eastAsia="zh-CN"/>
        </w:rPr>
      </w:pPr>
      <w:r>
        <w:rPr>
          <w:rFonts w:hint="eastAsia" w:ascii="宋体" w:hAnsi="宋体" w:eastAsia="宋体" w:cs="宋体"/>
          <w:b/>
          <w:bCs/>
          <w:sz w:val="28"/>
          <w:szCs w:val="28"/>
        </w:rPr>
        <w:t>二、实施背景</w:t>
      </w:r>
      <w:r>
        <w:rPr>
          <w:rFonts w:hint="eastAsia" w:ascii="宋体" w:hAnsi="宋体" w:eastAsia="宋体" w:cs="宋体"/>
          <w:b/>
          <w:bCs/>
          <w:sz w:val="28"/>
          <w:szCs w:val="28"/>
          <w:lang w:eastAsia="zh-CN"/>
        </w:rPr>
        <w:t>、</w:t>
      </w:r>
      <w:r>
        <w:rPr>
          <w:rFonts w:hint="eastAsia" w:ascii="宋体" w:hAnsi="宋体" w:eastAsia="宋体" w:cs="宋体"/>
          <w:b/>
          <w:bCs/>
          <w:sz w:val="28"/>
          <w:szCs w:val="28"/>
        </w:rPr>
        <w:t>意义</w:t>
      </w:r>
      <w:r>
        <w:rPr>
          <w:rFonts w:hint="eastAsia" w:ascii="宋体" w:hAnsi="宋体" w:eastAsia="宋体" w:cs="宋体"/>
          <w:b/>
          <w:bCs/>
          <w:sz w:val="28"/>
          <w:szCs w:val="28"/>
          <w:lang w:val="en-US" w:eastAsia="zh-CN"/>
        </w:rPr>
        <w:t>和目的</w:t>
      </w:r>
    </w:p>
    <w:p w14:paraId="049F44C7">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lang w:val="en-US" w:eastAsia="zh-CN"/>
        </w:rPr>
      </w:pPr>
      <w:r>
        <w:rPr>
          <w:rFonts w:hint="eastAsia" w:ascii="宋体" w:hAnsi="宋体" w:eastAsia="宋体" w:cs="宋体"/>
          <w:b/>
          <w:bCs/>
          <w:sz w:val="28"/>
          <w:szCs w:val="28"/>
        </w:rPr>
        <w:t xml:space="preserve">2.1 </w:t>
      </w:r>
      <w:r>
        <w:rPr>
          <w:rFonts w:hint="eastAsia" w:ascii="宋体" w:hAnsi="宋体" w:eastAsia="宋体" w:cs="宋体"/>
          <w:b/>
          <w:bCs/>
          <w:sz w:val="28"/>
          <w:szCs w:val="28"/>
          <w:lang w:val="en-US" w:eastAsia="zh-CN"/>
        </w:rPr>
        <w:t>实施背景</w:t>
      </w:r>
    </w:p>
    <w:p w14:paraId="7F23EA97">
      <w:pPr>
        <w:pStyle w:val="2"/>
        <w:keepNext w:val="0"/>
        <w:keepLines w:val="0"/>
        <w:widowControl/>
        <w:suppressLineNumbers w:val="0"/>
        <w:spacing w:before="0" w:beforeAutospacing="0" w:after="0" w:afterAutospacing="0" w:line="440" w:lineRule="exact"/>
        <w:ind w:left="0" w:right="0" w:firstLine="420"/>
        <w:jc w:val="both"/>
        <w:rPr>
          <w:sz w:val="28"/>
          <w:szCs w:val="28"/>
        </w:rPr>
      </w:pPr>
      <w:r>
        <w:rPr>
          <w:rFonts w:hint="eastAsia" w:ascii="宋体" w:hAnsi="宋体" w:eastAsia="宋体" w:cs="宋体"/>
          <w:b w:val="0"/>
          <w:bCs w:val="0"/>
          <w:i w:val="0"/>
          <w:iCs w:val="0"/>
          <w:color w:val="000000"/>
          <w:spacing w:val="0"/>
          <w:w w:val="100"/>
          <w:sz w:val="28"/>
          <w:szCs w:val="28"/>
          <w:vertAlign w:val="baseline"/>
        </w:rPr>
        <w:t>铁路运输作为我国基础性骨干运输方式，凭借运量大、连续性强、安全性高的特点，成为了我国危险货物运输的核心基础性方式，在国民经济与化工供应链中占据关键地位。铁路危险货物运输事故仍时有发生，如2023年发生在美国的“2·3俄亥俄州火车脱轨事故”，事故造成约50节车厢侧翻并引发火灾，其中11节载有氯乙烯等危险化学品的车厢泄漏燃烧，导致俄亥俄州与宾夕法尼亚州交界区域约2000名居民紧急疏散。双重预防机制</w:t>
      </w:r>
      <w:r>
        <w:rPr>
          <w:rFonts w:hint="eastAsia" w:ascii="宋体" w:hAnsi="宋体" w:eastAsia="宋体" w:cs="宋体"/>
          <w:b w:val="0"/>
          <w:bCs w:val="0"/>
          <w:i w:val="0"/>
          <w:iCs w:val="0"/>
          <w:color w:val="000000"/>
          <w:spacing w:val="0"/>
          <w:w w:val="100"/>
          <w:sz w:val="28"/>
          <w:szCs w:val="28"/>
          <w:vertAlign w:val="superscript"/>
        </w:rPr>
        <w:t>[1-2]</w:t>
      </w:r>
      <w:r>
        <w:rPr>
          <w:rFonts w:hint="eastAsia" w:ascii="宋体" w:hAnsi="宋体" w:eastAsia="宋体" w:cs="宋体"/>
          <w:b w:val="0"/>
          <w:bCs w:val="0"/>
          <w:i w:val="0"/>
          <w:iCs w:val="0"/>
          <w:color w:val="000000"/>
          <w:spacing w:val="0"/>
          <w:w w:val="100"/>
          <w:sz w:val="28"/>
          <w:szCs w:val="28"/>
          <w:vertAlign w:val="baseline"/>
        </w:rPr>
        <w:t>，即风险分级管控与隐患排查治理双重预防机制，是当前安全生产领域推行的核心管控体系。吴长江</w:t>
      </w:r>
      <w:r>
        <w:rPr>
          <w:rFonts w:hint="eastAsia" w:ascii="宋体" w:hAnsi="宋体" w:eastAsia="宋体" w:cs="宋体"/>
          <w:b w:val="0"/>
          <w:bCs w:val="0"/>
          <w:i w:val="0"/>
          <w:iCs w:val="0"/>
          <w:color w:val="000000"/>
          <w:spacing w:val="0"/>
          <w:w w:val="100"/>
          <w:sz w:val="28"/>
          <w:szCs w:val="28"/>
          <w:vertAlign w:val="superscript"/>
        </w:rPr>
        <w:t>[1]</w:t>
      </w:r>
      <w:r>
        <w:rPr>
          <w:rFonts w:hint="eastAsia" w:ascii="宋体" w:hAnsi="宋体" w:eastAsia="宋体" w:cs="宋体"/>
          <w:b w:val="0"/>
          <w:bCs w:val="0"/>
          <w:i w:val="0"/>
          <w:iCs w:val="0"/>
          <w:color w:val="000000"/>
          <w:spacing w:val="0"/>
          <w:w w:val="100"/>
          <w:sz w:val="28"/>
          <w:szCs w:val="28"/>
          <w:vertAlign w:val="baseline"/>
        </w:rPr>
        <w:t>在研究中指出，该机制的核心逻辑是 “风险分级管控在前，隐患排查治理在后”，通过两道防线实现事故的超前预防，这一机制强调 “关口前移、源头防控”，通过风险管控与隐患治理的联动闭环，实现从 “被动处置事故” 向 “主动预防事故” 的转变，是铁路危险货物运输安全管理的重要制度框架，也正是本项目构建隐患排查清单、建立风险评估体系的理论依据与政策支撑。当前铁路危险货物运输行业的隐患排查与风险管控虽然建立了相对完善的制度框架，但目前多数铁路站段及承运企业仍采用纸质表格手工填报、Excel人工统计、线下主观打分的传统管理模式，工作流程繁琐、填报效率低下；人工评分标准不统一、主观性强，隐患风险等级难以量化判定；自查数据分散保存，无法直观展示隐患分布、风险占比和管理薄弱环节，缺乏可视化评估与自动分析能力，难以实现隐患排查、打分评估、整改治理、台账归档的闭环管理。因此，铁路危险货物运输隐患排查治理与风险管控评估数字化、可视化、精准化、易操作是一个重要研究方向。</w:t>
      </w:r>
    </w:p>
    <w:p w14:paraId="1059FD09">
      <w:pPr>
        <w:pStyle w:val="2"/>
        <w:keepNext w:val="0"/>
        <w:keepLines w:val="0"/>
        <w:widowControl/>
        <w:suppressLineNumbers w:val="0"/>
        <w:spacing w:before="0" w:beforeAutospacing="0" w:after="0" w:afterAutospacing="0" w:line="440" w:lineRule="exact"/>
        <w:ind w:left="0" w:right="0" w:firstLine="420"/>
        <w:jc w:val="left"/>
      </w:pPr>
      <w:r>
        <w:rPr>
          <w:rFonts w:hint="eastAsia" w:ascii="宋体" w:hAnsi="宋体" w:eastAsia="宋体" w:cs="宋体"/>
          <w:b w:val="0"/>
          <w:bCs w:val="0"/>
          <w:i w:val="0"/>
          <w:iCs w:val="0"/>
          <w:color w:val="000000"/>
          <w:spacing w:val="0"/>
          <w:w w:val="100"/>
          <w:sz w:val="28"/>
          <w:szCs w:val="28"/>
          <w:vertAlign w:val="baseline"/>
        </w:rPr>
        <w:t>本项目基于Python编程方法，通过隐患排查清单的构建、采用风险矩阵法依托静态、动态两大自查指标体系（静态自查涵盖站台结构、平面布局、站台设施布局、轨道、警示标识、安全距离、站台的设施设备、监控报警设备等固定性安全指标，动态自查聚焦进场、装卸、搬运、等过程性实时指标），开发可视化评估打分系统，实现自查录入、自动赋分、风险评级、数据可视化、展示一体化，弥补铁路危险货物运输隐患排查与风险管控缺乏专用数字化评估工具的短板，具有重要的现实应用必要性。</w:t>
      </w:r>
    </w:p>
    <w:p w14:paraId="0462AA21">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b/>
          <w:bCs/>
          <w:sz w:val="28"/>
          <w:szCs w:val="28"/>
        </w:rPr>
      </w:pPr>
      <w:r>
        <w:rPr>
          <w:rFonts w:hint="eastAsia" w:ascii="宋体" w:hAnsi="宋体" w:eastAsia="宋体" w:cs="宋体"/>
          <w:b/>
          <w:bCs/>
          <w:sz w:val="28"/>
          <w:szCs w:val="28"/>
        </w:rPr>
        <w:t>2.2 国内外现状及发展动态</w:t>
      </w:r>
    </w:p>
    <w:p w14:paraId="333BBE2A">
      <w:pPr>
        <w:tabs>
          <w:tab w:val="left" w:pos="8323"/>
        </w:tabs>
        <w:spacing w:line="440" w:lineRule="exact"/>
        <w:ind w:firstLine="562" w:firstLineChars="200"/>
        <w:rPr>
          <w:rFonts w:hint="eastAsia" w:asciiTheme="minorEastAsia" w:hAnsiTheme="minorEastAsia" w:eastAsiaTheme="minorEastAsia" w:cstheme="minorEastAsia"/>
          <w:b/>
          <w:kern w:val="2"/>
          <w:sz w:val="28"/>
          <w:szCs w:val="28"/>
          <w:lang w:val="en-US" w:eastAsia="zh-CN" w:bidi="ar-SA"/>
        </w:rPr>
      </w:pPr>
      <w:r>
        <w:rPr>
          <w:rFonts w:hint="eastAsia" w:asciiTheme="minorEastAsia" w:hAnsiTheme="minorEastAsia" w:eastAsiaTheme="minorEastAsia" w:cstheme="minorEastAsia"/>
          <w:b/>
          <w:kern w:val="2"/>
          <w:sz w:val="28"/>
          <w:szCs w:val="28"/>
          <w:lang w:val="en-US" w:eastAsia="zh-CN" w:bidi="ar-SA"/>
        </w:rPr>
        <w:t>2.2.1 铁路危险货物运输隐患排查与风险评估研究</w:t>
      </w:r>
    </w:p>
    <w:p w14:paraId="34D7F9A6">
      <w:pPr>
        <w:tabs>
          <w:tab w:val="left" w:pos="8323"/>
        </w:tabs>
        <w:spacing w:line="440" w:lineRule="exact"/>
        <w:ind w:firstLine="560" w:firstLineChars="200"/>
        <w:rPr>
          <w:rFonts w:ascii="Times New Roman" w:hAnsi="Times New Roman" w:eastAsia="宋体" w:cs="Times New Roman"/>
          <w:bCs/>
          <w:kern w:val="2"/>
          <w:sz w:val="28"/>
          <w:szCs w:val="28"/>
          <w:lang w:val="en-US" w:eastAsia="zh-CN" w:bidi="ar-SA"/>
        </w:rPr>
      </w:pPr>
      <w:r>
        <w:rPr>
          <w:rFonts w:ascii="Times New Roman" w:hAnsi="Times New Roman" w:eastAsia="宋体" w:cs="Times New Roman"/>
          <w:bCs/>
          <w:kern w:val="2"/>
          <w:sz w:val="28"/>
          <w:szCs w:val="28"/>
          <w:lang w:val="en-US" w:eastAsia="zh-CN" w:bidi="ar-SA"/>
        </w:rPr>
        <w:t>铁路危险货物运输安全管控是保障国民经济产业链稳定运行的关键环节，国内外学界与行业机构围绕其隐患评估体系开展了大量研究。在铁路运输安全评价研究方面，国外学者 Valentino Sangiorgio</w:t>
      </w:r>
      <w:r>
        <w:rPr>
          <w:rFonts w:hint="eastAsia" w:ascii="Times New Roman" w:hAnsi="Times New Roman" w:eastAsia="宋体" w:cs="Times New Roman"/>
          <w:bCs/>
          <w:kern w:val="2"/>
          <w:sz w:val="28"/>
          <w:szCs w:val="28"/>
          <w:vertAlign w:val="superscript"/>
          <w:lang w:val="en-US" w:eastAsia="zh-CN" w:bidi="ar-SA"/>
        </w:rPr>
        <w:t>[3-4]</w:t>
      </w:r>
      <w:r>
        <w:rPr>
          <w:rFonts w:ascii="Times New Roman" w:hAnsi="Times New Roman" w:eastAsia="宋体" w:cs="Times New Roman"/>
          <w:bCs/>
          <w:kern w:val="2"/>
          <w:sz w:val="28"/>
          <w:szCs w:val="28"/>
          <w:lang w:val="en-US" w:eastAsia="zh-CN" w:bidi="ar-SA"/>
        </w:rPr>
        <w:t>等构建了铁路运输系统安全绩效评价指标体系，为铁路安全风险量化评估提供了思路。姚振坤</w:t>
      </w:r>
      <w:r>
        <w:rPr>
          <w:rFonts w:hint="eastAsia" w:ascii="Times New Roman" w:hAnsi="Times New Roman" w:eastAsia="宋体" w:cs="Times New Roman"/>
          <w:bCs/>
          <w:kern w:val="2"/>
          <w:sz w:val="28"/>
          <w:szCs w:val="28"/>
          <w:vertAlign w:val="superscript"/>
          <w:lang w:val="en-US" w:eastAsia="zh-CN" w:bidi="ar-SA"/>
        </w:rPr>
        <w:t>[5]</w:t>
      </w:r>
      <w:r>
        <w:rPr>
          <w:rFonts w:ascii="Times New Roman" w:hAnsi="Times New Roman" w:eastAsia="宋体" w:cs="Times New Roman"/>
          <w:bCs/>
          <w:kern w:val="2"/>
          <w:sz w:val="28"/>
          <w:szCs w:val="28"/>
          <w:lang w:val="en-US" w:eastAsia="zh-CN" w:bidi="ar-SA"/>
        </w:rPr>
        <w:t>在研究中指出，铁路危险货物运输安全管理需按运输前、运输过程两个关键阶段，对全流程风险进行系统性辨识与分析，通过分阶段、分类别的风险防控路径实现隐患源头化解与过程管控，为铁路危货运输隐患分级评估提供了阶段化、流程化的研究思路。曹雪玲</w:t>
      </w:r>
      <w:r>
        <w:rPr>
          <w:rFonts w:hint="eastAsia" w:ascii="Times New Roman" w:hAnsi="Times New Roman" w:eastAsia="宋体" w:cs="Times New Roman"/>
          <w:bCs/>
          <w:kern w:val="2"/>
          <w:sz w:val="28"/>
          <w:szCs w:val="28"/>
          <w:vertAlign w:val="superscript"/>
          <w:lang w:val="en-US" w:eastAsia="zh-CN" w:bidi="ar-SA"/>
        </w:rPr>
        <w:t>[6]</w:t>
      </w:r>
      <w:r>
        <w:rPr>
          <w:rFonts w:ascii="Times New Roman" w:hAnsi="Times New Roman" w:eastAsia="宋体" w:cs="Times New Roman"/>
          <w:bCs/>
          <w:kern w:val="2"/>
          <w:sz w:val="28"/>
          <w:szCs w:val="28"/>
          <w:lang w:val="en-US" w:eastAsia="zh-CN" w:bidi="ar-SA"/>
        </w:rPr>
        <w:t>等学者则聚焦铁路危险货物运输风险管理研究现状，提出应借鉴国内外道路危货运输的成熟经验，构建专属的风险评价指标体系，建立风险预警模型并与铁路信息化管理相结合，以实现潜在危险的早期识别与安全状况的客观评价，弥补了行业在系统化评估模型构建方面的研究缺口。</w:t>
      </w:r>
      <w:r>
        <w:rPr>
          <w:rFonts w:hint="eastAsia" w:ascii="Times New Roman" w:hAnsi="Times New Roman" w:eastAsia="宋体" w:cs="Times New Roman"/>
          <w:bCs/>
          <w:kern w:val="2"/>
          <w:sz w:val="28"/>
          <w:szCs w:val="28"/>
          <w:lang w:val="en-US" w:eastAsia="zh-CN" w:bidi="ar-SA"/>
        </w:rPr>
        <w:t>金哲宇</w:t>
      </w:r>
      <w:r>
        <w:rPr>
          <w:rFonts w:hint="eastAsia" w:ascii="Times New Roman" w:hAnsi="Times New Roman" w:eastAsia="宋体" w:cs="Times New Roman"/>
          <w:bCs/>
          <w:kern w:val="2"/>
          <w:sz w:val="28"/>
          <w:szCs w:val="28"/>
          <w:vertAlign w:val="superscript"/>
          <w:lang w:val="en-US" w:eastAsia="zh-CN" w:bidi="ar-SA"/>
        </w:rPr>
        <w:t>[7]</w:t>
      </w:r>
      <w:r>
        <w:rPr>
          <w:rFonts w:hint="eastAsia" w:ascii="Times New Roman" w:hAnsi="Times New Roman" w:eastAsia="宋体" w:cs="Times New Roman"/>
          <w:bCs/>
          <w:kern w:val="2"/>
          <w:sz w:val="28"/>
          <w:szCs w:val="28"/>
          <w:lang w:val="en-US" w:eastAsia="zh-CN" w:bidi="ar-SA"/>
        </w:rPr>
        <w:t>基于国内外相关研究，在明确铁路危险货物运输相关概念的前提下，从安全管理的现状出发，构建了综合全面、具有问题导向性的铁路危险货物运输安全评价指标体系，并通过改进BP神经网络、运用粒子群算法优化误差回传机制，对铁路危险货物运输安全风险进行了有效评估，验证了指标体系的实用性与模型的优化效果，为后续的风险量化评估提供了可借鉴的方法路径。高飞</w:t>
      </w:r>
      <w:r>
        <w:rPr>
          <w:rFonts w:hint="eastAsia" w:ascii="Times New Roman" w:hAnsi="Times New Roman" w:eastAsia="宋体" w:cs="Times New Roman"/>
          <w:bCs/>
          <w:kern w:val="2"/>
          <w:sz w:val="28"/>
          <w:szCs w:val="28"/>
          <w:vertAlign w:val="superscript"/>
          <w:lang w:val="en-US" w:eastAsia="zh-CN" w:bidi="ar-SA"/>
        </w:rPr>
        <w:t>[8]</w:t>
      </w:r>
      <w:r>
        <w:rPr>
          <w:rFonts w:hint="eastAsia" w:ascii="Times New Roman" w:hAnsi="Times New Roman" w:eastAsia="宋体" w:cs="Times New Roman"/>
          <w:bCs/>
          <w:kern w:val="2"/>
          <w:sz w:val="28"/>
          <w:szCs w:val="28"/>
          <w:lang w:val="en-US" w:eastAsia="zh-CN" w:bidi="ar-SA"/>
        </w:rPr>
        <w:t>等学者则从监管优化的角度，在分析我国铁路危险货物运输安全监管现状的基础上，提出了加强法规标准顶层设计、分级分类监管、加大失信约束力度等优化策略，强调了制度建设与监管方式对隐患源头治理的重要作用，为运输全链条的风险防控提供了政策层面的支撑。倪闰霞</w:t>
      </w:r>
      <w:r>
        <w:rPr>
          <w:rFonts w:hint="eastAsia" w:ascii="Times New Roman" w:hAnsi="Times New Roman" w:eastAsia="宋体" w:cs="Times New Roman"/>
          <w:bCs/>
          <w:kern w:val="2"/>
          <w:sz w:val="28"/>
          <w:szCs w:val="28"/>
          <w:vertAlign w:val="superscript"/>
          <w:lang w:val="en-US" w:eastAsia="zh-CN" w:bidi="ar-SA"/>
        </w:rPr>
        <w:t>[9]</w:t>
      </w:r>
      <w:r>
        <w:rPr>
          <w:rFonts w:hint="eastAsia" w:ascii="Times New Roman" w:hAnsi="Times New Roman" w:eastAsia="宋体" w:cs="Times New Roman"/>
          <w:bCs/>
          <w:kern w:val="2"/>
          <w:sz w:val="28"/>
          <w:szCs w:val="28"/>
          <w:lang w:val="en-US" w:eastAsia="zh-CN" w:bidi="ar-SA"/>
        </w:rPr>
        <w:t>通过对119起铁路危险货物运输事故的统计分析，构建了包含6个一级指标、21个二级指标的安全影响因素指标体系，并结合DEMATEL与ISM方法建立了分析模型，系统识别了事故发生的直接诱因与深层次影响因素，为隐患评估中关键风险点的识别提供了系统性的理论依据。</w:t>
      </w:r>
    </w:p>
    <w:p w14:paraId="766F31E3">
      <w:pPr>
        <w:tabs>
          <w:tab w:val="left" w:pos="8323"/>
        </w:tabs>
        <w:spacing w:line="440" w:lineRule="exact"/>
        <w:ind w:firstLine="560" w:firstLineChars="200"/>
        <w:rPr>
          <w:rFonts w:ascii="Times New Roman" w:hAnsi="Times New Roman" w:eastAsia="宋体" w:cs="Times New Roman"/>
          <w:kern w:val="2"/>
          <w:sz w:val="28"/>
          <w:szCs w:val="28"/>
          <w:lang w:val="en-US" w:eastAsia="zh-CN" w:bidi="ar-SA"/>
        </w:rPr>
      </w:pPr>
      <w:r>
        <w:rPr>
          <w:rFonts w:ascii="Times New Roman" w:hAnsi="Times New Roman" w:eastAsia="宋体" w:cs="Times New Roman"/>
          <w:bCs/>
          <w:kern w:val="2"/>
          <w:sz w:val="28"/>
          <w:szCs w:val="28"/>
          <w:lang w:val="en-US" w:eastAsia="zh-CN" w:bidi="ar-SA"/>
        </w:rPr>
        <w:t>从整体发展来看，当前铁路危货运输隐患评估研究已从单一事故致因分析，逐步转向</w:t>
      </w:r>
      <w:r>
        <w:rPr>
          <w:rFonts w:hint="eastAsia" w:ascii="宋体" w:hAnsi="宋体" w:eastAsia="宋体" w:cs="宋体"/>
          <w:bCs/>
          <w:kern w:val="2"/>
          <w:sz w:val="28"/>
          <w:szCs w:val="28"/>
          <w:lang w:val="en-US" w:eastAsia="zh-CN" w:bidi="ar-SA"/>
        </w:rPr>
        <w:t>“静态隐患排查 + 动态风险管控”的双轨体系建设，风险矩阵法</w:t>
      </w:r>
      <w:r>
        <w:rPr>
          <w:rFonts w:hint="eastAsia" w:ascii="宋体" w:hAnsi="宋体" w:eastAsia="宋体" w:cs="宋体"/>
          <w:bCs/>
          <w:kern w:val="2"/>
          <w:sz w:val="28"/>
          <w:szCs w:val="28"/>
          <w:vertAlign w:val="superscript"/>
          <w:lang w:val="en-US" w:eastAsia="zh-CN" w:bidi="ar-SA"/>
        </w:rPr>
        <w:t>[10]</w:t>
      </w:r>
      <w:r>
        <w:rPr>
          <w:rFonts w:hint="eastAsia" w:ascii="宋体" w:hAnsi="宋体" w:eastAsia="宋体" w:cs="宋体"/>
          <w:bCs/>
          <w:kern w:val="2"/>
          <w:sz w:val="28"/>
          <w:szCs w:val="28"/>
          <w:lang w:val="en-US" w:eastAsia="zh-CN" w:bidi="ar-SA"/>
        </w:rPr>
        <w:t>等量化评估工具也开始被引入行业实践，推动隐患评估从经验判断向标准化、量化评估转型。但现有研究多偏向宏观理论框架搭建与行业监管层面，针对基层站段一线使用的、可直接落地的隐患排查清单与风险分级评估体系仍缺乏针对性成果，与本项目构建的隐患排查清单、风险管控指标体系存在明确的研究延续性与补充价值。</w:t>
      </w:r>
    </w:p>
    <w:p w14:paraId="5A09465A">
      <w:pPr>
        <w:tabs>
          <w:tab w:val="left" w:pos="8323"/>
        </w:tabs>
        <w:spacing w:line="440" w:lineRule="exact"/>
        <w:ind w:firstLine="562" w:firstLineChars="200"/>
        <w:rPr>
          <w:rFonts w:hint="eastAsia" w:asciiTheme="minorEastAsia" w:hAnsiTheme="minorEastAsia" w:eastAsiaTheme="minorEastAsia" w:cstheme="minorEastAsia"/>
          <w:bCs/>
          <w:kern w:val="2"/>
          <w:sz w:val="28"/>
          <w:szCs w:val="28"/>
          <w:lang w:val="en-US" w:eastAsia="zh-CN" w:bidi="ar-SA"/>
        </w:rPr>
      </w:pPr>
      <w:r>
        <w:rPr>
          <w:rFonts w:hint="eastAsia" w:asciiTheme="minorEastAsia" w:hAnsiTheme="minorEastAsia" w:eastAsiaTheme="minorEastAsia" w:cstheme="minorEastAsia"/>
          <w:b/>
          <w:kern w:val="2"/>
          <w:sz w:val="28"/>
          <w:szCs w:val="28"/>
          <w:lang w:val="en-US" w:eastAsia="zh-CN" w:bidi="ar-SA"/>
        </w:rPr>
        <w:t>2.2.2 安全隐患数字化可视化应用</w:t>
      </w:r>
    </w:p>
    <w:p w14:paraId="5844AB1F">
      <w:pPr>
        <w:tabs>
          <w:tab w:val="left" w:pos="8323"/>
        </w:tabs>
        <w:spacing w:line="440" w:lineRule="exact"/>
        <w:ind w:firstLine="560" w:firstLineChars="200"/>
        <w:rPr>
          <w:rFonts w:ascii="Times New Roman" w:hAnsi="Times New Roman" w:eastAsia="宋体" w:cs="Times New Roman"/>
          <w:bCs/>
          <w:kern w:val="2"/>
          <w:sz w:val="28"/>
          <w:szCs w:val="28"/>
          <w:lang w:val="en-US" w:eastAsia="zh-CN" w:bidi="ar-SA"/>
        </w:rPr>
      </w:pPr>
      <w:r>
        <w:rPr>
          <w:rFonts w:ascii="Times New Roman" w:hAnsi="Times New Roman" w:eastAsia="宋体" w:cs="Times New Roman"/>
          <w:bCs/>
          <w:kern w:val="2"/>
          <w:sz w:val="28"/>
          <w:szCs w:val="28"/>
          <w:lang w:val="en-US" w:eastAsia="zh-CN" w:bidi="ar-SA"/>
        </w:rPr>
        <w:t>随着智慧铁路建设推进，安全隐患数字化、可视化管控已成为行业发展的重要趋势，相关技术研究与应用也在快速发展。在安全隐患数字化可视化应用方面，王建国</w:t>
      </w:r>
      <w:r>
        <w:rPr>
          <w:rFonts w:hint="eastAsia" w:ascii="Times New Roman" w:hAnsi="Times New Roman" w:eastAsia="宋体" w:cs="Times New Roman"/>
          <w:bCs/>
          <w:kern w:val="2"/>
          <w:sz w:val="28"/>
          <w:szCs w:val="28"/>
          <w:vertAlign w:val="superscript"/>
          <w:lang w:val="en-US" w:eastAsia="zh-CN" w:bidi="ar-SA"/>
        </w:rPr>
        <w:t>[11]</w:t>
      </w:r>
      <w:r>
        <w:rPr>
          <w:rFonts w:ascii="Times New Roman" w:hAnsi="Times New Roman" w:eastAsia="宋体" w:cs="Times New Roman"/>
          <w:bCs/>
          <w:kern w:val="2"/>
          <w:sz w:val="28"/>
          <w:szCs w:val="28"/>
          <w:lang w:val="en-US" w:eastAsia="zh-CN" w:bidi="ar-SA"/>
        </w:rPr>
        <w:t>等学者针对铁路货运检测设备功能分散、集成化和智能化程度不高的问题，基于危险气体、粉尘、温湿度、气压等传感器单元，通过 NB-IoT 数据传输技术构建了检测、预警、应急处置三位一体的智能终端设备，实现了环境参数的实时检测，解决了货物检测、应急预案处置、现场工作人员响应环节的脱节问题，为安全数据的实时采集与数字化管理提供了技术参考。代宏斌</w:t>
      </w:r>
      <w:r>
        <w:rPr>
          <w:rFonts w:hint="eastAsia" w:ascii="Times New Roman" w:hAnsi="Times New Roman" w:eastAsia="宋体" w:cs="Times New Roman"/>
          <w:bCs/>
          <w:kern w:val="2"/>
          <w:sz w:val="28"/>
          <w:szCs w:val="28"/>
          <w:vertAlign w:val="superscript"/>
          <w:lang w:val="en-US" w:eastAsia="zh-CN" w:bidi="ar-SA"/>
        </w:rPr>
        <w:t>[12]</w:t>
      </w:r>
      <w:r>
        <w:rPr>
          <w:rFonts w:ascii="Times New Roman" w:hAnsi="Times New Roman" w:eastAsia="宋体" w:cs="Times New Roman"/>
          <w:bCs/>
          <w:kern w:val="2"/>
          <w:sz w:val="28"/>
          <w:szCs w:val="28"/>
          <w:lang w:val="en-US" w:eastAsia="zh-CN" w:bidi="ar-SA"/>
        </w:rPr>
        <w:t>等学者将 5G 通信技术与无线传感技术引入铁路危险货物运输监控系统，构建了 5G 通讯基站 - 车载子系统 - 车站监控系统的三级设计布局，实现了运输全过程的实时监管与处理，并通过仿真验证了系统在危险货物运输全生命周期的在线监测能力，为安全数据的可视化呈现与动态管控提供了技术支撑。武慧杰</w:t>
      </w:r>
      <w:r>
        <w:rPr>
          <w:rFonts w:hint="eastAsia" w:ascii="Times New Roman" w:hAnsi="Times New Roman" w:eastAsia="宋体" w:cs="Times New Roman"/>
          <w:bCs/>
          <w:kern w:val="2"/>
          <w:sz w:val="28"/>
          <w:szCs w:val="28"/>
          <w:vertAlign w:val="superscript"/>
          <w:lang w:val="en-US" w:eastAsia="zh-CN" w:bidi="ar-SA"/>
        </w:rPr>
        <w:t>[13]</w:t>
      </w:r>
      <w:r>
        <w:rPr>
          <w:rFonts w:ascii="Times New Roman" w:hAnsi="Times New Roman" w:eastAsia="宋体" w:cs="Times New Roman"/>
          <w:bCs/>
          <w:kern w:val="2"/>
          <w:sz w:val="28"/>
          <w:szCs w:val="28"/>
          <w:lang w:val="en-US" w:eastAsia="zh-CN" w:bidi="ar-SA"/>
        </w:rPr>
        <w:t>等学者同样指出，现有铁路危货运输监测系统受限于通信制式，难以实现高维度、大容量安全数据的高速率、低延时传输，因此提出基于 5G 通信技术的铁路危险货物运输监测方案，运用物联网与 5G 技术实现图像、视频、温度、位置等多模数据的实时采集与远传，并搭建后台监测平台实现数据研判与报警信息下发，推动铁路危货运输监测系统向数据共享、互联互通的方向发展。</w:t>
      </w:r>
    </w:p>
    <w:p w14:paraId="32DDC9EB">
      <w:pPr>
        <w:tabs>
          <w:tab w:val="left" w:pos="8323"/>
        </w:tabs>
        <w:spacing w:line="440" w:lineRule="exact"/>
        <w:ind w:firstLine="560" w:firstLineChars="200"/>
        <w:rPr>
          <w:rFonts w:ascii="Times New Roman" w:hAnsi="Times New Roman" w:eastAsia="宋体" w:cs="Times New Roman"/>
          <w:bCs/>
          <w:kern w:val="2"/>
          <w:sz w:val="28"/>
          <w:szCs w:val="28"/>
          <w:lang w:val="en-US" w:eastAsia="zh-CN" w:bidi="ar-SA"/>
        </w:rPr>
      </w:pPr>
      <w:r>
        <w:rPr>
          <w:rFonts w:ascii="Times New Roman" w:hAnsi="Times New Roman" w:eastAsia="宋体" w:cs="Times New Roman"/>
          <w:bCs/>
          <w:kern w:val="2"/>
          <w:sz w:val="28"/>
          <w:szCs w:val="28"/>
          <w:lang w:val="en-US" w:eastAsia="zh-CN" w:bidi="ar-SA"/>
        </w:rPr>
        <w:t>在国际研究方面，Cao Liang</w:t>
      </w:r>
      <w:r>
        <w:rPr>
          <w:rFonts w:hint="eastAsia" w:ascii="Times New Roman" w:hAnsi="Times New Roman" w:eastAsia="宋体" w:cs="Times New Roman"/>
          <w:bCs/>
          <w:kern w:val="2"/>
          <w:sz w:val="28"/>
          <w:szCs w:val="28"/>
          <w:vertAlign w:val="superscript"/>
          <w:lang w:val="en-US" w:eastAsia="zh-CN" w:bidi="ar-SA"/>
        </w:rPr>
        <w:t>[14]</w:t>
      </w:r>
      <w:r>
        <w:rPr>
          <w:rFonts w:ascii="Times New Roman" w:hAnsi="Times New Roman" w:eastAsia="宋体" w:cs="Times New Roman"/>
          <w:bCs/>
          <w:kern w:val="2"/>
          <w:sz w:val="28"/>
          <w:szCs w:val="28"/>
          <w:lang w:val="en-US" w:eastAsia="zh-CN" w:bidi="ar-SA"/>
        </w:rPr>
        <w:t>基于人工智能识别技术，构建了铁路运输路况判断系统，通过改进算法并引入闵可夫斯基距离、动态时间规整距离等方法，提升了铁路路况识别的准确性，为铁路运输安全监测与隐患识别提供了智能化技术路径。Ristić Durrant Danijela</w:t>
      </w:r>
      <w:r>
        <w:rPr>
          <w:rFonts w:hint="eastAsia" w:ascii="Times New Roman" w:hAnsi="Times New Roman" w:eastAsia="宋体" w:cs="Times New Roman"/>
          <w:bCs/>
          <w:kern w:val="2"/>
          <w:sz w:val="28"/>
          <w:szCs w:val="28"/>
          <w:vertAlign w:val="superscript"/>
          <w:lang w:val="en-US" w:eastAsia="zh-CN" w:bidi="ar-SA"/>
        </w:rPr>
        <w:t>[15]</w:t>
      </w:r>
      <w:r>
        <w:rPr>
          <w:rFonts w:ascii="Times New Roman" w:hAnsi="Times New Roman" w:eastAsia="宋体" w:cs="Times New Roman"/>
          <w:bCs/>
          <w:kern w:val="2"/>
          <w:sz w:val="28"/>
          <w:szCs w:val="28"/>
          <w:vertAlign w:val="superscript"/>
          <w:lang w:val="en-US" w:eastAsia="zh-CN" w:bidi="ar-SA"/>
        </w:rPr>
        <w:t xml:space="preserve"> </w:t>
      </w:r>
      <w:r>
        <w:rPr>
          <w:rFonts w:ascii="Times New Roman" w:hAnsi="Times New Roman" w:eastAsia="宋体" w:cs="Times New Roman"/>
          <w:bCs/>
          <w:kern w:val="2"/>
          <w:sz w:val="28"/>
          <w:szCs w:val="28"/>
          <w:lang w:val="en-US" w:eastAsia="zh-CN" w:bidi="ar-SA"/>
        </w:rPr>
        <w:t>等学者则研发了车载多传感器障碍物检测系统，该系统可在不同光照条件下检测铁路场景中的障碍物并估算距离，旨在通过提前识别轨道前方隐患、降低碰撞事故风险，提升铁路运输整体安全水平。</w:t>
      </w:r>
    </w:p>
    <w:p w14:paraId="23181EA1">
      <w:pPr>
        <w:tabs>
          <w:tab w:val="left" w:pos="8323"/>
        </w:tabs>
        <w:spacing w:line="440" w:lineRule="exact"/>
        <w:ind w:firstLine="560" w:firstLineChars="200"/>
        <w:rPr>
          <w:rFonts w:ascii="Times New Roman" w:hAnsi="Times New Roman" w:eastAsia="宋体" w:cs="Times New Roman"/>
          <w:bCs/>
          <w:kern w:val="2"/>
          <w:sz w:val="28"/>
          <w:szCs w:val="28"/>
          <w:lang w:val="en-US" w:eastAsia="zh-CN" w:bidi="ar-SA"/>
        </w:rPr>
      </w:pPr>
      <w:r>
        <w:rPr>
          <w:rFonts w:ascii="Times New Roman" w:hAnsi="Times New Roman" w:eastAsia="宋体" w:cs="Times New Roman"/>
          <w:bCs/>
          <w:kern w:val="2"/>
          <w:sz w:val="28"/>
          <w:szCs w:val="28"/>
          <w:lang w:val="en-US" w:eastAsia="zh-CN" w:bidi="ar-SA"/>
        </w:rPr>
        <w:t>目前，安全隐患数字化应用已在铁路检测、监控、应急等多个场景落地，但多数系统侧重设备状态监测与数据采集，缺乏与隐患排查清单、风险评估体系的深度融合；同时，面向基层管理人员的轻量化可视化操作平台较少，难以实现隐患数据、风险等级的直观展示与分级管控。因此，通过构建标准化隐患排查清单、建立量化风险评估指标体系并开发可视化操作平台，对提升铁路危险货物运输隐患排查治理与风险管控的数字化水平具有重要的应用价值。</w:t>
      </w:r>
    </w:p>
    <w:p w14:paraId="4E66D1E5">
      <w:pPr>
        <w:tabs>
          <w:tab w:val="left" w:pos="8323"/>
        </w:tabs>
        <w:spacing w:line="440" w:lineRule="exact"/>
        <w:ind w:firstLine="482"/>
        <w:rPr>
          <w:rFonts w:hint="eastAsia" w:asciiTheme="minorEastAsia" w:hAnsiTheme="minorEastAsia" w:eastAsiaTheme="minorEastAsia" w:cstheme="minorEastAsia"/>
          <w:b/>
          <w:kern w:val="2"/>
          <w:sz w:val="28"/>
          <w:szCs w:val="28"/>
          <w:lang w:val="en-US" w:eastAsia="zh-CN" w:bidi="ar-SA"/>
        </w:rPr>
      </w:pPr>
      <w:r>
        <w:rPr>
          <w:rFonts w:hint="eastAsia" w:asciiTheme="minorEastAsia" w:hAnsiTheme="minorEastAsia" w:eastAsiaTheme="minorEastAsia" w:cstheme="minorEastAsia"/>
          <w:b/>
          <w:kern w:val="2"/>
          <w:sz w:val="28"/>
          <w:szCs w:val="28"/>
          <w:lang w:val="en-US" w:eastAsia="zh-CN" w:bidi="ar-SA"/>
        </w:rPr>
        <w:t>参考文献</w:t>
      </w:r>
    </w:p>
    <w:p w14:paraId="48DAB0A8">
      <w:pPr>
        <w:tabs>
          <w:tab w:val="left" w:pos="8323"/>
        </w:tabs>
        <w:spacing w:line="440" w:lineRule="exact"/>
        <w:ind w:firstLine="482"/>
        <w:rPr>
          <w:rFonts w:ascii="Times New Roman" w:hAnsi="Times New Roman" w:eastAsia="宋体" w:cs="Times New Roman"/>
          <w:kern w:val="2"/>
          <w:sz w:val="28"/>
          <w:szCs w:val="28"/>
          <w:shd w:val="clear" w:color="auto" w:fill="FFFFFF"/>
          <w:lang w:val="en-US" w:eastAsia="zh-CN" w:bidi="ar-SA"/>
        </w:rPr>
      </w:pPr>
      <w:r>
        <w:rPr>
          <w:rFonts w:ascii="Times New Roman" w:hAnsi="Times New Roman" w:eastAsia="宋体" w:cs="Times New Roman"/>
          <w:kern w:val="2"/>
          <w:sz w:val="28"/>
          <w:szCs w:val="28"/>
          <w:shd w:val="clear" w:color="auto" w:fill="FFFFFF"/>
          <w:lang w:val="en-US" w:eastAsia="zh-CN" w:bidi="ar-SA"/>
        </w:rPr>
        <w:t>[1]吴长江.论风险分级管控和隐患排查治理双重预防机制[J].福建冶金,2026,55(03):59-61.DOI:10.19574/j.cnki.issn1672-7665.2026.03.008.</w:t>
      </w:r>
    </w:p>
    <w:p w14:paraId="3B5313CA">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[2]胡国江.企业安全风险分级管控和隐患排查治理双重预防机制建设探究[J].中国科技投资,2024,(13):104-106.</w:t>
      </w:r>
    </w:p>
    <w:p w14:paraId="60DB0132">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[3] Sangiorgio V ,Mangini M A ,Precchiazzi I .A new index to evaluate the safety performance level of railway transportation systems[J].Safety Science,2020,131DOI:10.1016/j.ssci.2020.104921.</w:t>
      </w:r>
    </w:p>
    <w:p w14:paraId="1F4F9E66">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[4]WIECZOREK S ,PAŁKA K ,GRABOWSKA-BUJNA B .A MODEL OF STRATEGIC SAFETY MANAGEMENT IN RAILWAY TRANSPORT BASED ON JASTRZEBSKA RAILWAY COMPANY LTD.[J].Scientific Journal of Silesian University of Technology. Series Transport,2018,98201-210.DOI:10.20858/sjsutst.2018.98.19.</w:t>
      </w:r>
    </w:p>
    <w:p w14:paraId="1DA9FA0A">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[5]姚振坤.铁路危险货物运输安全风险分析及防范措施建议[J].铁路物流,2025,43(07):40-43.DOI:10.16669/j.cnki.issn.2097-5899.202504100002.</w:t>
      </w:r>
    </w:p>
    <w:p w14:paraId="7100BC88">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[6]曹雪玲,涂鹏,许苹,等.铁路危险货物运输风险管理研究现状与展望[J].铁道货运,2011,29(04):20-24+5.</w:t>
      </w:r>
    </w:p>
    <w:p w14:paraId="3579D9DF">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[7]金哲宇.铁路危险货物运输安全风险分析及对策[D].兰州交通大学,2022.DOI:10.27205/d.cnki.gltec.2022.001074.</w:t>
      </w:r>
    </w:p>
    <w:p w14:paraId="5B45498A">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[8]高飞,雷渝,吴凡,等.铁路危险货物运输安全监管优化策略分析[J].铁道货运,2021,39(04):46-50.DOI:10.16669/j.cnki.issn.1004-2024.2021.04.09.</w:t>
      </w:r>
    </w:p>
    <w:p w14:paraId="5BD43E2C">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shd w:val="clear" w:color="auto" w:fill="FFFFFF"/>
          <w:lang w:val="en-US" w:eastAsia="zh-CN" w:bidi="ar-SA"/>
        </w:rPr>
        <w:t>[9]倪闰霞.铁路危险货物运输安全影响因素综合分析[D].大连交通大学,2020.DOI:10.26990/d.cnki.gsltc.2020.000388.</w:t>
      </w:r>
    </w:p>
    <w:p w14:paraId="51E07403">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[10]包峰,王建敏.关于LEC和风险矩阵的量化方法探索[J].现代职业安全,2022,(01):92-95.z</w:t>
      </w:r>
    </w:p>
    <w:p w14:paraId="51C6F3B0">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[11]王建国,李建国.铁路危险货物运输智能检测及应急处置装置设计[J].铁路物流,2025,43(02):27-33.DOI:10.16669/j.cnki.issn.2097-5899.202310240002.</w:t>
      </w:r>
    </w:p>
    <w:p w14:paraId="451A45EF">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[12]代宏斌,徐子龙,李增祥,等.基于5G无线传感技术的铁路危险货物运输监控系统研究[J].综合运输,2025,47(03):162-168.DOI:10.20164/j.cnki.cn11-1197/u.2025.03.024.</w:t>
      </w:r>
    </w:p>
    <w:p w14:paraId="2A36C821">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[13]武慧杰,齐超,庞庆.基于5G通信技术的铁路危险货物运输监测方案[J].中国铁路,2023,(10):97-103.DOI:10.19549/j.issn.1001-683x.2022.12.22.002.</w:t>
      </w:r>
    </w:p>
    <w:p w14:paraId="3CCD81EF">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[14]Cao ,Liang.Road condition judgment system of railway transportation based on artificial intelligence recognition technology[J].International Journal of System Assurance Engineering and Management,2022,14(2):1-10.DOI:10.1007/S13198-021-01509-W.</w:t>
      </w:r>
    </w:p>
    <w:p w14:paraId="621699D5">
      <w:pPr>
        <w:tabs>
          <w:tab w:val="left" w:pos="8323"/>
        </w:tabs>
        <w:spacing w:line="440" w:lineRule="exact"/>
        <w:ind w:firstLine="482"/>
        <w:rPr>
          <w:rFonts w:ascii="Times New Roman" w:hAnsi="Times New Roman" w:eastAsia="宋体" w:cs="Times New Roman"/>
          <w:kern w:val="2"/>
          <w:sz w:val="28"/>
          <w:szCs w:val="28"/>
          <w:lang w:val="en-US" w:eastAsia="zh-CN" w:bidi="ar-SA"/>
        </w:rPr>
      </w:pPr>
      <w:r>
        <w:rPr>
          <w:rFonts w:ascii="Times New Roman" w:hAnsi="Times New Roman" w:eastAsia="宋体" w:cs="Times New Roman"/>
          <w:kern w:val="2"/>
          <w:sz w:val="28"/>
          <w:szCs w:val="28"/>
          <w:lang w:val="en-US" w:eastAsia="zh-CN" w:bidi="ar-SA"/>
        </w:rPr>
        <w:t>[15]Danijela D R ,Abdul M H ,Milan B , et al.SMART on-board multi-sensor obstacle detection system for improvement of rail transport safety[J].Proceedings of the Institution of Mechanical Engineers, Part F: Journal ofRail and Rapid Transit,2022,236(6):623-636.DOI:10.1177/09544097211032738.</w:t>
      </w:r>
    </w:p>
    <w:p w14:paraId="13EF2722">
      <w:pPr>
        <w:tabs>
          <w:tab w:val="left" w:pos="8323"/>
        </w:tabs>
        <w:spacing w:line="440" w:lineRule="exact"/>
        <w:ind w:firstLine="562" w:firstLineChars="200"/>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28"/>
        </w:rPr>
        <w:t>2.3 实施的意义和目的</w:t>
      </w:r>
    </w:p>
    <w:p w14:paraId="5E76405C">
      <w:pPr>
        <w:tabs>
          <w:tab w:val="left" w:pos="8323"/>
        </w:tabs>
        <w:spacing w:line="440" w:lineRule="exact"/>
        <w:ind w:firstLine="562" w:firstLineChars="200"/>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28"/>
        </w:rPr>
        <w:t>（1）实施意义</w:t>
      </w:r>
    </w:p>
    <w:p w14:paraId="7E3EB3FA">
      <w:pPr>
        <w:tabs>
          <w:tab w:val="left" w:pos="8323"/>
        </w:tabs>
        <w:spacing w:line="440" w:lineRule="exact"/>
        <w:ind w:firstLine="560" w:firstLineChars="200"/>
        <w:rPr>
          <w:rFonts w:hint="eastAsia" w:asciiTheme="minorEastAsia" w:hAnsiTheme="minorEastAsia" w:eastAsiaTheme="minorEastAsia" w:cstheme="minorEastAsia"/>
          <w:bCs/>
          <w:sz w:val="28"/>
          <w:szCs w:val="28"/>
        </w:rPr>
      </w:pPr>
      <w:r>
        <w:rPr>
          <w:rFonts w:hint="eastAsia" w:asciiTheme="minorEastAsia" w:hAnsiTheme="minorEastAsia" w:eastAsiaTheme="minorEastAsia" w:cstheme="minorEastAsia"/>
          <w:bCs/>
          <w:sz w:val="28"/>
          <w:szCs w:val="28"/>
        </w:rPr>
        <w:t>铁路危险货物运输是支撑我国能源化工产业链与国民经济稳定运行的关键环节，但其货物的易燃、易爆、有毒等高风险特性，使得运输全流程的安全管控压力巨大。当前铁路危货运输隐患排查仍普遍依赖纸质表格、人工打分和线下台账，静态隐患与动态作业隐患排查口径不统一、风险评估缺乏量化标准，既存在效率低下、数据零散的问题，也难以实现隐患排查—风险评估—分级管控的闭环管理，为运输安全埋下了潜在隐患。</w:t>
      </w:r>
    </w:p>
    <w:p w14:paraId="7B56FC57">
      <w:pPr>
        <w:tabs>
          <w:tab w:val="left" w:pos="8323"/>
        </w:tabs>
        <w:spacing w:line="440" w:lineRule="exact"/>
        <w:ind w:firstLine="560" w:firstLineChars="200"/>
        <w:rPr>
          <w:rFonts w:hint="eastAsia" w:asciiTheme="minorEastAsia" w:hAnsiTheme="minorEastAsia" w:eastAsiaTheme="minorEastAsia" w:cstheme="minorEastAsia"/>
          <w:bCs/>
          <w:sz w:val="28"/>
          <w:szCs w:val="28"/>
        </w:rPr>
      </w:pPr>
      <w:r>
        <w:rPr>
          <w:rFonts w:hint="eastAsia" w:asciiTheme="minorEastAsia" w:hAnsiTheme="minorEastAsia" w:eastAsiaTheme="minorEastAsia" w:cstheme="minorEastAsia"/>
          <w:bCs/>
          <w:sz w:val="28"/>
          <w:szCs w:val="28"/>
        </w:rPr>
        <w:t>本项目构建标准化隐患排查清单，建立基于风险矩阵法的风险评估指标体系，并开发可视化、可操作的评估管控平台，不仅能实现隐患排查的规范化、风险评估的量化与分级管控的直观化，有效解决人工管理模式下效率低、主观性强、数据不直观的痛点，更能精准识别高风险隐患点位，为一线管理人员提供科学、高效的决策依据，提前防范重特大安全事故，筑牢铁路危货运输的安全防线。同时，项目基于Python开发的轻量化平台，无需复杂部署即可适配基层站段使用，为铁路危货运输安全管理的数字化转型提供了低成本、可复制的解决方案，具有显著的应用价值与推广前景。</w:t>
      </w:r>
    </w:p>
    <w:p w14:paraId="150750BF">
      <w:pPr>
        <w:tabs>
          <w:tab w:val="left" w:pos="8323"/>
        </w:tabs>
        <w:spacing w:line="440" w:lineRule="exact"/>
        <w:ind w:firstLine="562" w:firstLineChars="200"/>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28"/>
        </w:rPr>
        <w:t>（2）实施目的</w:t>
      </w:r>
    </w:p>
    <w:p w14:paraId="6620E809">
      <w:pPr>
        <w:keepNext w:val="0"/>
        <w:keepLines w:val="0"/>
        <w:pageBreakBefore w:val="0"/>
        <w:widowControl w:val="0"/>
        <w:kinsoku/>
        <w:wordWrap/>
        <w:overflowPunct/>
        <w:topLinePunct w:val="0"/>
        <w:autoSpaceDE/>
        <w:autoSpaceDN/>
        <w:bidi w:val="0"/>
        <w:adjustRightInd/>
        <w:snapToGrid/>
        <w:spacing w:before="160" w:after="80" w:line="440" w:lineRule="exact"/>
        <w:ind w:firstLine="560" w:firstLineChars="200"/>
        <w:textAlignment w:val="auto"/>
        <w:rPr>
          <w:rFonts w:hint="eastAsia" w:ascii="宋体" w:hAnsi="宋体" w:eastAsia="宋体" w:cs="宋体"/>
          <w:b/>
          <w:bCs/>
          <w:sz w:val="28"/>
          <w:szCs w:val="28"/>
        </w:rPr>
      </w:pPr>
      <w:r>
        <w:rPr>
          <w:rFonts w:hint="eastAsia" w:asciiTheme="minorEastAsia" w:hAnsiTheme="minorEastAsia" w:eastAsiaTheme="minorEastAsia" w:cstheme="minorEastAsia"/>
          <w:bCs/>
          <w:sz w:val="28"/>
          <w:szCs w:val="28"/>
        </w:rPr>
        <w:t>通过本项目的实施，首先构建铁路危险货物运输标准化隐患排查清单，整合静态设施隐患与动态作业隐患指标，形成统一、规范的排查依据；其次建立基于风险矩阵法的风险评估指标体系，实现隐患风险的量化分级，明确不同风险等级的管控要求；最后开发可视化、可操作的一体化管控平台，实现隐患录入、自动评估、风险分级、数据可视化展示的全流程线上管理，帮助一线管理人员直观掌握隐患分布与风险状况，提升隐患排查治理与风险管控的效率和精准度，为铁路危险货物运输安全管理提供可落地的数字化工具，推动铁路危险货物运输安全管理向标准化、数字化、可视化转型。</w:t>
      </w:r>
    </w:p>
    <w:p w14:paraId="26E14C63">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三、项目基础与已取得进展</w:t>
      </w:r>
    </w:p>
    <w:p w14:paraId="11F15D5B">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sz w:val="24"/>
          <w:szCs w:val="22"/>
        </w:rPr>
      </w:pPr>
      <w:r>
        <w:rPr>
          <w:rFonts w:hint="eastAsia" w:ascii="宋体" w:hAnsi="宋体" w:eastAsia="宋体" w:cs="宋体"/>
          <w:b/>
          <w:bCs/>
          <w:sz w:val="28"/>
          <w:szCs w:val="28"/>
        </w:rPr>
        <w:t>3.1 现已具备基础</w:t>
      </w:r>
    </w:p>
    <w:p w14:paraId="302E3408">
      <w:pPr>
        <w:tabs>
          <w:tab w:val="left" w:pos="8323"/>
        </w:tabs>
        <w:spacing w:line="440" w:lineRule="exact"/>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团队成员由4名安全工程专业大二本科生组成，专业基础扎实、知识结构互补。团队成员系统学习了安全科学与工程导论、安全系统工程、安全人机工程学、大数据安全分析与处理等核心课程，熟练掌握危险源辨识、风险矩阵构建等专业技能，具备较扎实的理论基础与实操能力。团队成员具备铁路危险货物运输相关的研究经验，前期已完成铁路危货运输风险评估指标体系的构建工作，熟悉铁路危货运输全流程、危险源分类及国家标准规范，积累了一定的研究基础。</w:t>
      </w:r>
    </w:p>
    <w:p w14:paraId="60472CC7">
      <w:pPr>
        <w:tabs>
          <w:tab w:val="left" w:pos="8323"/>
        </w:tabs>
        <w:spacing w:line="440" w:lineRule="exact"/>
        <w:jc w:val="center"/>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表1 铁路危险货物运输隐患排查与风险评估指标体系</w:t>
      </w:r>
    </w:p>
    <w:tbl>
      <w:tblPr>
        <w:tblStyle w:val="3"/>
        <w:tblW w:w="8462" w:type="dxa"/>
        <w:tblInd w:w="0" w:type="dxa"/>
        <w:tblLayout w:type="fixed"/>
        <w:tblCellMar>
          <w:top w:w="0" w:type="dxa"/>
          <w:left w:w="108" w:type="dxa"/>
          <w:bottom w:w="0" w:type="dxa"/>
          <w:right w:w="108" w:type="dxa"/>
        </w:tblCellMar>
      </w:tblPr>
      <w:tblGrid>
        <w:gridCol w:w="1466"/>
        <w:gridCol w:w="1476"/>
        <w:gridCol w:w="1956"/>
        <w:gridCol w:w="3564"/>
      </w:tblGrid>
      <w:tr w14:paraId="26B6710E">
        <w:tblPrEx>
          <w:tblCellMar>
            <w:top w:w="0" w:type="dxa"/>
            <w:left w:w="108" w:type="dxa"/>
            <w:bottom w:w="0" w:type="dxa"/>
            <w:right w:w="108" w:type="dxa"/>
          </w:tblCellMar>
        </w:tblPrEx>
        <w:trPr>
          <w:trHeight w:val="298" w:hRule="atLeast"/>
        </w:trPr>
        <w:tc>
          <w:tcPr>
            <w:tcW w:w="1466" w:type="dxa"/>
            <w:vMerge w:val="restart"/>
            <w:tcBorders>
              <w:top w:val="single" w:color="000000" w:sz="4" w:space="0"/>
              <w:left w:val="single" w:color="000000" w:sz="4" w:space="0"/>
              <w:bottom w:val="single" w:color="000000" w:sz="4" w:space="0"/>
              <w:right w:val="single" w:color="000000" w:sz="4" w:space="0"/>
            </w:tcBorders>
            <w:vAlign w:val="center"/>
          </w:tcPr>
          <w:p w14:paraId="2BCD96CA">
            <w:pPr>
              <w:widowControl/>
              <w:jc w:val="center"/>
              <w:textAlignment w:val="center"/>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b/>
                <w:bCs/>
                <w:color w:val="000000"/>
                <w:kern w:val="0"/>
                <w:sz w:val="28"/>
                <w:szCs w:val="28"/>
                <w:lang w:bidi="ar"/>
              </w:rPr>
              <w:t>铁路危险货物运输隐患排查与风险评估</w:t>
            </w:r>
          </w:p>
        </w:tc>
        <w:tc>
          <w:tcPr>
            <w:tcW w:w="1476" w:type="dxa"/>
            <w:vMerge w:val="restart"/>
            <w:tcBorders>
              <w:top w:val="single" w:color="000000" w:sz="4" w:space="0"/>
              <w:left w:val="nil"/>
              <w:bottom w:val="single" w:color="000000" w:sz="4" w:space="0"/>
              <w:right w:val="single" w:color="000000" w:sz="4" w:space="0"/>
            </w:tcBorders>
            <w:noWrap/>
            <w:vAlign w:val="center"/>
          </w:tcPr>
          <w:p w14:paraId="6EE379C5">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一级指标</w:t>
            </w:r>
          </w:p>
        </w:tc>
        <w:tc>
          <w:tcPr>
            <w:tcW w:w="1956" w:type="dxa"/>
            <w:vMerge w:val="restart"/>
            <w:tcBorders>
              <w:top w:val="single" w:color="000000" w:sz="4" w:space="0"/>
              <w:left w:val="single" w:color="000000" w:sz="4" w:space="0"/>
              <w:bottom w:val="single" w:color="000000" w:sz="4" w:space="0"/>
              <w:right w:val="nil"/>
            </w:tcBorders>
            <w:noWrap/>
            <w:vAlign w:val="center"/>
          </w:tcPr>
          <w:p w14:paraId="7E5C816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二级指标</w:t>
            </w:r>
          </w:p>
        </w:tc>
        <w:tc>
          <w:tcPr>
            <w:tcW w:w="3564" w:type="dxa"/>
            <w:vMerge w:val="restart"/>
            <w:tcBorders>
              <w:top w:val="single" w:color="000000" w:sz="4" w:space="0"/>
              <w:left w:val="single" w:color="000000" w:sz="4" w:space="0"/>
              <w:bottom w:val="single" w:color="000000" w:sz="4" w:space="0"/>
              <w:right w:val="single" w:color="000000" w:sz="4" w:space="0"/>
            </w:tcBorders>
            <w:noWrap/>
            <w:vAlign w:val="center"/>
          </w:tcPr>
          <w:p w14:paraId="3ACCEE3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三级指标</w:t>
            </w:r>
          </w:p>
        </w:tc>
      </w:tr>
      <w:tr w14:paraId="60B4CB3E">
        <w:tblPrEx>
          <w:tblCellMar>
            <w:top w:w="0" w:type="dxa"/>
            <w:left w:w="108" w:type="dxa"/>
            <w:bottom w:w="0" w:type="dxa"/>
            <w:right w:w="108" w:type="dxa"/>
          </w:tblCellMar>
        </w:tblPrEx>
        <w:trPr>
          <w:trHeight w:val="298"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044DC83">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nil"/>
              <w:bottom w:val="single" w:color="000000" w:sz="4" w:space="0"/>
              <w:right w:val="single" w:color="000000" w:sz="4" w:space="0"/>
            </w:tcBorders>
            <w:noWrap/>
            <w:vAlign w:val="center"/>
          </w:tcPr>
          <w:p w14:paraId="4DFBC74B">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708A613B">
            <w:pPr>
              <w:jc w:val="center"/>
              <w:rPr>
                <w:rFonts w:hint="eastAsia" w:asciiTheme="minorEastAsia" w:hAnsiTheme="minorEastAsia" w:eastAsiaTheme="minorEastAsia" w:cstheme="minorEastAsia"/>
                <w:color w:val="000000"/>
                <w:sz w:val="28"/>
                <w:szCs w:val="28"/>
              </w:rPr>
            </w:pPr>
          </w:p>
        </w:tc>
        <w:tc>
          <w:tcPr>
            <w:tcW w:w="3564" w:type="dxa"/>
            <w:vMerge w:val="continue"/>
            <w:tcBorders>
              <w:top w:val="single" w:color="000000" w:sz="4" w:space="0"/>
              <w:left w:val="single" w:color="000000" w:sz="4" w:space="0"/>
              <w:bottom w:val="single" w:color="000000" w:sz="4" w:space="0"/>
              <w:right w:val="single" w:color="000000" w:sz="4" w:space="0"/>
            </w:tcBorders>
            <w:noWrap/>
            <w:vAlign w:val="center"/>
          </w:tcPr>
          <w:p w14:paraId="54FCA4E7">
            <w:pPr>
              <w:jc w:val="center"/>
              <w:rPr>
                <w:rFonts w:hint="eastAsia" w:asciiTheme="minorEastAsia" w:hAnsiTheme="minorEastAsia" w:eastAsiaTheme="minorEastAsia" w:cstheme="minorEastAsia"/>
                <w:color w:val="000000"/>
                <w:sz w:val="28"/>
                <w:szCs w:val="28"/>
              </w:rPr>
            </w:pPr>
          </w:p>
        </w:tc>
      </w:tr>
      <w:tr w14:paraId="2779BF26">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6735E3BB">
            <w:pPr>
              <w:jc w:val="center"/>
              <w:rPr>
                <w:rFonts w:hint="eastAsia" w:asciiTheme="minorEastAsia" w:hAnsiTheme="minorEastAsia" w:eastAsiaTheme="minorEastAsia" w:cstheme="minorEastAsia"/>
                <w:b/>
                <w:bCs/>
                <w:color w:val="000000"/>
                <w:sz w:val="28"/>
                <w:szCs w:val="28"/>
              </w:rPr>
            </w:pPr>
          </w:p>
        </w:tc>
        <w:tc>
          <w:tcPr>
            <w:tcW w:w="1476" w:type="dxa"/>
            <w:vMerge w:val="restart"/>
            <w:tcBorders>
              <w:top w:val="single" w:color="000000" w:sz="4" w:space="0"/>
              <w:left w:val="single" w:color="000000" w:sz="4" w:space="0"/>
              <w:bottom w:val="single" w:color="000000" w:sz="4" w:space="0"/>
              <w:right w:val="single" w:color="000000" w:sz="4" w:space="0"/>
            </w:tcBorders>
            <w:noWrap/>
            <w:vAlign w:val="center"/>
          </w:tcPr>
          <w:p w14:paraId="04FEF55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人的因素</w:t>
            </w:r>
          </w:p>
        </w:tc>
        <w:tc>
          <w:tcPr>
            <w:tcW w:w="1956" w:type="dxa"/>
            <w:vMerge w:val="restart"/>
            <w:tcBorders>
              <w:top w:val="single" w:color="000000" w:sz="4" w:space="0"/>
              <w:left w:val="single" w:color="000000" w:sz="4" w:space="0"/>
              <w:bottom w:val="single" w:color="000000" w:sz="4" w:space="0"/>
              <w:right w:val="nil"/>
            </w:tcBorders>
            <w:noWrap/>
            <w:vAlign w:val="center"/>
          </w:tcPr>
          <w:p w14:paraId="722D7DFE">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现场工作人员</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F8D2F92">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身体健康状况</w:t>
            </w:r>
          </w:p>
        </w:tc>
      </w:tr>
      <w:tr w14:paraId="40D476D4">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8CCC23A">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1E8C5CE">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349D8AC9">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E9DCA25">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心理健康状况</w:t>
            </w:r>
          </w:p>
        </w:tc>
      </w:tr>
      <w:tr w14:paraId="6D159B8F">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F2C9FB5">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58C70CF5">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64179E67">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71DC78B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专业技能实操水平</w:t>
            </w:r>
          </w:p>
        </w:tc>
      </w:tr>
      <w:tr w14:paraId="6B95F13B">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2FB782FB">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0FB9F6F5">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7A42668C">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235612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安全风险预判能力</w:t>
            </w:r>
          </w:p>
        </w:tc>
      </w:tr>
      <w:tr w14:paraId="29A5197E">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3F962BF1">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C8F806F">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51F34C50">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DCBBCF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安全意识与应急能力</w:t>
            </w:r>
          </w:p>
        </w:tc>
      </w:tr>
      <w:tr w14:paraId="085B1AE3">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6524887C">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6E967A8B">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36C6E2CC">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4C636D0A">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安全责任意识</w:t>
            </w:r>
          </w:p>
        </w:tc>
      </w:tr>
      <w:tr w14:paraId="5B93912E">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2676343B">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315AD541">
            <w:pPr>
              <w:jc w:val="center"/>
              <w:rPr>
                <w:rFonts w:hint="eastAsia" w:asciiTheme="minorEastAsia" w:hAnsiTheme="minorEastAsia" w:eastAsiaTheme="minorEastAsia" w:cstheme="minorEastAsia"/>
                <w:color w:val="000000"/>
                <w:sz w:val="28"/>
                <w:szCs w:val="28"/>
              </w:rPr>
            </w:pPr>
          </w:p>
        </w:tc>
        <w:tc>
          <w:tcPr>
            <w:tcW w:w="1956" w:type="dxa"/>
            <w:vMerge w:val="restart"/>
            <w:tcBorders>
              <w:top w:val="single" w:color="000000" w:sz="4" w:space="0"/>
              <w:left w:val="single" w:color="000000" w:sz="4" w:space="0"/>
              <w:bottom w:val="single" w:color="000000" w:sz="4" w:space="0"/>
              <w:right w:val="nil"/>
            </w:tcBorders>
            <w:noWrap/>
            <w:vAlign w:val="center"/>
          </w:tcPr>
          <w:p w14:paraId="648355C1">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管理人员</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2EB38113">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安全管理知识储备</w:t>
            </w:r>
          </w:p>
        </w:tc>
      </w:tr>
      <w:tr w14:paraId="70862EC5">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F8122DF">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0C43F7B5">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2AA3052E">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267A89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安全风险管理水平</w:t>
            </w:r>
          </w:p>
        </w:tc>
      </w:tr>
      <w:tr w14:paraId="0F9D0FFC">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F44148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A624DE2">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0BB31492">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5B8AEF68">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现场应急管理能力</w:t>
            </w:r>
          </w:p>
        </w:tc>
      </w:tr>
      <w:tr w14:paraId="71B9DD76">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5189DFF">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8158CC8">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0ECDD8C1">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5A00EB3">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安全制度执行监督力度</w:t>
            </w:r>
          </w:p>
        </w:tc>
      </w:tr>
      <w:tr w14:paraId="0ECE1710">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6EDD6372">
            <w:pPr>
              <w:jc w:val="center"/>
              <w:rPr>
                <w:rFonts w:hint="eastAsia" w:asciiTheme="minorEastAsia" w:hAnsiTheme="minorEastAsia" w:eastAsiaTheme="minorEastAsia" w:cstheme="minorEastAsia"/>
                <w:b/>
                <w:bCs/>
                <w:color w:val="000000"/>
                <w:sz w:val="28"/>
                <w:szCs w:val="28"/>
              </w:rPr>
            </w:pPr>
          </w:p>
        </w:tc>
        <w:tc>
          <w:tcPr>
            <w:tcW w:w="1476" w:type="dxa"/>
            <w:vMerge w:val="restart"/>
            <w:tcBorders>
              <w:top w:val="single" w:color="000000" w:sz="4" w:space="0"/>
              <w:left w:val="single" w:color="000000" w:sz="4" w:space="0"/>
              <w:bottom w:val="single" w:color="000000" w:sz="4" w:space="0"/>
              <w:right w:val="single" w:color="000000" w:sz="4" w:space="0"/>
            </w:tcBorders>
            <w:noWrap/>
            <w:vAlign w:val="center"/>
          </w:tcPr>
          <w:p w14:paraId="0FFFBEBB">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物的因素</w:t>
            </w:r>
          </w:p>
        </w:tc>
        <w:tc>
          <w:tcPr>
            <w:tcW w:w="1956" w:type="dxa"/>
            <w:vMerge w:val="restart"/>
            <w:tcBorders>
              <w:top w:val="single" w:color="000000" w:sz="4" w:space="0"/>
              <w:left w:val="single" w:color="000000" w:sz="4" w:space="0"/>
              <w:bottom w:val="single" w:color="000000" w:sz="4" w:space="0"/>
              <w:right w:val="nil"/>
            </w:tcBorders>
            <w:noWrap/>
            <w:vAlign w:val="center"/>
          </w:tcPr>
          <w:p w14:paraId="7A2FD2BB">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运输货物</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5E37CDF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危险品种类</w:t>
            </w:r>
          </w:p>
        </w:tc>
      </w:tr>
      <w:tr w14:paraId="3741905A">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35876708">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F1E87D5">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058CFD10">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14F57866">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危险品规格</w:t>
            </w:r>
          </w:p>
        </w:tc>
      </w:tr>
      <w:tr w14:paraId="2E82089F">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C8E5C35">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02459D19">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3108C754">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81AE15E">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危险品数量</w:t>
            </w:r>
          </w:p>
        </w:tc>
      </w:tr>
      <w:tr w14:paraId="2A5044B7">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1E89D27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E45DBFB">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2158BB68">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98E5782">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危险品包装材料</w:t>
            </w:r>
          </w:p>
        </w:tc>
      </w:tr>
      <w:tr w14:paraId="25E0E085">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B8F2146">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609BC18A">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45A9FBC2">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D6E5023">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危险品包装完整性</w:t>
            </w:r>
          </w:p>
        </w:tc>
      </w:tr>
      <w:tr w14:paraId="19359FDF">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8F9089D">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082EB660">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6EE5AB7B">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611493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危险品标识清晰度</w:t>
            </w:r>
          </w:p>
        </w:tc>
      </w:tr>
      <w:tr w14:paraId="0FC58441">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4D494C7">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35B38446">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36375935">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2758CC4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危险品堆码合理性</w:t>
            </w:r>
          </w:p>
        </w:tc>
      </w:tr>
      <w:tr w14:paraId="73F63486">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E390D61">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633DD738">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24EA99B6">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4A282767">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危险品火灾爆炸危害性</w:t>
            </w:r>
          </w:p>
        </w:tc>
      </w:tr>
      <w:tr w14:paraId="32A321C1">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14AA463C">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81D05DA">
            <w:pPr>
              <w:jc w:val="center"/>
              <w:rPr>
                <w:rFonts w:hint="eastAsia" w:asciiTheme="minorEastAsia" w:hAnsiTheme="minorEastAsia" w:eastAsiaTheme="minorEastAsia" w:cstheme="minorEastAsia"/>
                <w:color w:val="000000"/>
                <w:sz w:val="28"/>
                <w:szCs w:val="28"/>
              </w:rPr>
            </w:pPr>
          </w:p>
        </w:tc>
        <w:tc>
          <w:tcPr>
            <w:tcW w:w="1956" w:type="dxa"/>
            <w:vMerge w:val="restart"/>
            <w:tcBorders>
              <w:top w:val="single" w:color="000000" w:sz="4" w:space="0"/>
              <w:left w:val="single" w:color="000000" w:sz="4" w:space="0"/>
              <w:bottom w:val="single" w:color="000000" w:sz="4" w:space="0"/>
              <w:right w:val="nil"/>
            </w:tcBorders>
            <w:noWrap/>
            <w:vAlign w:val="center"/>
          </w:tcPr>
          <w:p w14:paraId="4F5B8A65">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列车/车辆</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11129AE8">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列车制动系统性能</w:t>
            </w:r>
          </w:p>
        </w:tc>
      </w:tr>
      <w:tr w14:paraId="0871F665">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FB6E0D3">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EF7CAF4">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6CDE8E00">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4C9C2EF1">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列车走行部状态</w:t>
            </w:r>
          </w:p>
        </w:tc>
      </w:tr>
      <w:tr w14:paraId="2C25B633">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363281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C718061">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477E7D4D">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77B297D3">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列车安全附件有效性</w:t>
            </w:r>
          </w:p>
        </w:tc>
      </w:tr>
      <w:tr w14:paraId="4E98BEC4">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30BF158C">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17E2950C">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2B8C9559">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47A88BA">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列车警示标识规范性</w:t>
            </w:r>
          </w:p>
        </w:tc>
      </w:tr>
      <w:tr w14:paraId="2336DFF5">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629591E">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5A602775">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nil"/>
            </w:tcBorders>
            <w:noWrap/>
            <w:vAlign w:val="center"/>
          </w:tcPr>
          <w:p w14:paraId="6621EA13">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29C0FD6">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列车罐体密封性</w:t>
            </w:r>
          </w:p>
        </w:tc>
      </w:tr>
      <w:tr w14:paraId="55C6A53A">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1660D2F9">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A0BDF81">
            <w:pPr>
              <w:jc w:val="center"/>
              <w:rPr>
                <w:rFonts w:hint="eastAsia" w:asciiTheme="minorEastAsia" w:hAnsiTheme="minorEastAsia" w:eastAsiaTheme="minorEastAsia" w:cstheme="minorEastAsia"/>
                <w:color w:val="000000"/>
                <w:sz w:val="28"/>
                <w:szCs w:val="28"/>
              </w:rPr>
            </w:pPr>
          </w:p>
        </w:tc>
        <w:tc>
          <w:tcPr>
            <w:tcW w:w="1956" w:type="dxa"/>
            <w:vMerge w:val="restart"/>
            <w:tcBorders>
              <w:top w:val="nil"/>
              <w:left w:val="single" w:color="000000" w:sz="4" w:space="0"/>
              <w:bottom w:val="nil"/>
              <w:right w:val="nil"/>
            </w:tcBorders>
            <w:noWrap/>
            <w:vAlign w:val="center"/>
          </w:tcPr>
          <w:p w14:paraId="1E512B5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站台场地</w:t>
            </w:r>
          </w:p>
        </w:tc>
        <w:tc>
          <w:tcPr>
            <w:tcW w:w="3564" w:type="dxa"/>
            <w:tcBorders>
              <w:top w:val="single" w:color="000000" w:sz="4" w:space="0"/>
              <w:left w:val="single" w:color="000000" w:sz="4" w:space="0"/>
              <w:bottom w:val="nil"/>
              <w:right w:val="single" w:color="000000" w:sz="4" w:space="0"/>
            </w:tcBorders>
            <w:noWrap/>
            <w:vAlign w:val="center"/>
          </w:tcPr>
          <w:p w14:paraId="5B19E22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站台地面平面布局</w:t>
            </w:r>
          </w:p>
        </w:tc>
      </w:tr>
      <w:tr w14:paraId="35676CF5">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421C52B">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12605D63">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5D6D98FA">
            <w:pPr>
              <w:jc w:val="center"/>
              <w:rPr>
                <w:rFonts w:hint="eastAsia" w:asciiTheme="minorEastAsia" w:hAnsiTheme="minorEastAsia" w:eastAsiaTheme="minorEastAsia" w:cstheme="minorEastAsia"/>
                <w:color w:val="000000"/>
                <w:sz w:val="28"/>
                <w:szCs w:val="28"/>
              </w:rPr>
            </w:pPr>
          </w:p>
        </w:tc>
        <w:tc>
          <w:tcPr>
            <w:tcW w:w="3564" w:type="dxa"/>
            <w:tcBorders>
              <w:top w:val="nil"/>
              <w:left w:val="nil"/>
              <w:bottom w:val="nil"/>
              <w:right w:val="single" w:color="000000" w:sz="4" w:space="0"/>
            </w:tcBorders>
            <w:noWrap/>
            <w:vAlign w:val="center"/>
          </w:tcPr>
          <w:p w14:paraId="0C93EFA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站台地面材料</w:t>
            </w:r>
          </w:p>
        </w:tc>
      </w:tr>
      <w:tr w14:paraId="78810283">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900E8C0">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3BD65B0C">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5D1E7AFF">
            <w:pPr>
              <w:jc w:val="center"/>
              <w:rPr>
                <w:rFonts w:hint="eastAsia" w:asciiTheme="minorEastAsia" w:hAnsiTheme="minorEastAsia" w:eastAsiaTheme="minorEastAsia" w:cstheme="minorEastAsia"/>
                <w:color w:val="000000"/>
                <w:sz w:val="28"/>
                <w:szCs w:val="28"/>
              </w:rPr>
            </w:pPr>
          </w:p>
        </w:tc>
        <w:tc>
          <w:tcPr>
            <w:tcW w:w="3564" w:type="dxa"/>
            <w:tcBorders>
              <w:top w:val="nil"/>
              <w:left w:val="single" w:color="000000" w:sz="4" w:space="0"/>
              <w:bottom w:val="single" w:color="000000" w:sz="4" w:space="0"/>
              <w:right w:val="single" w:color="000000" w:sz="4" w:space="0"/>
            </w:tcBorders>
            <w:noWrap/>
            <w:vAlign w:val="center"/>
          </w:tcPr>
          <w:p w14:paraId="58236D6A">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消防灭火器材的配置</w:t>
            </w:r>
          </w:p>
        </w:tc>
      </w:tr>
      <w:tr w14:paraId="33BF4D26">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194F83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64EE3388">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1EAB8997">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F24DE9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消防灭火器材的选用</w:t>
            </w:r>
          </w:p>
        </w:tc>
      </w:tr>
      <w:tr w14:paraId="31E860FD">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213A1745">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0A4F705">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4DF52235">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DBDB78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消防用水量</w:t>
            </w:r>
          </w:p>
        </w:tc>
      </w:tr>
      <w:tr w14:paraId="73DD69C1">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F72653D">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90DFC58">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4BDE7CBD">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nil"/>
              <w:right w:val="single" w:color="000000" w:sz="4" w:space="0"/>
            </w:tcBorders>
            <w:noWrap/>
            <w:vAlign w:val="center"/>
          </w:tcPr>
          <w:p w14:paraId="28F2ABF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消防栓配置</w:t>
            </w:r>
          </w:p>
        </w:tc>
      </w:tr>
      <w:tr w14:paraId="483133DB">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2B472CBC">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63CE74DF">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62870522">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nil"/>
              <w:right w:val="single" w:color="000000" w:sz="4" w:space="0"/>
            </w:tcBorders>
            <w:noWrap/>
            <w:vAlign w:val="center"/>
          </w:tcPr>
          <w:p w14:paraId="5D7D8BC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消防车道</w:t>
            </w:r>
          </w:p>
        </w:tc>
      </w:tr>
      <w:tr w14:paraId="40C65A63">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87D000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119648FA">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1BD4E68D">
            <w:pPr>
              <w:jc w:val="center"/>
              <w:rPr>
                <w:rFonts w:hint="eastAsia" w:asciiTheme="minorEastAsia" w:hAnsiTheme="minorEastAsia" w:eastAsiaTheme="minorEastAsia" w:cstheme="minorEastAsia"/>
                <w:color w:val="000000"/>
                <w:sz w:val="28"/>
                <w:szCs w:val="28"/>
              </w:rPr>
            </w:pPr>
          </w:p>
        </w:tc>
        <w:tc>
          <w:tcPr>
            <w:tcW w:w="3564" w:type="dxa"/>
            <w:tcBorders>
              <w:top w:val="nil"/>
              <w:left w:val="single" w:color="000000" w:sz="4" w:space="0"/>
              <w:bottom w:val="nil"/>
              <w:right w:val="single" w:color="000000" w:sz="4" w:space="0"/>
            </w:tcBorders>
            <w:noWrap/>
            <w:vAlign w:val="center"/>
          </w:tcPr>
          <w:p w14:paraId="56168B6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安全防护设施设计与使用</w:t>
            </w:r>
          </w:p>
        </w:tc>
      </w:tr>
      <w:tr w14:paraId="66B45A23">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463FE6E">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297E5F6">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44C04B4F">
            <w:pPr>
              <w:jc w:val="center"/>
              <w:rPr>
                <w:rFonts w:hint="eastAsia" w:asciiTheme="minorEastAsia" w:hAnsiTheme="minorEastAsia" w:eastAsiaTheme="minorEastAsia" w:cstheme="minorEastAsia"/>
                <w:color w:val="000000"/>
                <w:sz w:val="28"/>
                <w:szCs w:val="28"/>
              </w:rPr>
            </w:pPr>
          </w:p>
        </w:tc>
        <w:tc>
          <w:tcPr>
            <w:tcW w:w="3564" w:type="dxa"/>
            <w:tcBorders>
              <w:top w:val="nil"/>
              <w:left w:val="single" w:color="000000" w:sz="4" w:space="0"/>
              <w:bottom w:val="nil"/>
              <w:right w:val="single" w:color="000000" w:sz="4" w:space="0"/>
            </w:tcBorders>
            <w:noWrap/>
            <w:vAlign w:val="center"/>
          </w:tcPr>
          <w:p w14:paraId="5635FC23">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雨棚的设计与使用</w:t>
            </w:r>
          </w:p>
        </w:tc>
      </w:tr>
      <w:tr w14:paraId="694C5BF6">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F47C68D">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34C2D05">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2F3DECAB">
            <w:pPr>
              <w:jc w:val="center"/>
              <w:rPr>
                <w:rFonts w:hint="eastAsia" w:asciiTheme="minorEastAsia" w:hAnsiTheme="minorEastAsia" w:eastAsiaTheme="minorEastAsia" w:cstheme="minorEastAsia"/>
                <w:color w:val="000000"/>
                <w:sz w:val="28"/>
                <w:szCs w:val="28"/>
              </w:rPr>
            </w:pPr>
          </w:p>
        </w:tc>
        <w:tc>
          <w:tcPr>
            <w:tcW w:w="3564" w:type="dxa"/>
            <w:tcBorders>
              <w:top w:val="nil"/>
              <w:left w:val="single" w:color="000000" w:sz="4" w:space="0"/>
              <w:bottom w:val="single" w:color="000000" w:sz="4" w:space="0"/>
              <w:right w:val="single" w:color="000000" w:sz="4" w:space="0"/>
            </w:tcBorders>
            <w:noWrap/>
            <w:vAlign w:val="center"/>
          </w:tcPr>
          <w:p w14:paraId="464379F2">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照明设施工作状态</w:t>
            </w:r>
          </w:p>
        </w:tc>
      </w:tr>
      <w:tr w14:paraId="630E5D2B">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378CBF68">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3DD95228">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15F31B61">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F02266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防雷设施工作状态</w:t>
            </w:r>
          </w:p>
        </w:tc>
      </w:tr>
      <w:tr w14:paraId="0D685203">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4C78037">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ED1534B">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6C69FFD9">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nil"/>
              <w:right w:val="single" w:color="000000" w:sz="4" w:space="0"/>
            </w:tcBorders>
            <w:noWrap/>
            <w:vAlign w:val="center"/>
          </w:tcPr>
          <w:p w14:paraId="1FABBD5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防静电设施工作状态</w:t>
            </w:r>
          </w:p>
        </w:tc>
      </w:tr>
      <w:tr w14:paraId="2CE0CC30">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4778CE3">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84AA3E8">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7F6C09EA">
            <w:pPr>
              <w:jc w:val="center"/>
              <w:rPr>
                <w:rFonts w:hint="eastAsia" w:asciiTheme="minorEastAsia" w:hAnsiTheme="minorEastAsia" w:eastAsiaTheme="minorEastAsia" w:cstheme="minorEastAsia"/>
                <w:color w:val="000000"/>
                <w:sz w:val="28"/>
                <w:szCs w:val="28"/>
              </w:rPr>
            </w:pPr>
          </w:p>
        </w:tc>
        <w:tc>
          <w:tcPr>
            <w:tcW w:w="3564" w:type="dxa"/>
            <w:tcBorders>
              <w:top w:val="nil"/>
              <w:left w:val="single" w:color="000000" w:sz="4" w:space="0"/>
              <w:bottom w:val="nil"/>
              <w:right w:val="single" w:color="000000" w:sz="4" w:space="0"/>
            </w:tcBorders>
            <w:noWrap/>
            <w:vAlign w:val="center"/>
          </w:tcPr>
          <w:p w14:paraId="69E1FDAE">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个体防护装备的配备与使用</w:t>
            </w:r>
          </w:p>
        </w:tc>
      </w:tr>
      <w:tr w14:paraId="612368FA">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66421C92">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125ADC6C">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502C398C">
            <w:pPr>
              <w:jc w:val="center"/>
              <w:rPr>
                <w:rFonts w:hint="eastAsia" w:asciiTheme="minorEastAsia" w:hAnsiTheme="minorEastAsia" w:eastAsiaTheme="minorEastAsia" w:cstheme="minorEastAsia"/>
                <w:color w:val="000000"/>
                <w:sz w:val="28"/>
                <w:szCs w:val="28"/>
              </w:rPr>
            </w:pPr>
          </w:p>
        </w:tc>
        <w:tc>
          <w:tcPr>
            <w:tcW w:w="3564" w:type="dxa"/>
            <w:tcBorders>
              <w:top w:val="nil"/>
              <w:left w:val="single" w:color="000000" w:sz="4" w:space="0"/>
              <w:bottom w:val="single" w:color="000000" w:sz="4" w:space="0"/>
              <w:right w:val="single" w:color="000000" w:sz="4" w:space="0"/>
            </w:tcBorders>
            <w:noWrap/>
            <w:vAlign w:val="center"/>
          </w:tcPr>
          <w:p w14:paraId="49988C7A">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应急救援物资的配备</w:t>
            </w:r>
          </w:p>
        </w:tc>
      </w:tr>
      <w:tr w14:paraId="1C164731">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360E9B62">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A0C8431">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17C581B1">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B6087F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安全警示标志的使用</w:t>
            </w:r>
          </w:p>
        </w:tc>
      </w:tr>
      <w:tr w14:paraId="69EB82A6">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49232C8">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C717D23">
            <w:pPr>
              <w:jc w:val="center"/>
              <w:rPr>
                <w:rFonts w:hint="eastAsia" w:asciiTheme="minorEastAsia" w:hAnsiTheme="minorEastAsia" w:eastAsiaTheme="minorEastAsia" w:cstheme="minorEastAsia"/>
                <w:color w:val="000000"/>
                <w:sz w:val="28"/>
                <w:szCs w:val="28"/>
              </w:rPr>
            </w:pPr>
          </w:p>
        </w:tc>
        <w:tc>
          <w:tcPr>
            <w:tcW w:w="1956" w:type="dxa"/>
            <w:vMerge w:val="continue"/>
            <w:tcBorders>
              <w:top w:val="nil"/>
              <w:left w:val="single" w:color="000000" w:sz="4" w:space="0"/>
              <w:bottom w:val="nil"/>
              <w:right w:val="nil"/>
            </w:tcBorders>
            <w:noWrap/>
            <w:vAlign w:val="center"/>
          </w:tcPr>
          <w:p w14:paraId="22A950D5">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8F5718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与建（构）筑物的安全距离</w:t>
            </w:r>
          </w:p>
        </w:tc>
      </w:tr>
      <w:tr w14:paraId="2F8ECF5F">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BD024D1">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1D73F4BF">
            <w:pPr>
              <w:jc w:val="center"/>
              <w:rPr>
                <w:rFonts w:hint="eastAsia" w:asciiTheme="minorEastAsia" w:hAnsiTheme="minorEastAsia" w:eastAsiaTheme="minorEastAsia" w:cstheme="minorEastAsia"/>
                <w:color w:val="000000"/>
                <w:sz w:val="28"/>
                <w:szCs w:val="28"/>
              </w:rPr>
            </w:pPr>
          </w:p>
        </w:tc>
        <w:tc>
          <w:tcPr>
            <w:tcW w:w="1956" w:type="dxa"/>
            <w:vMerge w:val="restart"/>
            <w:tcBorders>
              <w:top w:val="single" w:color="000000" w:sz="4" w:space="0"/>
              <w:left w:val="single" w:color="000000" w:sz="4" w:space="0"/>
              <w:bottom w:val="single" w:color="000000" w:sz="4" w:space="0"/>
              <w:right w:val="single" w:color="000000" w:sz="4" w:space="0"/>
            </w:tcBorders>
            <w:noWrap/>
            <w:vAlign w:val="center"/>
          </w:tcPr>
          <w:p w14:paraId="49F3F81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装卸车辆及相关设备</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41ED707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装卸车辆工作年限与状态</w:t>
            </w:r>
          </w:p>
        </w:tc>
      </w:tr>
      <w:tr w14:paraId="1717E6B4">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3E3C9B0">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692C4E0">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61A12F6D">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ED7940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装卸车辆安全防护装置工作状态</w:t>
            </w:r>
          </w:p>
        </w:tc>
      </w:tr>
      <w:tr w14:paraId="2298C865">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89E234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1DC69DF2">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5B234438">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4327FE58">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装卸设备技术状况</w:t>
            </w:r>
          </w:p>
        </w:tc>
      </w:tr>
      <w:tr w14:paraId="6DE0D8F0">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5291712">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5F495AF0">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7F237A48">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661658E">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装卸设备操作使用便捷性</w:t>
            </w:r>
          </w:p>
        </w:tc>
      </w:tr>
      <w:tr w14:paraId="4432FA9B">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DED37E5">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19FF1B3D">
            <w:pPr>
              <w:jc w:val="center"/>
              <w:rPr>
                <w:rFonts w:hint="eastAsia" w:asciiTheme="minorEastAsia" w:hAnsiTheme="minorEastAsia" w:eastAsiaTheme="minorEastAsia" w:cstheme="minorEastAsia"/>
                <w:color w:val="000000"/>
                <w:sz w:val="28"/>
                <w:szCs w:val="28"/>
              </w:rPr>
            </w:pPr>
          </w:p>
        </w:tc>
        <w:tc>
          <w:tcPr>
            <w:tcW w:w="1956" w:type="dxa"/>
            <w:vMerge w:val="restart"/>
            <w:tcBorders>
              <w:top w:val="single" w:color="000000" w:sz="4" w:space="0"/>
              <w:left w:val="single" w:color="000000" w:sz="4" w:space="0"/>
              <w:bottom w:val="single" w:color="000000" w:sz="4" w:space="0"/>
              <w:right w:val="single" w:color="000000" w:sz="4" w:space="0"/>
            </w:tcBorders>
            <w:noWrap/>
            <w:vAlign w:val="center"/>
          </w:tcPr>
          <w:p w14:paraId="590D81A1">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防护设备</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28BFCC21">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个人防护用品完好度</w:t>
            </w:r>
          </w:p>
        </w:tc>
      </w:tr>
      <w:tr w14:paraId="61A68DB2">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9B4D81F">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65A9CFF9">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39361C0F">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B84B20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防护设备适用性</w:t>
            </w:r>
          </w:p>
        </w:tc>
      </w:tr>
      <w:tr w14:paraId="70B36655">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6D58A911">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3C6E1EAE">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74E70748">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7714402F">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防护设备配备充足性</w:t>
            </w:r>
          </w:p>
        </w:tc>
      </w:tr>
      <w:tr w14:paraId="142F7179">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333541AA">
            <w:pPr>
              <w:jc w:val="center"/>
              <w:rPr>
                <w:rFonts w:hint="eastAsia" w:asciiTheme="minorEastAsia" w:hAnsiTheme="minorEastAsia" w:eastAsiaTheme="minorEastAsia" w:cstheme="minorEastAsia"/>
                <w:b/>
                <w:bCs/>
                <w:color w:val="000000"/>
                <w:sz w:val="28"/>
                <w:szCs w:val="28"/>
              </w:rPr>
            </w:pPr>
          </w:p>
        </w:tc>
        <w:tc>
          <w:tcPr>
            <w:tcW w:w="1476" w:type="dxa"/>
            <w:vMerge w:val="restart"/>
            <w:tcBorders>
              <w:top w:val="single" w:color="000000" w:sz="4" w:space="0"/>
              <w:left w:val="single" w:color="000000" w:sz="4" w:space="0"/>
              <w:bottom w:val="single" w:color="000000" w:sz="4" w:space="0"/>
              <w:right w:val="single" w:color="000000" w:sz="4" w:space="0"/>
            </w:tcBorders>
            <w:noWrap/>
            <w:vAlign w:val="center"/>
          </w:tcPr>
          <w:p w14:paraId="1BFA03D7">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环境因素</w:t>
            </w:r>
          </w:p>
        </w:tc>
        <w:tc>
          <w:tcPr>
            <w:tcW w:w="1956" w:type="dxa"/>
            <w:vMerge w:val="restart"/>
            <w:tcBorders>
              <w:top w:val="single" w:color="000000" w:sz="4" w:space="0"/>
              <w:left w:val="single" w:color="000000" w:sz="4" w:space="0"/>
              <w:bottom w:val="single" w:color="000000" w:sz="4" w:space="0"/>
              <w:right w:val="single" w:color="000000" w:sz="4" w:space="0"/>
            </w:tcBorders>
            <w:noWrap/>
            <w:vAlign w:val="center"/>
          </w:tcPr>
          <w:p w14:paraId="0E032D03">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自然环境</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21C23F91">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极端气象环境</w:t>
            </w:r>
          </w:p>
        </w:tc>
      </w:tr>
      <w:tr w14:paraId="04F1B040">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558932B5">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3B68276">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3A73353F">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33A926A">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自然灾害情况</w:t>
            </w:r>
          </w:p>
        </w:tc>
      </w:tr>
      <w:tr w14:paraId="5B9F418C">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8881716">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CBB0AB2">
            <w:pPr>
              <w:jc w:val="center"/>
              <w:rPr>
                <w:rFonts w:hint="eastAsia" w:asciiTheme="minorEastAsia" w:hAnsiTheme="minorEastAsia" w:eastAsiaTheme="minorEastAsia" w:cstheme="minorEastAsia"/>
                <w:color w:val="000000"/>
                <w:sz w:val="28"/>
                <w:szCs w:val="28"/>
              </w:rPr>
            </w:pPr>
          </w:p>
        </w:tc>
        <w:tc>
          <w:tcPr>
            <w:tcW w:w="1956" w:type="dxa"/>
            <w:tcBorders>
              <w:top w:val="single" w:color="000000" w:sz="4" w:space="0"/>
              <w:left w:val="single" w:color="000000" w:sz="4" w:space="0"/>
              <w:bottom w:val="single" w:color="000000" w:sz="4" w:space="0"/>
              <w:right w:val="single" w:color="000000" w:sz="4" w:space="0"/>
            </w:tcBorders>
            <w:noWrap/>
            <w:vAlign w:val="center"/>
          </w:tcPr>
          <w:p w14:paraId="30745A97">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社会环境</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1A456D9B">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外部环境安全状况</w:t>
            </w:r>
          </w:p>
        </w:tc>
      </w:tr>
      <w:tr w14:paraId="39D5174C">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0330D95">
            <w:pPr>
              <w:jc w:val="center"/>
              <w:rPr>
                <w:rFonts w:hint="eastAsia" w:asciiTheme="minorEastAsia" w:hAnsiTheme="minorEastAsia" w:eastAsiaTheme="minorEastAsia" w:cstheme="minorEastAsia"/>
                <w:b/>
                <w:bCs/>
                <w:color w:val="000000"/>
                <w:sz w:val="28"/>
                <w:szCs w:val="28"/>
              </w:rPr>
            </w:pPr>
          </w:p>
        </w:tc>
        <w:tc>
          <w:tcPr>
            <w:tcW w:w="1476" w:type="dxa"/>
            <w:vMerge w:val="restart"/>
            <w:tcBorders>
              <w:top w:val="single" w:color="000000" w:sz="4" w:space="0"/>
              <w:left w:val="single" w:color="000000" w:sz="4" w:space="0"/>
              <w:bottom w:val="single" w:color="000000" w:sz="4" w:space="0"/>
              <w:right w:val="single" w:color="000000" w:sz="4" w:space="0"/>
            </w:tcBorders>
            <w:noWrap/>
            <w:vAlign w:val="center"/>
          </w:tcPr>
          <w:p w14:paraId="4B7C63D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管理因素</w:t>
            </w:r>
          </w:p>
        </w:tc>
        <w:tc>
          <w:tcPr>
            <w:tcW w:w="1956" w:type="dxa"/>
            <w:vMerge w:val="restart"/>
            <w:tcBorders>
              <w:top w:val="single" w:color="000000" w:sz="4" w:space="0"/>
              <w:left w:val="single" w:color="000000" w:sz="4" w:space="0"/>
              <w:bottom w:val="single" w:color="000000" w:sz="4" w:space="0"/>
              <w:right w:val="single" w:color="000000" w:sz="4" w:space="0"/>
            </w:tcBorders>
            <w:noWrap/>
            <w:vAlign w:val="center"/>
          </w:tcPr>
          <w:p w14:paraId="74E968CA">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安全制度管理</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1C73CE6B">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安全制度完善性</w:t>
            </w:r>
          </w:p>
        </w:tc>
      </w:tr>
      <w:tr w14:paraId="24BCF436">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E7CE65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FE93284">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4C200DFF">
            <w:pPr>
              <w:jc w:val="center"/>
              <w:rPr>
                <w:rFonts w:hint="eastAsia" w:asciiTheme="minorEastAsia" w:hAnsiTheme="minorEastAsia" w:eastAsiaTheme="minorEastAsia" w:cstheme="minorEastAsia"/>
                <w:color w:val="000000"/>
                <w:sz w:val="28"/>
                <w:szCs w:val="28"/>
              </w:rPr>
            </w:pPr>
          </w:p>
        </w:tc>
        <w:tc>
          <w:tcPr>
            <w:tcW w:w="3564" w:type="dxa"/>
            <w:tcBorders>
              <w:top w:val="nil"/>
              <w:left w:val="nil"/>
              <w:bottom w:val="nil"/>
              <w:right w:val="nil"/>
            </w:tcBorders>
            <w:noWrap/>
            <w:vAlign w:val="center"/>
          </w:tcPr>
          <w:p w14:paraId="11346DE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安全制度更新及时性</w:t>
            </w:r>
          </w:p>
        </w:tc>
      </w:tr>
      <w:tr w14:paraId="60699567">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213E3616">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7EBC3B2">
            <w:pPr>
              <w:jc w:val="center"/>
              <w:rPr>
                <w:rFonts w:hint="eastAsia" w:asciiTheme="minorEastAsia" w:hAnsiTheme="minorEastAsia" w:eastAsiaTheme="minorEastAsia" w:cstheme="minorEastAsia"/>
                <w:color w:val="000000"/>
                <w:sz w:val="28"/>
                <w:szCs w:val="28"/>
              </w:rPr>
            </w:pPr>
          </w:p>
        </w:tc>
        <w:tc>
          <w:tcPr>
            <w:tcW w:w="1956" w:type="dxa"/>
            <w:vMerge w:val="restart"/>
            <w:tcBorders>
              <w:top w:val="single" w:color="000000" w:sz="4" w:space="0"/>
              <w:left w:val="single" w:color="000000" w:sz="4" w:space="0"/>
              <w:bottom w:val="single" w:color="000000" w:sz="4" w:space="0"/>
              <w:right w:val="single" w:color="000000" w:sz="4" w:space="0"/>
            </w:tcBorders>
            <w:noWrap/>
            <w:vAlign w:val="center"/>
          </w:tcPr>
          <w:p w14:paraId="196DC7E7">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铁路运输单位与托运人管理</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1B2901D8">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安全教育培训规章制度</w:t>
            </w:r>
          </w:p>
        </w:tc>
      </w:tr>
      <w:tr w14:paraId="182DA8D6">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37CE49E">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65FBB610">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722FA539">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5810EB17">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突发事件应急预案</w:t>
            </w:r>
          </w:p>
        </w:tc>
      </w:tr>
      <w:tr w14:paraId="55870558">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A2FC797">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59DECD8">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558F549A">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DF52174">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人员从业资质</w:t>
            </w:r>
          </w:p>
        </w:tc>
      </w:tr>
      <w:tr w14:paraId="6C5326C3">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9F1BB76">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57C23249">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68F1223B">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EB818F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业务培训情况</w:t>
            </w:r>
          </w:p>
        </w:tc>
      </w:tr>
      <w:tr w14:paraId="66E1783F">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369FB999">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395BA9A4">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321FF291">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0F77D7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行政许可审批材料完整性</w:t>
            </w:r>
          </w:p>
        </w:tc>
      </w:tr>
      <w:tr w14:paraId="6A64B551">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1BCBFDB">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A30DB4E">
            <w:pPr>
              <w:jc w:val="center"/>
              <w:rPr>
                <w:rFonts w:hint="eastAsia" w:asciiTheme="minorEastAsia" w:hAnsiTheme="minorEastAsia" w:eastAsiaTheme="minorEastAsia" w:cstheme="minorEastAsia"/>
                <w:color w:val="000000"/>
                <w:sz w:val="28"/>
                <w:szCs w:val="28"/>
              </w:rPr>
            </w:pPr>
          </w:p>
        </w:tc>
        <w:tc>
          <w:tcPr>
            <w:tcW w:w="1956" w:type="dxa"/>
            <w:vMerge w:val="restart"/>
            <w:tcBorders>
              <w:top w:val="single" w:color="000000" w:sz="4" w:space="0"/>
              <w:left w:val="single" w:color="000000" w:sz="4" w:space="0"/>
              <w:bottom w:val="single" w:color="000000" w:sz="4" w:space="0"/>
              <w:right w:val="single" w:color="000000" w:sz="4" w:space="0"/>
            </w:tcBorders>
            <w:noWrap/>
            <w:vAlign w:val="center"/>
          </w:tcPr>
          <w:p w14:paraId="79CE32FE">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监督检查管理</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4BAE1172">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日常检查频次</w:t>
            </w:r>
          </w:p>
        </w:tc>
      </w:tr>
      <w:tr w14:paraId="680FEFA2">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B1F713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1A47B7FC">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5F1AF931">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5253BC1D">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隐患整改闭环率</w:t>
            </w:r>
          </w:p>
        </w:tc>
      </w:tr>
      <w:tr w14:paraId="695CD583">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6B5E575E">
            <w:pPr>
              <w:jc w:val="center"/>
              <w:rPr>
                <w:rFonts w:hint="eastAsia" w:asciiTheme="minorEastAsia" w:hAnsiTheme="minorEastAsia" w:eastAsiaTheme="minorEastAsia" w:cstheme="minorEastAsia"/>
                <w:b/>
                <w:bCs/>
                <w:color w:val="000000"/>
                <w:sz w:val="28"/>
                <w:szCs w:val="28"/>
              </w:rPr>
            </w:pPr>
          </w:p>
        </w:tc>
        <w:tc>
          <w:tcPr>
            <w:tcW w:w="1476" w:type="dxa"/>
            <w:vMerge w:val="restart"/>
            <w:tcBorders>
              <w:top w:val="single" w:color="000000" w:sz="4" w:space="0"/>
              <w:left w:val="single" w:color="000000" w:sz="4" w:space="0"/>
              <w:bottom w:val="single" w:color="000000" w:sz="4" w:space="0"/>
              <w:right w:val="single" w:color="000000" w:sz="4" w:space="0"/>
            </w:tcBorders>
            <w:noWrap/>
            <w:vAlign w:val="center"/>
          </w:tcPr>
          <w:p w14:paraId="210FD001">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任务因素</w:t>
            </w:r>
          </w:p>
        </w:tc>
        <w:tc>
          <w:tcPr>
            <w:tcW w:w="1956" w:type="dxa"/>
            <w:vMerge w:val="restart"/>
            <w:tcBorders>
              <w:top w:val="single" w:color="000000" w:sz="4" w:space="0"/>
              <w:left w:val="single" w:color="000000" w:sz="4" w:space="0"/>
              <w:bottom w:val="single" w:color="000000" w:sz="4" w:space="0"/>
              <w:right w:val="single" w:color="000000" w:sz="4" w:space="0"/>
            </w:tcBorders>
            <w:noWrap/>
            <w:vAlign w:val="center"/>
          </w:tcPr>
          <w:p w14:paraId="273EEFA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危险品运输任务规划</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4F523909">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危险品运输任务预案可靠性</w:t>
            </w:r>
          </w:p>
        </w:tc>
      </w:tr>
      <w:tr w14:paraId="674CDBB4">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6BD68BD9">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0E38180E">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55580378">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71A7046">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运输任务备选方案可靠性</w:t>
            </w:r>
          </w:p>
        </w:tc>
      </w:tr>
      <w:tr w14:paraId="57EE8248">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42141B08">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F16E4CE">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13080BC4">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BEAF4A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运输路线合理性</w:t>
            </w:r>
          </w:p>
        </w:tc>
      </w:tr>
      <w:tr w14:paraId="4694C7E7">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8124682">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C141DC8">
            <w:pPr>
              <w:jc w:val="center"/>
              <w:rPr>
                <w:rFonts w:hint="eastAsia" w:asciiTheme="minorEastAsia" w:hAnsiTheme="minorEastAsia" w:eastAsiaTheme="minorEastAsia" w:cstheme="minorEastAsia"/>
                <w:color w:val="000000"/>
                <w:sz w:val="28"/>
                <w:szCs w:val="28"/>
              </w:rPr>
            </w:pPr>
          </w:p>
        </w:tc>
        <w:tc>
          <w:tcPr>
            <w:tcW w:w="1956" w:type="dxa"/>
            <w:vMerge w:val="restart"/>
            <w:tcBorders>
              <w:top w:val="single" w:color="000000" w:sz="4" w:space="0"/>
              <w:left w:val="single" w:color="000000" w:sz="4" w:space="0"/>
              <w:bottom w:val="single" w:color="000000" w:sz="4" w:space="0"/>
              <w:right w:val="single" w:color="000000" w:sz="4" w:space="0"/>
            </w:tcBorders>
            <w:noWrap/>
            <w:vAlign w:val="center"/>
          </w:tcPr>
          <w:p w14:paraId="677CD870">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危险品运输任务执行</w:t>
            </w: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C0FB24B">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押运人员专业能力素质</w:t>
            </w:r>
          </w:p>
        </w:tc>
      </w:tr>
      <w:tr w14:paraId="3AA38BFC">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11DAB52C">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7613F53D">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3838BEE9">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795DACC8">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押运人员个体防护装备配置</w:t>
            </w:r>
          </w:p>
        </w:tc>
      </w:tr>
      <w:tr w14:paraId="023906B9">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76A0E7C2">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22DAA525">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05CEEDE1">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010BBF6C">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货物装卸过程安全警戒</w:t>
            </w:r>
          </w:p>
        </w:tc>
      </w:tr>
      <w:tr w14:paraId="526D11DC">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198548B">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414A84C8">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0D900FC4">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275984C7">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任务执行过程保密管理</w:t>
            </w:r>
          </w:p>
        </w:tc>
      </w:tr>
      <w:tr w14:paraId="5D8C2EEB">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0A26F194">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0924D850">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4709EBBC">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415D536">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任务执行流程合规性</w:t>
            </w:r>
          </w:p>
        </w:tc>
      </w:tr>
      <w:tr w14:paraId="045DCBB8">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3F9684FA">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61B5A74F">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41CAE724">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670CE2FE">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任务执行环节衔接顺畅度</w:t>
            </w:r>
          </w:p>
        </w:tc>
      </w:tr>
      <w:tr w14:paraId="70FE9310">
        <w:tblPrEx>
          <w:tblCellMar>
            <w:top w:w="0" w:type="dxa"/>
            <w:left w:w="108" w:type="dxa"/>
            <w:bottom w:w="0" w:type="dxa"/>
            <w:right w:w="108" w:type="dxa"/>
          </w:tblCellMar>
        </w:tblPrEx>
        <w:trPr>
          <w:trHeight w:val="276" w:hRule="atLeast"/>
        </w:trPr>
        <w:tc>
          <w:tcPr>
            <w:tcW w:w="1466" w:type="dxa"/>
            <w:vMerge w:val="continue"/>
            <w:tcBorders>
              <w:top w:val="single" w:color="000000" w:sz="4" w:space="0"/>
              <w:left w:val="single" w:color="000000" w:sz="4" w:space="0"/>
              <w:bottom w:val="single" w:color="000000" w:sz="4" w:space="0"/>
              <w:right w:val="single" w:color="000000" w:sz="4" w:space="0"/>
            </w:tcBorders>
            <w:vAlign w:val="center"/>
          </w:tcPr>
          <w:p w14:paraId="6D8D3759">
            <w:pPr>
              <w:jc w:val="center"/>
              <w:rPr>
                <w:rFonts w:hint="eastAsia" w:asciiTheme="minorEastAsia" w:hAnsiTheme="minorEastAsia" w:eastAsiaTheme="minorEastAsia" w:cstheme="minorEastAsia"/>
                <w:b/>
                <w:bCs/>
                <w:color w:val="000000"/>
                <w:sz w:val="28"/>
                <w:szCs w:val="28"/>
              </w:rPr>
            </w:pPr>
          </w:p>
        </w:tc>
        <w:tc>
          <w:tcPr>
            <w:tcW w:w="1476" w:type="dxa"/>
            <w:vMerge w:val="continue"/>
            <w:tcBorders>
              <w:top w:val="single" w:color="000000" w:sz="4" w:space="0"/>
              <w:left w:val="single" w:color="000000" w:sz="4" w:space="0"/>
              <w:bottom w:val="single" w:color="000000" w:sz="4" w:space="0"/>
              <w:right w:val="single" w:color="000000" w:sz="4" w:space="0"/>
            </w:tcBorders>
            <w:noWrap/>
            <w:vAlign w:val="center"/>
          </w:tcPr>
          <w:p w14:paraId="30142391">
            <w:pPr>
              <w:jc w:val="center"/>
              <w:rPr>
                <w:rFonts w:hint="eastAsia" w:asciiTheme="minorEastAsia" w:hAnsiTheme="minorEastAsia" w:eastAsiaTheme="minorEastAsia" w:cstheme="minorEastAsia"/>
                <w:color w:val="000000"/>
                <w:sz w:val="28"/>
                <w:szCs w:val="28"/>
              </w:rPr>
            </w:pPr>
          </w:p>
        </w:tc>
        <w:tc>
          <w:tcPr>
            <w:tcW w:w="1956" w:type="dxa"/>
            <w:vMerge w:val="continue"/>
            <w:tcBorders>
              <w:top w:val="single" w:color="000000" w:sz="4" w:space="0"/>
              <w:left w:val="single" w:color="000000" w:sz="4" w:space="0"/>
              <w:bottom w:val="single" w:color="000000" w:sz="4" w:space="0"/>
              <w:right w:val="single" w:color="000000" w:sz="4" w:space="0"/>
            </w:tcBorders>
            <w:noWrap/>
            <w:vAlign w:val="center"/>
          </w:tcPr>
          <w:p w14:paraId="279F2712">
            <w:pPr>
              <w:jc w:val="center"/>
              <w:rPr>
                <w:rFonts w:hint="eastAsia" w:asciiTheme="minorEastAsia" w:hAnsiTheme="minorEastAsia" w:eastAsiaTheme="minorEastAsia" w:cstheme="minorEastAsia"/>
                <w:color w:val="000000"/>
                <w:sz w:val="28"/>
                <w:szCs w:val="28"/>
              </w:rPr>
            </w:pPr>
          </w:p>
        </w:tc>
        <w:tc>
          <w:tcPr>
            <w:tcW w:w="3564" w:type="dxa"/>
            <w:tcBorders>
              <w:top w:val="single" w:color="000000" w:sz="4" w:space="0"/>
              <w:left w:val="single" w:color="000000" w:sz="4" w:space="0"/>
              <w:bottom w:val="single" w:color="000000" w:sz="4" w:space="0"/>
              <w:right w:val="single" w:color="000000" w:sz="4" w:space="0"/>
            </w:tcBorders>
            <w:noWrap/>
            <w:vAlign w:val="center"/>
          </w:tcPr>
          <w:p w14:paraId="3A215748">
            <w:pPr>
              <w:widowControl/>
              <w:jc w:val="center"/>
              <w:textAlignment w:val="center"/>
              <w:rPr>
                <w:rFonts w:hint="eastAsia" w:asciiTheme="minorEastAsia" w:hAnsiTheme="minorEastAsia" w:eastAsiaTheme="minorEastAsia" w:cstheme="minorEastAsia"/>
                <w:color w:val="000000"/>
                <w:sz w:val="28"/>
                <w:szCs w:val="28"/>
              </w:rPr>
            </w:pPr>
            <w:r>
              <w:rPr>
                <w:rFonts w:hint="eastAsia" w:asciiTheme="minorEastAsia" w:hAnsiTheme="minorEastAsia" w:eastAsiaTheme="minorEastAsia" w:cstheme="minorEastAsia"/>
                <w:color w:val="000000"/>
                <w:kern w:val="0"/>
                <w:sz w:val="28"/>
                <w:szCs w:val="28"/>
                <w:lang w:bidi="ar"/>
              </w:rPr>
              <w:t>危险品货物信息核对准确率</w:t>
            </w:r>
          </w:p>
        </w:tc>
      </w:tr>
    </w:tbl>
    <w:p w14:paraId="6ADC9A1F">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b/>
          <w:bCs/>
          <w:sz w:val="28"/>
          <w:szCs w:val="28"/>
        </w:rPr>
      </w:pPr>
    </w:p>
    <w:p w14:paraId="0E2EAA8C">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3.2 系统开发进展</w:t>
      </w:r>
    </w:p>
    <w:p w14:paraId="5CF66628">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已完成《铁路危险货物运输双重预防机制评估系统》1.0版开发并本地运行，具体进展如下：</w:t>
      </w:r>
    </w:p>
    <w:p w14:paraId="6CBDBAF9">
      <w:pPr>
        <w:keepNext w:val="0"/>
        <w:keepLines w:val="0"/>
        <w:pageBreakBefore w:val="0"/>
        <w:widowControl w:val="0"/>
        <w:kinsoku/>
        <w:wordWrap/>
        <w:overflowPunct/>
        <w:topLinePunct w:val="0"/>
        <w:autoSpaceDE/>
        <w:autoSpaceDN/>
        <w:bidi w:val="0"/>
        <w:adjustRightInd/>
        <w:snapToGrid/>
        <w:spacing w:before="30" w:after="3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（1）技术栈：Python Flask + SQLite + 原生 HTML/CSS/JS，无第三方前端依赖，轻量化部署，适配基层低配置环境。</w:t>
      </w:r>
    </w:p>
    <w:p w14:paraId="31A1D943">
      <w:pPr>
        <w:keepNext w:val="0"/>
        <w:keepLines w:val="0"/>
        <w:pageBreakBefore w:val="0"/>
        <w:widowControl w:val="0"/>
        <w:kinsoku/>
        <w:wordWrap/>
        <w:overflowPunct/>
        <w:topLinePunct w:val="0"/>
        <w:autoSpaceDE/>
        <w:autoSpaceDN/>
        <w:bidi w:val="0"/>
        <w:adjustRightInd/>
        <w:snapToGrid/>
        <w:spacing w:before="30" w:after="3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（2）数据基础：静态自查 31 项（站台结构、平面布局、轨道、警示标识、安全距离、设施设备、监控报警七大类别）与动态作业 61 项（进场、装卸、搬运环节 × 人/物/环/管维度），每项均标注法规依据。</w:t>
      </w:r>
    </w:p>
    <w:p w14:paraId="6A45A4C9">
      <w:pPr>
        <w:keepNext w:val="0"/>
        <w:keepLines w:val="0"/>
        <w:pageBreakBefore w:val="0"/>
        <w:widowControl w:val="0"/>
        <w:kinsoku/>
        <w:wordWrap/>
        <w:overflowPunct/>
        <w:topLinePunct w:val="0"/>
        <w:autoSpaceDE/>
        <w:autoSpaceDN/>
        <w:bidi w:val="0"/>
        <w:adjustRightInd/>
        <w:snapToGrid/>
        <w:spacing w:before="30" w:after="3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（3）核心功能：真实账号管理（注册/登录/修改密码）、仪表盘统计、静态评估（“现行措施已落实”一键判定）、动态评估（可能性 L/严重度 C 打分、实时风险徽标）、综合结果（5×5 风险矩阵热力图、等级分布可视化）、隐患台账（未整改→整改中→已闭环流转）。</w:t>
      </w:r>
    </w:p>
    <w:p w14:paraId="7835C042">
      <w:pPr>
        <w:keepNext w:val="0"/>
        <w:keepLines w:val="0"/>
        <w:pageBreakBefore w:val="0"/>
        <w:widowControl w:val="0"/>
        <w:kinsoku/>
        <w:wordWrap/>
        <w:overflowPunct/>
        <w:topLinePunct w:val="0"/>
        <w:autoSpaceDE/>
        <w:autoSpaceDN/>
        <w:bidi w:val="0"/>
        <w:adjustRightInd/>
        <w:snapToGrid/>
        <w:spacing w:before="30" w:after="3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（4）交互设计：登录页动态场景、响应式布局、四级风险彩色徽标，界面简洁直观，贴合基层人员操作习惯。</w:t>
      </w:r>
    </w:p>
    <w:p w14:paraId="5726AA42">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四、系统总体设计</w:t>
      </w:r>
    </w:p>
    <w:p w14:paraId="26FA575B">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4.1 总体架构</w:t>
      </w:r>
    </w:p>
    <w:p w14:paraId="796DFC4C">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系统采用“后端逻辑层—数据存储层—前端展示层”三层架构：后端逻辑层基于 Flask 框架实现路由、认证、评估算法调用与数据接口；数据存储层采用 SQLite 轻量数据库，分类存储用户、评估任务、静态/动态评估明细、隐患台账等数据；前端展示层使用原生 HTML/CSS/JS 实现，含 5×5 风险矩阵热力图、等级分布条形图等可视化（纯 CSS/SVG，无 CDN 依赖），保证离线可用。</w:t>
      </w:r>
    </w:p>
    <w:p w14:paraId="394EF4D3">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4.2 评估算法设计</w:t>
      </w:r>
    </w:p>
    <w:p w14:paraId="15C27A05">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（1）5×5 风险矩阵：风险值 R=可能性 L×严重度 C；四级风险——重大（R≥16）、较大（9≤R≤15）、一般（4≤R≤8）、低（R≤3）。</w:t>
      </w:r>
    </w:p>
    <w:p w14:paraId="44D2B036">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（2）静态评估：31 项危险源按固有等级 Ⅰ/Ⅱ/Ⅲ 对应红/橙/黄；“现行措施已落实”则降为受控（蓝）；静态达标率＝已落实项占比。</w:t>
      </w:r>
    </w:p>
    <w:p w14:paraId="63334D59">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（3）双重预防联动：静态评估存在未落实项时，直接跳过动态评估、综合等级取静态最高档，避免无效评估，保证评估严肃性；动态危险源默认 L=1、C=1（低风险）计入，防止默认高估。</w:t>
      </w:r>
    </w:p>
    <w:p w14:paraId="5BCD8463">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（4）综合评级：综合得分＝0.4×静态得分＋0.6×动态得分；综合等级按静态、动态最差档“就高从险”原则判定，体现风险管控审慎性。</w:t>
      </w:r>
    </w:p>
    <w:p w14:paraId="12DFADAA">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4.3 核心功能模块</w:t>
      </w:r>
    </w:p>
    <w:tbl>
      <w:tblPr>
        <w:tblStyle w:val="3"/>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800"/>
        <w:gridCol w:w="1800"/>
        <w:gridCol w:w="6200"/>
      </w:tblGrid>
      <w:tr w14:paraId="413B21D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800" w:type="dxa"/>
            <w:vAlign w:val="center"/>
          </w:tcPr>
          <w:p w14:paraId="20F59FA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序号</w:t>
            </w:r>
          </w:p>
        </w:tc>
        <w:tc>
          <w:tcPr>
            <w:tcW w:w="1800" w:type="dxa"/>
            <w:vAlign w:val="center"/>
          </w:tcPr>
          <w:p w14:paraId="05A2474C">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功能模块</w:t>
            </w:r>
          </w:p>
        </w:tc>
        <w:tc>
          <w:tcPr>
            <w:tcW w:w="6200" w:type="dxa"/>
            <w:vAlign w:val="center"/>
          </w:tcPr>
          <w:p w14:paraId="0A579AD5">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功能说明</w:t>
            </w:r>
          </w:p>
        </w:tc>
      </w:tr>
      <w:tr w14:paraId="45ADCCF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800" w:type="dxa"/>
            <w:vAlign w:val="center"/>
          </w:tcPr>
          <w:p w14:paraId="0EEBEF3A">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1</w:t>
            </w:r>
          </w:p>
        </w:tc>
        <w:tc>
          <w:tcPr>
            <w:tcW w:w="1800" w:type="dxa"/>
            <w:vAlign w:val="center"/>
          </w:tcPr>
          <w:p w14:paraId="072FEC9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账号管理</w:t>
            </w:r>
          </w:p>
        </w:tc>
        <w:tc>
          <w:tcPr>
            <w:tcW w:w="6200" w:type="dxa"/>
            <w:vAlign w:val="center"/>
          </w:tcPr>
          <w:p w14:paraId="711F9095">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注册、登录、修改密码，用户数据持久化</w:t>
            </w:r>
          </w:p>
        </w:tc>
      </w:tr>
      <w:tr w14:paraId="102CA00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800" w:type="dxa"/>
            <w:vAlign w:val="center"/>
          </w:tcPr>
          <w:p w14:paraId="44415288">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2</w:t>
            </w:r>
          </w:p>
        </w:tc>
        <w:tc>
          <w:tcPr>
            <w:tcW w:w="1800" w:type="dxa"/>
            <w:vAlign w:val="center"/>
          </w:tcPr>
          <w:p w14:paraId="00962E36">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仪表盘</w:t>
            </w:r>
          </w:p>
        </w:tc>
        <w:tc>
          <w:tcPr>
            <w:tcW w:w="6200" w:type="dxa"/>
            <w:vAlign w:val="center"/>
          </w:tcPr>
          <w:p w14:paraId="162DC31A">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统计卡、我的评估记录、一键发起新评估</w:t>
            </w:r>
          </w:p>
        </w:tc>
      </w:tr>
      <w:tr w14:paraId="700ACDB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800" w:type="dxa"/>
            <w:vAlign w:val="center"/>
          </w:tcPr>
          <w:p w14:paraId="201E0A9A">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3</w:t>
            </w:r>
          </w:p>
        </w:tc>
        <w:tc>
          <w:tcPr>
            <w:tcW w:w="1800" w:type="dxa"/>
            <w:vAlign w:val="center"/>
          </w:tcPr>
          <w:p w14:paraId="5BFBE35F">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静态评估</w:t>
            </w:r>
          </w:p>
        </w:tc>
        <w:tc>
          <w:tcPr>
            <w:tcW w:w="6200" w:type="dxa"/>
            <w:vAlign w:val="center"/>
          </w:tcPr>
          <w:p w14:paraId="04906F0D">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3项危险源“现行措施已落实”判定，进度显示</w:t>
            </w:r>
          </w:p>
        </w:tc>
      </w:tr>
      <w:tr w14:paraId="093E51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800" w:type="dxa"/>
            <w:vAlign w:val="center"/>
          </w:tcPr>
          <w:p w14:paraId="64281F14">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4</w:t>
            </w:r>
          </w:p>
        </w:tc>
        <w:tc>
          <w:tcPr>
            <w:tcW w:w="1800" w:type="dxa"/>
            <w:vAlign w:val="center"/>
          </w:tcPr>
          <w:p w14:paraId="6B334A07">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动态评估</w:t>
            </w:r>
          </w:p>
        </w:tc>
        <w:tc>
          <w:tcPr>
            <w:tcW w:w="6200" w:type="dxa"/>
            <w:vAlign w:val="center"/>
          </w:tcPr>
          <w:p w14:paraId="3A03FD09">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环节×维度危险源 打分，前端实时风险等级徽标</w:t>
            </w:r>
          </w:p>
        </w:tc>
      </w:tr>
      <w:tr w14:paraId="5A84F14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800" w:type="dxa"/>
            <w:vAlign w:val="center"/>
          </w:tcPr>
          <w:p w14:paraId="3240656E">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5</w:t>
            </w:r>
          </w:p>
        </w:tc>
        <w:tc>
          <w:tcPr>
            <w:tcW w:w="1800" w:type="dxa"/>
            <w:vAlign w:val="center"/>
          </w:tcPr>
          <w:p w14:paraId="3116961E">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综合结果</w:t>
            </w:r>
          </w:p>
        </w:tc>
        <w:tc>
          <w:tcPr>
            <w:tcW w:w="6200" w:type="dxa"/>
            <w:vAlign w:val="center"/>
          </w:tcPr>
          <w:p w14:paraId="78E4E4D9">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综合等级大徽标、5×5 矩阵热力图、等级分布条形图</w:t>
            </w:r>
          </w:p>
        </w:tc>
      </w:tr>
      <w:tr w14:paraId="41CD48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800" w:type="dxa"/>
            <w:vAlign w:val="center"/>
          </w:tcPr>
          <w:p w14:paraId="0D4FD888">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6</w:t>
            </w:r>
          </w:p>
        </w:tc>
        <w:tc>
          <w:tcPr>
            <w:tcW w:w="1800" w:type="dxa"/>
            <w:vAlign w:val="center"/>
          </w:tcPr>
          <w:p w14:paraId="762430D8">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隐患台账</w:t>
            </w:r>
          </w:p>
        </w:tc>
        <w:tc>
          <w:tcPr>
            <w:tcW w:w="6200" w:type="dxa"/>
            <w:vAlign w:val="center"/>
          </w:tcPr>
          <w:p w14:paraId="06420E1E">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红/橙隐患自动入账，支持未整改→整改中→已闭环流转</w:t>
            </w:r>
          </w:p>
        </w:tc>
      </w:tr>
    </w:tbl>
    <w:p w14:paraId="6DE2D944">
      <w:pPr>
        <w:keepNext w:val="0"/>
        <w:keepLines w:val="0"/>
        <w:pageBreakBefore w:val="0"/>
        <w:widowControl w:val="0"/>
        <w:kinsoku/>
        <w:wordWrap/>
        <w:overflowPunct/>
        <w:topLinePunct w:val="0"/>
        <w:autoSpaceDE/>
        <w:autoSpaceDN/>
        <w:bidi w:val="0"/>
        <w:adjustRightInd/>
        <w:snapToGrid/>
        <w:spacing w:before="0" w:after="0" w:line="440" w:lineRule="exact"/>
        <w:textAlignment w:val="auto"/>
        <w:rPr>
          <w:rFonts w:hint="eastAsia" w:ascii="宋体" w:hAnsi="宋体" w:eastAsia="宋体" w:cs="宋体"/>
          <w:sz w:val="28"/>
          <w:szCs w:val="28"/>
        </w:rPr>
      </w:pPr>
    </w:p>
    <w:p w14:paraId="4880C408">
      <w:pPr>
        <w:keepNext w:val="0"/>
        <w:spacing w:before="240" w:after="120" w:line="440" w:lineRule="exact"/>
        <w:textAlignment w:val="auto"/>
        <w:rPr>
          <w:rFonts w:hint="eastAsia" w:ascii="宋体" w:hAnsi="宋体" w:eastAsia="宋体" w:cs="宋体"/>
          <w:sz w:val="28"/>
          <w:szCs w:val="28"/>
        </w:rPr>
      </w:pPr>
      <w:r>
        <w:rPr>
          <w:rFonts w:hint="eastAsia" w:ascii="宋体" w:hAnsi="宋体" w:eastAsia="宋体" w:cs="宋体"/>
          <w:b/>
          <w:bCs/>
          <w:sz w:val="28"/>
          <w:szCs w:val="28"/>
        </w:rPr>
        <w:t>4.4 系统主要板块界面展示</w:t>
      </w:r>
    </w:p>
    <w:p w14:paraId="78F2178A">
      <w:pPr>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系统已完成 1.0 版本开发并本地稳定运行。以下为系统六大主要板块的实际运行界面截图与功能讲解。</w:t>
      </w:r>
    </w:p>
    <w:p w14:paraId="0D8DD4A3">
      <w:pPr>
        <w:spacing w:before="120" w:after="40" w:line="440" w:lineRule="exact"/>
        <w:textAlignment w:val="auto"/>
        <w:rPr>
          <w:rFonts w:hint="eastAsia" w:ascii="宋体" w:hAnsi="宋体" w:eastAsia="宋体" w:cs="宋体"/>
          <w:sz w:val="28"/>
          <w:szCs w:val="28"/>
        </w:rPr>
      </w:pPr>
      <w:r>
        <w:rPr>
          <w:rFonts w:hint="eastAsia" w:ascii="宋体" w:hAnsi="宋体" w:eastAsia="宋体" w:cs="宋体"/>
          <w:b/>
          <w:bCs/>
          <w:sz w:val="28"/>
          <w:szCs w:val="28"/>
        </w:rPr>
        <w:t>（1）登录界面 —— 铁路危货运输实景与账号认证</w:t>
      </w:r>
    </w:p>
    <w:p w14:paraId="225804CE">
      <w:pPr>
        <w:spacing w:before="60" w:after="60" w:line="240" w:lineRule="exact"/>
        <w:jc w:val="center"/>
      </w:pPr>
    </w:p>
    <w:p w14:paraId="6105F692">
      <w:pPr>
        <w:keepNext w:val="0"/>
        <w:keepLines w:val="0"/>
        <w:pageBreakBefore w:val="0"/>
        <w:widowControl w:val="0"/>
        <w:kinsoku/>
        <w:wordWrap/>
        <w:overflowPunct/>
        <w:topLinePunct w:val="0"/>
        <w:autoSpaceDE/>
        <w:autoSpaceDN/>
        <w:bidi w:val="0"/>
        <w:adjustRightInd/>
        <w:snapToGrid w:val="0"/>
        <w:spacing w:before="0" w:after="0" w:line="240" w:lineRule="auto"/>
        <w:ind w:firstLine="560" w:firstLineChars="200"/>
        <w:jc w:val="center"/>
        <w:textAlignment w:val="auto"/>
        <w:rPr>
          <w:rFonts w:hint="eastAsia" w:ascii="宋体" w:hAnsi="宋体" w:eastAsia="宋体" w:cs="宋体"/>
          <w:sz w:val="28"/>
          <w:szCs w:val="28"/>
        </w:rPr>
      </w:pPr>
      <w:r>
        <w:rPr>
          <w:rFonts w:hint="eastAsia" w:ascii="宋体" w:hAnsi="宋体" w:eastAsia="宋体" w:cs="宋体"/>
          <w:sz w:val="28"/>
          <w:szCs w:val="28"/>
        </w:rPr>
        <w:t>系统登录页以真实铁路危险货物运输场景实景照片为背景，支持账号注册、登录与密码修改，采用会话鉴权，未登录访问业务页面将自动跳转至登录页。</w:t>
      </w:r>
      <w:r>
        <w:drawing>
          <wp:inline distT="0" distB="0" distL="0" distR="0">
            <wp:extent cx="5039995" cy="3023870"/>
            <wp:effectExtent l="0" t="0" r="4445" b="8890"/>
            <wp:docPr id="1001" name="screenshot1" descr="screenshot1"/>
            <wp:cNvGraphicFramePr/>
            <a:graphic xmlns:a="http://schemas.openxmlformats.org/drawingml/2006/main">
              <a:graphicData uri="http://schemas.openxmlformats.org/drawingml/2006/picture">
                <pic:pic xmlns:pic="http://schemas.openxmlformats.org/drawingml/2006/picture">
                  <pic:nvPicPr>
                    <pic:cNvPr id="1001" name="screenshot1" descr="screenshot1"/>
                    <pic:cNvPicPr/>
                  </pic:nvPicPr>
                  <pic:blipFill>
                    <a:blip r:embed="rId4"/>
                    <a:stretch>
                      <a:fillRect/>
                    </a:stretch>
                  </pic:blipFill>
                  <pic:spPr>
                    <a:xfrm>
                      <a:off x="0" y="0"/>
                      <a:ext cx="5039995" cy="3023870"/>
                    </a:xfrm>
                    <a:prstGeom prst="rect">
                      <a:avLst/>
                    </a:prstGeom>
                  </pic:spPr>
                </pic:pic>
              </a:graphicData>
            </a:graphic>
          </wp:inline>
        </w:drawing>
      </w:r>
    </w:p>
    <w:p w14:paraId="1B766955">
      <w:pPr>
        <w:spacing w:before="120" w:after="40" w:line="440" w:lineRule="exact"/>
        <w:textAlignment w:val="auto"/>
        <w:rPr>
          <w:rFonts w:hint="eastAsia" w:ascii="宋体" w:hAnsi="宋体" w:eastAsia="宋体" w:cs="宋体"/>
          <w:sz w:val="28"/>
          <w:szCs w:val="28"/>
        </w:rPr>
      </w:pPr>
      <w:r>
        <w:rPr>
          <w:rFonts w:hint="eastAsia" w:ascii="宋体" w:hAnsi="宋体" w:eastAsia="宋体" w:cs="宋体"/>
          <w:b/>
          <w:bCs/>
          <w:sz w:val="28"/>
          <w:szCs w:val="28"/>
        </w:rPr>
        <w:t>（2）安全仪表盘 —— 全局态势总览</w:t>
      </w:r>
    </w:p>
    <w:p w14:paraId="69EB87DC">
      <w:pPr>
        <w:spacing w:before="60" w:after="60" w:line="240" w:lineRule="exact"/>
        <w:jc w:val="center"/>
      </w:pPr>
    </w:p>
    <w:p w14:paraId="46B7AB92">
      <w:pPr>
        <w:spacing w:before="0" w:after="0" w:line="440" w:lineRule="exact"/>
        <w:ind w:firstLine="420" w:firstLineChars="200"/>
        <w:textAlignment w:val="auto"/>
        <w:rPr>
          <w:rFonts w:hint="eastAsia" w:ascii="宋体" w:hAnsi="宋体" w:eastAsia="宋体" w:cs="宋体"/>
          <w:sz w:val="28"/>
          <w:szCs w:val="28"/>
          <w:lang w:eastAsia="zh-CN"/>
        </w:rPr>
      </w:pPr>
      <w:r>
        <w:drawing>
          <wp:anchor distT="0" distB="0" distL="0" distR="0" simplePos="0" relativeHeight="251659264" behindDoc="0" locked="0" layoutInCell="1" allowOverlap="1">
            <wp:simplePos x="0" y="0"/>
            <wp:positionH relativeFrom="column">
              <wp:posOffset>345440</wp:posOffset>
            </wp:positionH>
            <wp:positionV relativeFrom="paragraph">
              <wp:posOffset>1053465</wp:posOffset>
            </wp:positionV>
            <wp:extent cx="5039995" cy="3023870"/>
            <wp:effectExtent l="0" t="0" r="4445" b="8890"/>
            <wp:wrapTopAndBottom/>
            <wp:docPr id="1002" name="screenshot2" descr="screenshot2"/>
            <wp:cNvGraphicFramePr/>
            <a:graphic xmlns:a="http://schemas.openxmlformats.org/drawingml/2006/main">
              <a:graphicData uri="http://schemas.openxmlformats.org/drawingml/2006/picture">
                <pic:pic xmlns:pic="http://schemas.openxmlformats.org/drawingml/2006/picture">
                  <pic:nvPicPr>
                    <pic:cNvPr id="1002" name="screenshot2" descr="screenshot2"/>
                    <pic:cNvPicPr/>
                  </pic:nvPicPr>
                  <pic:blipFill>
                    <a:blip r:embed="rId5"/>
                    <a:stretch>
                      <a:fillRect/>
                    </a:stretch>
                  </pic:blipFill>
                  <pic:spPr>
                    <a:xfrm>
                      <a:off x="0" y="0"/>
                      <a:ext cx="5039995" cy="3023870"/>
                    </a:xfrm>
                    <a:prstGeom prst="rect">
                      <a:avLst/>
                    </a:prstGeom>
                  </pic:spPr>
                </pic:pic>
              </a:graphicData>
            </a:graphic>
          </wp:anchor>
        </w:drawing>
      </w:r>
      <w:r>
        <w:rPr>
          <w:rFonts w:hint="eastAsia" w:ascii="宋体" w:hAnsi="宋体" w:eastAsia="宋体" w:cs="宋体"/>
          <w:sz w:val="28"/>
          <w:szCs w:val="28"/>
        </w:rPr>
        <w:t>仪表盘汇总全部评估记录：评估总数、进行中、已完成三项统计卡，以及红／橙／黄／蓝四级风险分布统计，支持一键发起新评估，快速定位历史评估与待办</w:t>
      </w:r>
      <w:bookmarkStart w:id="0" w:name="_GoBack"/>
      <w:bookmarkEnd w:id="0"/>
      <w:r>
        <w:rPr>
          <w:rFonts w:hint="eastAsia" w:ascii="宋体" w:hAnsi="宋体" w:eastAsia="宋体" w:cs="宋体"/>
          <w:sz w:val="28"/>
          <w:szCs w:val="28"/>
        </w:rPr>
        <w:t>事项</w:t>
      </w:r>
      <w:r>
        <w:rPr>
          <w:rFonts w:hint="eastAsia" w:ascii="宋体" w:hAnsi="宋体" w:eastAsia="宋体" w:cs="宋体"/>
          <w:sz w:val="28"/>
          <w:szCs w:val="28"/>
          <w:lang w:eastAsia="zh-CN"/>
        </w:rPr>
        <w:t>。</w:t>
      </w:r>
    </w:p>
    <w:p w14:paraId="11D1F735">
      <w:pPr>
        <w:spacing w:before="120" w:after="40" w:line="440" w:lineRule="exact"/>
        <w:textAlignment w:val="auto"/>
        <w:rPr>
          <w:rFonts w:hint="eastAsia" w:ascii="宋体" w:hAnsi="宋体" w:eastAsia="宋体" w:cs="宋体"/>
          <w:sz w:val="28"/>
          <w:szCs w:val="28"/>
        </w:rPr>
      </w:pPr>
      <w:r>
        <w:rPr>
          <w:rFonts w:hint="eastAsia" w:ascii="宋体" w:hAnsi="宋体" w:eastAsia="宋体" w:cs="宋体"/>
          <w:b/>
          <w:bCs/>
          <w:sz w:val="28"/>
          <w:szCs w:val="28"/>
        </w:rPr>
        <w:t>（3）静态评估 —— 31 项现行措施自查</w:t>
      </w:r>
    </w:p>
    <w:p w14:paraId="65AB0716">
      <w:pPr>
        <w:spacing w:before="60" w:after="60" w:line="240" w:lineRule="exact"/>
        <w:jc w:val="center"/>
      </w:pPr>
    </w:p>
    <w:p w14:paraId="320301C2">
      <w:pPr>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静态自查覆盖站台结构、平面布局、轨道、警示标识、安全距离、设施设备、监控报警七大类别共 31 项危险源，逐项判定“现行措施是否已落实”：已落实降为受控（蓝），未落实保留固有档（Ⅰ 红／Ⅱ 橙／Ⅲ 黄），并实时显示自查进度与静态达标率。</w:t>
      </w:r>
    </w:p>
    <w:p w14:paraId="458D7706">
      <w:pPr>
        <w:keepNext w:val="0"/>
        <w:keepLines w:val="0"/>
        <w:pageBreakBefore w:val="0"/>
        <w:widowControl w:val="0"/>
        <w:kinsoku/>
        <w:wordWrap/>
        <w:overflowPunct/>
        <w:topLinePunct w:val="0"/>
        <w:autoSpaceDE/>
        <w:autoSpaceDN/>
        <w:bidi w:val="0"/>
        <w:adjustRightInd/>
        <w:snapToGrid w:val="0"/>
        <w:spacing w:before="120" w:after="40" w:line="240" w:lineRule="auto"/>
        <w:textAlignment w:val="auto"/>
      </w:pPr>
      <w:r>
        <w:drawing>
          <wp:anchor distT="0" distB="0" distL="0" distR="0" simplePos="0" relativeHeight="251660288" behindDoc="0" locked="0" layoutInCell="1" allowOverlap="1">
            <wp:simplePos x="0" y="0"/>
            <wp:positionH relativeFrom="column">
              <wp:posOffset>346075</wp:posOffset>
            </wp:positionH>
            <wp:positionV relativeFrom="paragraph">
              <wp:posOffset>107950</wp:posOffset>
            </wp:positionV>
            <wp:extent cx="5039995" cy="3023870"/>
            <wp:effectExtent l="0" t="0" r="4445" b="8890"/>
            <wp:wrapTopAndBottom/>
            <wp:docPr id="1003" name="screenshot3" descr="screenshot3"/>
            <wp:cNvGraphicFramePr/>
            <a:graphic xmlns:a="http://schemas.openxmlformats.org/drawingml/2006/main">
              <a:graphicData uri="http://schemas.openxmlformats.org/drawingml/2006/picture">
                <pic:pic xmlns:pic="http://schemas.openxmlformats.org/drawingml/2006/picture">
                  <pic:nvPicPr>
                    <pic:cNvPr id="1003" name="screenshot3" descr="screenshot3"/>
                    <pic:cNvPicPr/>
                  </pic:nvPicPr>
                  <pic:blipFill>
                    <a:blip r:embed="rId6"/>
                    <a:stretch>
                      <a:fillRect/>
                    </a:stretch>
                  </pic:blipFill>
                  <pic:spPr>
                    <a:xfrm>
                      <a:off x="0" y="0"/>
                      <a:ext cx="5039995" cy="3023870"/>
                    </a:xfrm>
                    <a:prstGeom prst="rect">
                      <a:avLst/>
                    </a:prstGeom>
                  </pic:spPr>
                </pic:pic>
              </a:graphicData>
            </a:graphic>
          </wp:anchor>
        </w:drawing>
      </w:r>
      <w:r>
        <w:rPr>
          <w:rFonts w:hint="eastAsia" w:ascii="宋体" w:hAnsi="宋体" w:eastAsia="宋体" w:cs="宋体"/>
          <w:b/>
          <w:bCs/>
          <w:sz w:val="28"/>
          <w:szCs w:val="28"/>
        </w:rPr>
        <w:t>（4）动态评估 —— 61 条危险源 L/C 打分</w:t>
      </w:r>
    </w:p>
    <w:p w14:paraId="10996875">
      <w:pPr>
        <w:keepNext w:val="0"/>
        <w:keepLines w:val="0"/>
        <w:pageBreakBefore w:val="0"/>
        <w:widowControl w:val="0"/>
        <w:kinsoku/>
        <w:wordWrap/>
        <w:overflowPunct/>
        <w:topLinePunct w:val="0"/>
        <w:autoSpaceDE/>
        <w:autoSpaceDN/>
        <w:bidi w:val="0"/>
        <w:adjustRightInd/>
        <w:snapToGrid w:val="0"/>
        <w:spacing w:before="0" w:after="0" w:line="240" w:lineRule="auto"/>
        <w:ind w:firstLine="560" w:firstLineChars="200"/>
        <w:jc w:val="center"/>
        <w:textAlignment w:val="auto"/>
        <w:rPr>
          <w:rFonts w:hint="eastAsia" w:ascii="宋体" w:hAnsi="宋体" w:eastAsia="宋体" w:cs="宋体"/>
          <w:sz w:val="28"/>
          <w:szCs w:val="28"/>
        </w:rPr>
      </w:pPr>
      <w:r>
        <w:rPr>
          <w:rFonts w:hint="eastAsia" w:ascii="宋体" w:hAnsi="宋体" w:eastAsia="宋体" w:cs="宋体"/>
          <w:sz w:val="28"/>
          <w:szCs w:val="28"/>
        </w:rPr>
        <w:t>动态评估覆盖进场、装卸、搬运三大环节 × 人／物／环／管四维度共 61 条危险源；逐条选择可能性 L 与严重性 C，系统按 5×5 风险矩阵实时计算风险值 R 并自动给出红／橙／黄／蓝档位徽标，支持点击查看法规出处。</w:t>
      </w:r>
      <w:r>
        <w:drawing>
          <wp:inline distT="0" distB="0" distL="0" distR="0">
            <wp:extent cx="5039995" cy="3023870"/>
            <wp:effectExtent l="0" t="0" r="4445" b="8890"/>
            <wp:docPr id="1004" name="screenshot4" descr="screenshot4"/>
            <wp:cNvGraphicFramePr/>
            <a:graphic xmlns:a="http://schemas.openxmlformats.org/drawingml/2006/main">
              <a:graphicData uri="http://schemas.openxmlformats.org/drawingml/2006/picture">
                <pic:pic xmlns:pic="http://schemas.openxmlformats.org/drawingml/2006/picture">
                  <pic:nvPicPr>
                    <pic:cNvPr id="1004" name="screenshot4" descr="screenshot4"/>
                    <pic:cNvPicPr/>
                  </pic:nvPicPr>
                  <pic:blipFill>
                    <a:blip r:embed="rId7"/>
                    <a:stretch>
                      <a:fillRect/>
                    </a:stretch>
                  </pic:blipFill>
                  <pic:spPr>
                    <a:xfrm>
                      <a:off x="0" y="0"/>
                      <a:ext cx="5039995" cy="3023870"/>
                    </a:xfrm>
                    <a:prstGeom prst="rect">
                      <a:avLst/>
                    </a:prstGeom>
                  </pic:spPr>
                </pic:pic>
              </a:graphicData>
            </a:graphic>
          </wp:inline>
        </w:drawing>
      </w:r>
    </w:p>
    <w:p w14:paraId="4CDC592D">
      <w:pPr>
        <w:keepNext w:val="0"/>
        <w:keepLines w:val="0"/>
        <w:pageBreakBefore w:val="0"/>
        <w:widowControl w:val="0"/>
        <w:kinsoku/>
        <w:wordWrap/>
        <w:overflowPunct/>
        <w:topLinePunct w:val="0"/>
        <w:autoSpaceDE/>
        <w:autoSpaceDN/>
        <w:bidi w:val="0"/>
        <w:adjustRightInd/>
        <w:snapToGrid w:val="0"/>
        <w:spacing w:before="120" w:after="40" w:line="240" w:lineRule="auto"/>
        <w:textAlignment w:val="auto"/>
        <w:rPr>
          <w:rFonts w:hint="eastAsia" w:ascii="宋体" w:hAnsi="宋体" w:eastAsia="宋体" w:cs="宋体"/>
          <w:sz w:val="28"/>
          <w:szCs w:val="28"/>
        </w:rPr>
      </w:pPr>
      <w:r>
        <w:rPr>
          <w:rFonts w:hint="eastAsia" w:ascii="宋体" w:hAnsi="宋体" w:eastAsia="宋体" w:cs="宋体"/>
          <w:b/>
          <w:bCs/>
          <w:sz w:val="28"/>
          <w:szCs w:val="28"/>
        </w:rPr>
        <w:t>（5）综合评估结果 —— 风险矩阵可视化</w:t>
      </w:r>
    </w:p>
    <w:p w14:paraId="0287644A">
      <w:pPr>
        <w:spacing w:before="60" w:after="60" w:line="240" w:lineRule="exact"/>
        <w:jc w:val="center"/>
      </w:pPr>
    </w:p>
    <w:p w14:paraId="1103BFA6">
      <w:pPr>
        <w:keepNext w:val="0"/>
        <w:keepLines w:val="0"/>
        <w:pageBreakBefore w:val="0"/>
        <w:widowControl w:val="0"/>
        <w:kinsoku/>
        <w:wordWrap/>
        <w:overflowPunct/>
        <w:topLinePunct w:val="0"/>
        <w:autoSpaceDE/>
        <w:autoSpaceDN/>
        <w:bidi w:val="0"/>
        <w:adjustRightInd/>
        <w:snapToGrid w:val="0"/>
        <w:spacing w:before="0" w:after="0" w:line="240" w:lineRule="auto"/>
        <w:ind w:firstLine="560" w:firstLineChars="200"/>
        <w:jc w:val="center"/>
        <w:textAlignment w:val="auto"/>
        <w:rPr>
          <w:rFonts w:hint="eastAsia" w:ascii="宋体" w:hAnsi="宋体" w:eastAsia="宋体" w:cs="宋体"/>
          <w:sz w:val="28"/>
          <w:szCs w:val="28"/>
        </w:rPr>
      </w:pPr>
      <w:r>
        <w:rPr>
          <w:rFonts w:hint="eastAsia" w:ascii="宋体" w:hAnsi="宋体" w:eastAsia="宋体" w:cs="宋体"/>
          <w:sz w:val="28"/>
          <w:szCs w:val="28"/>
        </w:rPr>
        <w:t>综合结果按“就高从险”原则给出静态＋动态综合等级大徽标，展示静态达标率、动态受控率，以及 5×5 风险矩阵热力图、等级分布条形图与高风险项速览；当静态评估未通过时按规则跳过动态评估并给出明示。</w:t>
      </w:r>
      <w:r>
        <w:drawing>
          <wp:inline distT="0" distB="0" distL="0" distR="0">
            <wp:extent cx="5039995" cy="3023870"/>
            <wp:effectExtent l="0" t="0" r="4445" b="8890"/>
            <wp:docPr id="1005" name="screenshot5" descr="screenshot5"/>
            <wp:cNvGraphicFramePr/>
            <a:graphic xmlns:a="http://schemas.openxmlformats.org/drawingml/2006/main">
              <a:graphicData uri="http://schemas.openxmlformats.org/drawingml/2006/picture">
                <pic:pic xmlns:pic="http://schemas.openxmlformats.org/drawingml/2006/picture">
                  <pic:nvPicPr>
                    <pic:cNvPr id="1005" name="screenshot5" descr="screenshot5"/>
                    <pic:cNvPicPr/>
                  </pic:nvPicPr>
                  <pic:blipFill>
                    <a:blip r:embed="rId8"/>
                    <a:stretch>
                      <a:fillRect/>
                    </a:stretch>
                  </pic:blipFill>
                  <pic:spPr>
                    <a:xfrm>
                      <a:off x="0" y="0"/>
                      <a:ext cx="5039995" cy="3023870"/>
                    </a:xfrm>
                    <a:prstGeom prst="rect">
                      <a:avLst/>
                    </a:prstGeom>
                  </pic:spPr>
                </pic:pic>
              </a:graphicData>
            </a:graphic>
          </wp:inline>
        </w:drawing>
      </w:r>
    </w:p>
    <w:p w14:paraId="1FFD2A77">
      <w:pPr>
        <w:spacing w:before="120" w:after="40" w:line="440" w:lineRule="exact"/>
        <w:textAlignment w:val="auto"/>
      </w:pPr>
      <w:r>
        <w:rPr>
          <w:rFonts w:hint="eastAsia" w:ascii="宋体" w:hAnsi="宋体" w:eastAsia="宋体" w:cs="宋体"/>
          <w:b/>
          <w:bCs/>
          <w:sz w:val="28"/>
          <w:szCs w:val="28"/>
        </w:rPr>
        <w:t>（6）隐患排查治理台账 —— 闭环管理</w:t>
      </w:r>
    </w:p>
    <w:p w14:paraId="48A3BE57">
      <w:pPr>
        <w:keepNext w:val="0"/>
        <w:keepLines w:val="0"/>
        <w:pageBreakBefore w:val="0"/>
        <w:widowControl w:val="0"/>
        <w:kinsoku/>
        <w:wordWrap/>
        <w:overflowPunct/>
        <w:topLinePunct w:val="0"/>
        <w:autoSpaceDE/>
        <w:autoSpaceDN/>
        <w:bidi w:val="0"/>
        <w:adjustRightInd/>
        <w:snapToGrid w:val="0"/>
        <w:spacing w:before="0" w:after="0" w:line="240" w:lineRule="auto"/>
        <w:ind w:firstLine="560" w:firstLineChars="200"/>
        <w:jc w:val="center"/>
        <w:textAlignment w:val="auto"/>
        <w:rPr>
          <w:rFonts w:hint="eastAsia" w:ascii="宋体" w:hAnsi="宋体" w:eastAsia="宋体" w:cs="宋体"/>
          <w:sz w:val="28"/>
          <w:szCs w:val="28"/>
        </w:rPr>
      </w:pPr>
      <w:r>
        <w:rPr>
          <w:rFonts w:hint="eastAsia" w:ascii="宋体" w:hAnsi="宋体" w:eastAsia="宋体" w:cs="宋体"/>
          <w:sz w:val="28"/>
          <w:szCs w:val="28"/>
        </w:rPr>
        <w:t>红／橙级隐患自动写入台账，支持“未整改 → 整改中 → 已闭环”状态流转，并记录整改措施与整改时限，实现隐患排查、治理、复核的全过程闭环与可追溯管理。</w:t>
      </w:r>
      <w:r>
        <w:drawing>
          <wp:inline distT="0" distB="0" distL="0" distR="0">
            <wp:extent cx="5039995" cy="3023870"/>
            <wp:effectExtent l="0" t="0" r="4445" b="8890"/>
            <wp:docPr id="1006" name="screenshot6" descr="screenshot6"/>
            <wp:cNvGraphicFramePr/>
            <a:graphic xmlns:a="http://schemas.openxmlformats.org/drawingml/2006/main">
              <a:graphicData uri="http://schemas.openxmlformats.org/drawingml/2006/picture">
                <pic:pic xmlns:pic="http://schemas.openxmlformats.org/drawingml/2006/picture">
                  <pic:nvPicPr>
                    <pic:cNvPr id="1006" name="screenshot6" descr="screenshot6"/>
                    <pic:cNvPicPr/>
                  </pic:nvPicPr>
                  <pic:blipFill>
                    <a:blip r:embed="rId9"/>
                    <a:stretch>
                      <a:fillRect/>
                    </a:stretch>
                  </pic:blipFill>
                  <pic:spPr>
                    <a:xfrm>
                      <a:off x="0" y="0"/>
                      <a:ext cx="5039995" cy="3023870"/>
                    </a:xfrm>
                    <a:prstGeom prst="rect">
                      <a:avLst/>
                    </a:prstGeom>
                  </pic:spPr>
                </pic:pic>
              </a:graphicData>
            </a:graphic>
          </wp:inline>
        </w:drawing>
      </w:r>
    </w:p>
    <w:p w14:paraId="57C17B70">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五、实施计划</w:t>
      </w:r>
    </w:p>
    <w:p w14:paraId="6955259B">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5.1 已完成工作</w:t>
      </w:r>
    </w:p>
    <w:p w14:paraId="4B935B4A">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完成危险源清单编制（静态 31 项、动态 61 项）、风险矩阵模型设计、系统1.0开发（账号管理、静态/动态评估、综合结果、隐患台账）、界面美化与项目 LOGO 设计，系统已在本机稳定运行。</w:t>
      </w:r>
    </w:p>
    <w:p w14:paraId="39A2FAB1">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5.2 后续实施计划</w:t>
      </w:r>
    </w:p>
    <w:tbl>
      <w:tblPr>
        <w:tblStyle w:val="3"/>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289"/>
        <w:gridCol w:w="2386"/>
        <w:gridCol w:w="5371"/>
      </w:tblGrid>
      <w:tr w14:paraId="7309E93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289" w:type="dxa"/>
            <w:vAlign w:val="center"/>
          </w:tcPr>
          <w:p w14:paraId="5943A6D5">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阶段</w:t>
            </w:r>
          </w:p>
        </w:tc>
        <w:tc>
          <w:tcPr>
            <w:tcW w:w="2386" w:type="dxa"/>
            <w:vAlign w:val="center"/>
          </w:tcPr>
          <w:p w14:paraId="777B7EF0">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时间</w:t>
            </w:r>
          </w:p>
        </w:tc>
        <w:tc>
          <w:tcPr>
            <w:tcW w:w="5371" w:type="dxa"/>
            <w:vAlign w:val="center"/>
          </w:tcPr>
          <w:p w14:paraId="5A55449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主要工作内容</w:t>
            </w:r>
          </w:p>
        </w:tc>
      </w:tr>
      <w:tr w14:paraId="5A1FA49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289" w:type="dxa"/>
            <w:vAlign w:val="center"/>
          </w:tcPr>
          <w:p w14:paraId="0102CCC5">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第一阶段</w:t>
            </w:r>
          </w:p>
        </w:tc>
        <w:tc>
          <w:tcPr>
            <w:tcW w:w="2386" w:type="dxa"/>
            <w:vAlign w:val="center"/>
          </w:tcPr>
          <w:p w14:paraId="57F504AC">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2026.5—2026.8</w:t>
            </w:r>
          </w:p>
        </w:tc>
        <w:tc>
          <w:tcPr>
            <w:tcW w:w="5371" w:type="dxa"/>
            <w:vAlign w:val="center"/>
          </w:tcPr>
          <w:p w14:paraId="2605188A">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文献调研、现场调研，梳理行业规范，完成危险源清单编制、风险矩阵模型设计</w:t>
            </w:r>
          </w:p>
        </w:tc>
      </w:tr>
      <w:tr w14:paraId="2E8E8AD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289" w:type="dxa"/>
            <w:vAlign w:val="center"/>
          </w:tcPr>
          <w:p w14:paraId="7972B799">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第二阶段</w:t>
            </w:r>
          </w:p>
        </w:tc>
        <w:tc>
          <w:tcPr>
            <w:tcW w:w="2386" w:type="dxa"/>
            <w:vAlign w:val="center"/>
          </w:tcPr>
          <w:p w14:paraId="0D266886">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2026.9—2026.11</w:t>
            </w:r>
          </w:p>
        </w:tc>
        <w:tc>
          <w:tcPr>
            <w:tcW w:w="5371" w:type="dxa"/>
            <w:vAlign w:val="center"/>
          </w:tcPr>
          <w:p w14:paraId="386E21EE">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学习Python开发技术，完成平台后端、数据层、前端开发，嵌入风险矩阵算法</w:t>
            </w:r>
          </w:p>
        </w:tc>
      </w:tr>
      <w:tr w14:paraId="7C55DA4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289" w:type="dxa"/>
            <w:vAlign w:val="center"/>
          </w:tcPr>
          <w:p w14:paraId="209D09A8">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第三阶段</w:t>
            </w:r>
          </w:p>
        </w:tc>
        <w:tc>
          <w:tcPr>
            <w:tcW w:w="2386" w:type="dxa"/>
            <w:vAlign w:val="center"/>
          </w:tcPr>
          <w:p w14:paraId="3524F14C">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2026.12—2027.1</w:t>
            </w:r>
          </w:p>
        </w:tc>
        <w:tc>
          <w:tcPr>
            <w:tcW w:w="5371" w:type="dxa"/>
            <w:vAlign w:val="center"/>
          </w:tcPr>
          <w:p w14:paraId="4C849E6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平台功能测试、性能优化、漏洞修复，开展模拟验证与基层试用，迭代优化平台</w:t>
            </w:r>
          </w:p>
        </w:tc>
      </w:tr>
      <w:tr w14:paraId="47D7393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289" w:type="dxa"/>
            <w:vAlign w:val="center"/>
          </w:tcPr>
          <w:p w14:paraId="5C47F73C">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第四阶段</w:t>
            </w:r>
          </w:p>
        </w:tc>
        <w:tc>
          <w:tcPr>
            <w:tcW w:w="2386" w:type="dxa"/>
            <w:vAlign w:val="center"/>
          </w:tcPr>
          <w:p w14:paraId="342D7FF8">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2027.2—2027.4</w:t>
            </w:r>
          </w:p>
        </w:tc>
        <w:tc>
          <w:tcPr>
            <w:tcW w:w="5371" w:type="dxa"/>
            <w:vAlign w:val="center"/>
          </w:tcPr>
          <w:p w14:paraId="0B1A552C">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整理分析数据，撰写学术论文，完成研究报告</w:t>
            </w:r>
          </w:p>
        </w:tc>
      </w:tr>
      <w:tr w14:paraId="70A7C49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289" w:type="dxa"/>
            <w:vAlign w:val="center"/>
          </w:tcPr>
          <w:p w14:paraId="4C081A2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第五阶段</w:t>
            </w:r>
          </w:p>
        </w:tc>
        <w:tc>
          <w:tcPr>
            <w:tcW w:w="2386" w:type="dxa"/>
            <w:vAlign w:val="center"/>
          </w:tcPr>
          <w:p w14:paraId="61AC60AC">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2027.5</w:t>
            </w:r>
          </w:p>
        </w:tc>
        <w:tc>
          <w:tcPr>
            <w:tcW w:w="5371" w:type="dxa"/>
            <w:vAlign w:val="center"/>
          </w:tcPr>
          <w:p w14:paraId="51E50B21">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总结项目成果，完善平台功能，准备项目结题材料</w:t>
            </w:r>
          </w:p>
        </w:tc>
      </w:tr>
    </w:tbl>
    <w:p w14:paraId="682AA548">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p>
    <w:p w14:paraId="6A8B8A50">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六、团队分工与条件保障</w:t>
      </w:r>
    </w:p>
    <w:p w14:paraId="0AB48CBA">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6.1 团队分工</w:t>
      </w:r>
    </w:p>
    <w:tbl>
      <w:tblPr>
        <w:tblStyle w:val="3"/>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1400"/>
        <w:gridCol w:w="1600"/>
        <w:gridCol w:w="1600"/>
        <w:gridCol w:w="4400"/>
      </w:tblGrid>
      <w:tr w14:paraId="0926B1D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61B4986C">
            <w:pPr>
              <w:keepNext w:val="0"/>
              <w:keepLines w:val="0"/>
              <w:pageBreakBefore w:val="0"/>
              <w:widowControl w:val="0"/>
              <w:kinsoku/>
              <w:wordWrap/>
              <w:overflowPunct/>
              <w:topLinePunct w:val="0"/>
              <w:autoSpaceDE/>
              <w:autoSpaceDN/>
              <w:bidi w:val="0"/>
              <w:adjustRightInd/>
              <w:snapToGrid/>
              <w:spacing w:before="30" w:after="30" w:line="440" w:lineRule="exact"/>
              <w:ind w:firstLine="562" w:firstLineChars="200"/>
              <w:jc w:val="left"/>
              <w:textAlignment w:val="auto"/>
              <w:rPr>
                <w:rFonts w:hint="eastAsia" w:ascii="宋体" w:hAnsi="宋体" w:eastAsia="宋体" w:cs="宋体"/>
                <w:sz w:val="28"/>
                <w:szCs w:val="28"/>
              </w:rPr>
            </w:pPr>
            <w:r>
              <w:rPr>
                <w:rFonts w:hint="eastAsia" w:ascii="宋体" w:hAnsi="宋体" w:eastAsia="宋体" w:cs="宋体"/>
                <w:b/>
                <w:bCs/>
                <w:sz w:val="28"/>
                <w:szCs w:val="28"/>
              </w:rPr>
              <w:t>角色</w:t>
            </w:r>
          </w:p>
        </w:tc>
        <w:tc>
          <w:tcPr>
            <w:tcW w:w="1600" w:type="dxa"/>
            <w:vAlign w:val="center"/>
          </w:tcPr>
          <w:p w14:paraId="19530026">
            <w:pPr>
              <w:keepNext w:val="0"/>
              <w:keepLines w:val="0"/>
              <w:pageBreakBefore w:val="0"/>
              <w:widowControl w:val="0"/>
              <w:kinsoku/>
              <w:wordWrap/>
              <w:overflowPunct/>
              <w:topLinePunct w:val="0"/>
              <w:autoSpaceDE/>
              <w:autoSpaceDN/>
              <w:bidi w:val="0"/>
              <w:adjustRightInd/>
              <w:snapToGrid/>
              <w:spacing w:before="30" w:after="30" w:line="440" w:lineRule="exact"/>
              <w:ind w:firstLine="562" w:firstLineChars="200"/>
              <w:jc w:val="left"/>
              <w:textAlignment w:val="auto"/>
              <w:rPr>
                <w:rFonts w:hint="eastAsia" w:ascii="宋体" w:hAnsi="宋体" w:eastAsia="宋体" w:cs="宋体"/>
                <w:sz w:val="28"/>
                <w:szCs w:val="28"/>
              </w:rPr>
            </w:pPr>
            <w:r>
              <w:rPr>
                <w:rFonts w:hint="eastAsia" w:ascii="宋体" w:hAnsi="宋体" w:eastAsia="宋体" w:cs="宋体"/>
                <w:b/>
                <w:bCs/>
                <w:sz w:val="28"/>
                <w:szCs w:val="28"/>
              </w:rPr>
              <w:t>姓名</w:t>
            </w:r>
          </w:p>
        </w:tc>
        <w:tc>
          <w:tcPr>
            <w:tcW w:w="1600" w:type="dxa"/>
            <w:vAlign w:val="center"/>
          </w:tcPr>
          <w:p w14:paraId="3BC935AA">
            <w:pPr>
              <w:keepNext w:val="0"/>
              <w:keepLines w:val="0"/>
              <w:pageBreakBefore w:val="0"/>
              <w:widowControl w:val="0"/>
              <w:kinsoku/>
              <w:wordWrap/>
              <w:overflowPunct/>
              <w:topLinePunct w:val="0"/>
              <w:autoSpaceDE/>
              <w:autoSpaceDN/>
              <w:bidi w:val="0"/>
              <w:adjustRightInd/>
              <w:snapToGrid/>
              <w:spacing w:before="30" w:after="30" w:line="440" w:lineRule="exact"/>
              <w:ind w:firstLine="562" w:firstLineChars="200"/>
              <w:jc w:val="left"/>
              <w:textAlignment w:val="auto"/>
              <w:rPr>
                <w:rFonts w:hint="eastAsia" w:ascii="宋体" w:hAnsi="宋体" w:eastAsia="宋体" w:cs="宋体"/>
                <w:sz w:val="28"/>
                <w:szCs w:val="28"/>
              </w:rPr>
            </w:pPr>
            <w:r>
              <w:rPr>
                <w:rFonts w:hint="eastAsia" w:ascii="宋体" w:hAnsi="宋体" w:eastAsia="宋体" w:cs="宋体"/>
                <w:b/>
                <w:bCs/>
                <w:sz w:val="28"/>
                <w:szCs w:val="28"/>
              </w:rPr>
              <w:t>学号</w:t>
            </w:r>
          </w:p>
        </w:tc>
        <w:tc>
          <w:tcPr>
            <w:tcW w:w="4400" w:type="dxa"/>
            <w:vAlign w:val="center"/>
          </w:tcPr>
          <w:p w14:paraId="47A7F8AE">
            <w:pPr>
              <w:keepNext w:val="0"/>
              <w:keepLines w:val="0"/>
              <w:pageBreakBefore w:val="0"/>
              <w:widowControl w:val="0"/>
              <w:kinsoku/>
              <w:wordWrap/>
              <w:overflowPunct/>
              <w:topLinePunct w:val="0"/>
              <w:autoSpaceDE/>
              <w:autoSpaceDN/>
              <w:bidi w:val="0"/>
              <w:adjustRightInd/>
              <w:snapToGrid/>
              <w:spacing w:before="30" w:after="30" w:line="440" w:lineRule="exact"/>
              <w:ind w:firstLine="562" w:firstLineChars="200"/>
              <w:jc w:val="left"/>
              <w:textAlignment w:val="auto"/>
              <w:rPr>
                <w:rFonts w:hint="eastAsia" w:ascii="宋体" w:hAnsi="宋体" w:eastAsia="宋体" w:cs="宋体"/>
                <w:sz w:val="28"/>
                <w:szCs w:val="28"/>
              </w:rPr>
            </w:pPr>
            <w:r>
              <w:rPr>
                <w:rFonts w:hint="eastAsia" w:ascii="宋体" w:hAnsi="宋体" w:eastAsia="宋体" w:cs="宋体"/>
                <w:b/>
                <w:bCs/>
                <w:sz w:val="28"/>
                <w:szCs w:val="28"/>
              </w:rPr>
              <w:t>项目分工</w:t>
            </w:r>
          </w:p>
        </w:tc>
      </w:tr>
      <w:tr w14:paraId="005C088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1D807DA7">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负责人</w:t>
            </w:r>
          </w:p>
        </w:tc>
        <w:tc>
          <w:tcPr>
            <w:tcW w:w="1600" w:type="dxa"/>
            <w:vAlign w:val="center"/>
          </w:tcPr>
          <w:p w14:paraId="3FDFB72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郭宇翔</w:t>
            </w:r>
          </w:p>
        </w:tc>
        <w:tc>
          <w:tcPr>
            <w:tcW w:w="1600" w:type="dxa"/>
            <w:vAlign w:val="center"/>
          </w:tcPr>
          <w:p w14:paraId="7A10EF93">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20244222</w:t>
            </w:r>
          </w:p>
        </w:tc>
        <w:tc>
          <w:tcPr>
            <w:tcW w:w="4400" w:type="dxa"/>
            <w:vAlign w:val="center"/>
          </w:tcPr>
          <w:p w14:paraId="20A2CAC9">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主持实验及编写论文</w:t>
            </w:r>
          </w:p>
        </w:tc>
      </w:tr>
      <w:tr w14:paraId="42B359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1366621A">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成员1</w:t>
            </w:r>
          </w:p>
        </w:tc>
        <w:tc>
          <w:tcPr>
            <w:tcW w:w="1600" w:type="dxa"/>
            <w:vAlign w:val="center"/>
          </w:tcPr>
          <w:p w14:paraId="1482C522">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刘一凡</w:t>
            </w:r>
          </w:p>
        </w:tc>
        <w:tc>
          <w:tcPr>
            <w:tcW w:w="1600" w:type="dxa"/>
            <w:vAlign w:val="center"/>
          </w:tcPr>
          <w:p w14:paraId="65A7D533">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20244208</w:t>
            </w:r>
          </w:p>
        </w:tc>
        <w:tc>
          <w:tcPr>
            <w:tcW w:w="4400" w:type="dxa"/>
            <w:vAlign w:val="center"/>
          </w:tcPr>
          <w:p w14:paraId="025F1430">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隐患排查清单编制及整理数据</w:t>
            </w:r>
          </w:p>
        </w:tc>
      </w:tr>
      <w:tr w14:paraId="4F1F741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3EF2423E">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成员2</w:t>
            </w:r>
          </w:p>
        </w:tc>
        <w:tc>
          <w:tcPr>
            <w:tcW w:w="1600" w:type="dxa"/>
            <w:vAlign w:val="center"/>
          </w:tcPr>
          <w:p w14:paraId="3EBA56E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沈鑫</w:t>
            </w:r>
          </w:p>
        </w:tc>
        <w:tc>
          <w:tcPr>
            <w:tcW w:w="1600" w:type="dxa"/>
            <w:vAlign w:val="center"/>
          </w:tcPr>
          <w:p w14:paraId="5F84F1EE">
            <w:pPr>
              <w:keepNext w:val="0"/>
              <w:keepLines w:val="0"/>
              <w:pageBreakBefore w:val="0"/>
              <w:widowControl w:val="0"/>
              <w:tabs>
                <w:tab w:val="left" w:pos="496"/>
              </w:tabs>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20244311</w:t>
            </w:r>
          </w:p>
        </w:tc>
        <w:tc>
          <w:tcPr>
            <w:tcW w:w="4400" w:type="dxa"/>
            <w:vAlign w:val="center"/>
          </w:tcPr>
          <w:p w14:paraId="7B89ED84">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风险矩阵模型构建</w:t>
            </w:r>
          </w:p>
        </w:tc>
      </w:tr>
      <w:tr w14:paraId="3BDEED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1400" w:type="dxa"/>
            <w:vAlign w:val="center"/>
          </w:tcPr>
          <w:p w14:paraId="4FC65332">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成员3</w:t>
            </w:r>
          </w:p>
        </w:tc>
        <w:tc>
          <w:tcPr>
            <w:tcW w:w="1600" w:type="dxa"/>
            <w:vAlign w:val="center"/>
          </w:tcPr>
          <w:p w14:paraId="464B15E9">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张凯博</w:t>
            </w:r>
          </w:p>
        </w:tc>
        <w:tc>
          <w:tcPr>
            <w:tcW w:w="1600" w:type="dxa"/>
            <w:vAlign w:val="center"/>
          </w:tcPr>
          <w:p w14:paraId="3EE4E446">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20244204</w:t>
            </w:r>
          </w:p>
        </w:tc>
        <w:tc>
          <w:tcPr>
            <w:tcW w:w="4400" w:type="dxa"/>
            <w:vAlign w:val="center"/>
          </w:tcPr>
          <w:p w14:paraId="441DA915">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项目成果可视化材料制作</w:t>
            </w:r>
          </w:p>
        </w:tc>
      </w:tr>
    </w:tbl>
    <w:p w14:paraId="18D1B467">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p>
    <w:p w14:paraId="3D7C3417">
      <w:pPr>
        <w:keepNext w:val="0"/>
        <w:keepLines w:val="0"/>
        <w:pageBreakBefore w:val="0"/>
        <w:widowControl w:val="0"/>
        <w:kinsoku/>
        <w:wordWrap/>
        <w:overflowPunct/>
        <w:topLinePunct w:val="0"/>
        <w:autoSpaceDE/>
        <w:autoSpaceDN/>
        <w:bidi w:val="0"/>
        <w:adjustRightInd/>
        <w:snapToGrid/>
        <w:spacing w:before="160" w:after="8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6.2 指导与条件保障</w:t>
      </w:r>
    </w:p>
    <w:p w14:paraId="19037671">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指导教师陈明义长期从事安全工程教学与科研工作，为项目提供技术路线把关与资源保障。项目依托学院计算机实验环境、开发工具、文献数据库等条件，保障开发、测试与论文写作顺利开展。</w:t>
      </w:r>
    </w:p>
    <w:p w14:paraId="4597FC74">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七、预期成果</w:t>
      </w:r>
    </w:p>
    <w:p w14:paraId="7E5699F0">
      <w:pPr>
        <w:pStyle w:val="2"/>
        <w:keepNext w:val="0"/>
        <w:keepLines w:val="0"/>
        <w:widowControl/>
        <w:suppressLineNumbers w:val="0"/>
        <w:spacing w:before="0" w:beforeAutospacing="0" w:after="0" w:afterAutospacing="0" w:line="440" w:lineRule="exact"/>
        <w:ind w:left="0" w:right="0" w:firstLine="420"/>
        <w:jc w:val="both"/>
        <w:rPr>
          <w:sz w:val="28"/>
          <w:szCs w:val="28"/>
        </w:rPr>
      </w:pPr>
      <w:r>
        <w:rPr>
          <w:rFonts w:hint="eastAsia" w:ascii="宋体" w:hAnsi="宋体" w:eastAsia="宋体" w:cs="宋体"/>
          <w:b w:val="0"/>
          <w:bCs w:val="0"/>
          <w:i w:val="0"/>
          <w:iCs w:val="0"/>
          <w:color w:val="000000"/>
          <w:spacing w:val="0"/>
          <w:w w:val="100"/>
          <w:sz w:val="28"/>
          <w:szCs w:val="28"/>
          <w:vertAlign w:val="baseline"/>
        </w:rPr>
        <w:t>本项目依托铁路危险货物运输静态、动态双重自查体系，通过系统危险源辨识、风险矩阵建模、Python平台开发与多场景模拟验证，形成一套标准化、可落地、可复用的铁路危货运输风险管控技术成果，具体预期成果如下：</w:t>
      </w:r>
    </w:p>
    <w:p w14:paraId="688C1929">
      <w:pPr>
        <w:pStyle w:val="2"/>
        <w:keepNext w:val="0"/>
        <w:keepLines w:val="0"/>
        <w:widowControl/>
        <w:suppressLineNumbers w:val="0"/>
        <w:spacing w:before="0" w:beforeAutospacing="0" w:after="0" w:afterAutospacing="0" w:line="440" w:lineRule="exact"/>
        <w:ind w:left="0" w:right="0" w:firstLine="420"/>
        <w:jc w:val="both"/>
        <w:rPr>
          <w:sz w:val="28"/>
          <w:szCs w:val="28"/>
        </w:rPr>
      </w:pPr>
      <w:r>
        <w:rPr>
          <w:rFonts w:hint="eastAsia" w:ascii="宋体" w:hAnsi="宋体" w:eastAsia="宋体" w:cs="宋体"/>
          <w:b w:val="0"/>
          <w:bCs w:val="0"/>
          <w:i w:val="0"/>
          <w:iCs w:val="0"/>
          <w:color w:val="000000"/>
          <w:spacing w:val="0"/>
          <w:w w:val="100"/>
          <w:sz w:val="28"/>
          <w:szCs w:val="28"/>
          <w:vertAlign w:val="baseline"/>
        </w:rPr>
        <w:t>（1）完成1套《铁路危险货物运输全维度隐患排查清单》。清单覆盖站台、仓库、装卸区、轨道、监控报警设备等静态场所，以及进场验收、装卸搬运、押运运输、到站交接等动态作业环节；按人、物、环境、管理、任务等维度分类梳理，明确排查项、排查内容、排查方式及隐患等级，为现场排查与风险评估提供完整基础数据支撑。</w:t>
      </w:r>
    </w:p>
    <w:p w14:paraId="442F5938">
      <w:pPr>
        <w:pStyle w:val="2"/>
        <w:keepNext w:val="0"/>
        <w:keepLines w:val="0"/>
        <w:widowControl/>
        <w:suppressLineNumbers w:val="0"/>
        <w:spacing w:before="0" w:beforeAutospacing="0" w:after="0" w:afterAutospacing="0" w:line="440" w:lineRule="exact"/>
        <w:ind w:left="0" w:right="0" w:firstLine="420"/>
        <w:jc w:val="both"/>
        <w:rPr>
          <w:sz w:val="28"/>
          <w:szCs w:val="28"/>
        </w:rPr>
      </w:pPr>
      <w:r>
        <w:rPr>
          <w:rFonts w:hint="eastAsia" w:ascii="宋体" w:hAnsi="宋体" w:eastAsia="宋体" w:cs="宋体"/>
          <w:b w:val="0"/>
          <w:bCs w:val="0"/>
          <w:i w:val="0"/>
          <w:iCs w:val="0"/>
          <w:color w:val="000000"/>
          <w:spacing w:val="0"/>
          <w:w w:val="100"/>
          <w:sz w:val="28"/>
          <w:szCs w:val="28"/>
          <w:vertAlign w:val="baseline"/>
        </w:rPr>
        <w:t>（2）构建1套适配铁路危货运输场景的风险矩阵评估模型。明确风险发生概率、危害后果严重度双维度赋值标准，建立量化风险矩阵，划分重大、较大、一般、低四级风险等级及对应管控优先级；实现风险等级自动、客观、可量化判定，解决传统人工评估主观性强、标准不统一的问题。</w:t>
      </w:r>
    </w:p>
    <w:p w14:paraId="4E40495C">
      <w:pPr>
        <w:pStyle w:val="2"/>
        <w:keepNext w:val="0"/>
        <w:keepLines w:val="0"/>
        <w:widowControl/>
        <w:suppressLineNumbers w:val="0"/>
        <w:spacing w:before="0" w:beforeAutospacing="0" w:after="0" w:afterAutospacing="0" w:line="440" w:lineRule="exact"/>
        <w:ind w:left="0" w:right="0" w:firstLine="420"/>
        <w:jc w:val="both"/>
        <w:rPr>
          <w:sz w:val="28"/>
          <w:szCs w:val="28"/>
        </w:rPr>
      </w:pPr>
      <w:r>
        <w:rPr>
          <w:rFonts w:hint="eastAsia" w:ascii="宋体" w:hAnsi="宋体" w:eastAsia="宋体" w:cs="宋体"/>
          <w:b w:val="0"/>
          <w:bCs w:val="0"/>
          <w:i w:val="0"/>
          <w:iCs w:val="0"/>
          <w:color w:val="000000"/>
          <w:spacing w:val="0"/>
          <w:w w:val="100"/>
          <w:sz w:val="28"/>
          <w:szCs w:val="28"/>
          <w:vertAlign w:val="baseline"/>
        </w:rPr>
        <w:t>（3）开发1套基于Python的轻量化铁路危险货物运输风险管控平台。采用Flask后端、MySQL数据库、ECharts可视化技术，完整实现危险源信息管理、风险矩阵自动评估、分作业环节管控、分场所精准评估、作业周期动态调整、多维度数据查询与可视化追溯六大核心功能；完成平台界面设计、算法嵌入、数据交互调试及功能集成，平台运行稳定、响应迅速、操作简洁，适配基层站段非专业人员快速上手使用。</w:t>
      </w:r>
    </w:p>
    <w:p w14:paraId="4AAE76E9">
      <w:pPr>
        <w:pStyle w:val="2"/>
        <w:keepNext w:val="0"/>
        <w:keepLines w:val="0"/>
        <w:widowControl/>
        <w:suppressLineNumbers w:val="0"/>
        <w:spacing w:before="0" w:beforeAutospacing="0" w:after="0" w:afterAutospacing="0" w:line="440" w:lineRule="exact"/>
        <w:ind w:left="0" w:right="0" w:firstLine="420"/>
        <w:jc w:val="both"/>
        <w:rPr>
          <w:sz w:val="28"/>
          <w:szCs w:val="28"/>
        </w:rPr>
      </w:pPr>
      <w:r>
        <w:rPr>
          <w:rFonts w:hint="eastAsia" w:ascii="宋体" w:hAnsi="宋体" w:eastAsia="宋体" w:cs="宋体"/>
          <w:b w:val="0"/>
          <w:bCs w:val="0"/>
          <w:i w:val="0"/>
          <w:iCs w:val="0"/>
          <w:color w:val="000000"/>
          <w:spacing w:val="0"/>
          <w:w w:val="100"/>
          <w:sz w:val="28"/>
          <w:szCs w:val="28"/>
          <w:vertAlign w:val="baseline"/>
        </w:rPr>
        <w:t>（4）完成多场景模拟验证与平台性能测试。搭建铁路危货运输典型作业模拟场景，录入不同场所、不同环节、不同风险等级的危险源数据，开展平台功能验证与性能测试；输出《平台功能测试报告》《风险评估准确性验证报告》，验证危险源辨识完整性、风险矩阵评估准确性、平台功能稳定性及数据追溯可靠性，确保平台评估结果真实有效、贴合实际。</w:t>
      </w:r>
    </w:p>
    <w:p w14:paraId="3DBB1DFE">
      <w:pPr>
        <w:pStyle w:val="2"/>
        <w:keepNext w:val="0"/>
        <w:keepLines w:val="0"/>
        <w:widowControl/>
        <w:suppressLineNumbers w:val="0"/>
        <w:spacing w:before="0" w:beforeAutospacing="0" w:after="0" w:afterAutospacing="0" w:line="440" w:lineRule="exact"/>
        <w:ind w:left="0" w:right="0" w:firstLine="420"/>
        <w:jc w:val="both"/>
        <w:rPr>
          <w:rFonts w:hint="eastAsia" w:ascii="宋体" w:hAnsi="宋体" w:eastAsia="宋体" w:cs="宋体"/>
          <w:sz w:val="28"/>
          <w:szCs w:val="28"/>
        </w:rPr>
      </w:pPr>
      <w:r>
        <w:rPr>
          <w:rFonts w:hint="eastAsia" w:ascii="宋体" w:hAnsi="宋体" w:eastAsia="宋体" w:cs="宋体"/>
          <w:b w:val="0"/>
          <w:bCs w:val="0"/>
          <w:i w:val="0"/>
          <w:iCs w:val="0"/>
          <w:color w:val="000000"/>
          <w:spacing w:val="0"/>
          <w:w w:val="100"/>
          <w:sz w:val="28"/>
          <w:szCs w:val="28"/>
          <w:vertAlign w:val="baseline"/>
        </w:rPr>
        <w:t>（5）完成项目研究报告1份，在省级及以上期刊发表学术论文1-2篇。</w:t>
      </w:r>
    </w:p>
    <w:p w14:paraId="13CEDD7E">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八、经费预算</w:t>
      </w:r>
    </w:p>
    <w:tbl>
      <w:tblPr>
        <w:tblStyle w:val="3"/>
        <w:tblW w:w="907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 w:type="dxa"/>
          <w:bottom w:w="0" w:type="dxa"/>
          <w:right w:w="10" w:type="dxa"/>
        </w:tblCellMar>
      </w:tblPr>
      <w:tblGrid>
        <w:gridCol w:w="2648"/>
        <w:gridCol w:w="4358"/>
        <w:gridCol w:w="2064"/>
      </w:tblGrid>
      <w:tr w14:paraId="11997B0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2648" w:type="dxa"/>
            <w:vAlign w:val="center"/>
          </w:tcPr>
          <w:p w14:paraId="610EE360">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开支项目</w:t>
            </w:r>
          </w:p>
        </w:tc>
        <w:tc>
          <w:tcPr>
            <w:tcW w:w="4358" w:type="dxa"/>
            <w:vAlign w:val="center"/>
          </w:tcPr>
          <w:p w14:paraId="7C1207C2">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主要内容</w:t>
            </w:r>
          </w:p>
        </w:tc>
        <w:tc>
          <w:tcPr>
            <w:tcW w:w="2064" w:type="dxa"/>
            <w:vAlign w:val="center"/>
          </w:tcPr>
          <w:p w14:paraId="539AB8B9">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b/>
                <w:bCs/>
                <w:sz w:val="28"/>
                <w:szCs w:val="28"/>
              </w:rPr>
              <w:t>申请金额（元）</w:t>
            </w:r>
          </w:p>
        </w:tc>
      </w:tr>
      <w:tr w14:paraId="6D43BF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2648" w:type="dxa"/>
            <w:vAlign w:val="center"/>
          </w:tcPr>
          <w:p w14:paraId="5BAA25FE">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文件检索</w:t>
            </w:r>
            <w:r>
              <w:rPr>
                <w:rFonts w:hint="eastAsia" w:ascii="宋体" w:hAnsi="宋体" w:eastAsia="宋体" w:cs="宋体"/>
                <w:sz w:val="28"/>
                <w:szCs w:val="28"/>
              </w:rPr>
              <w:t>费</w:t>
            </w:r>
          </w:p>
        </w:tc>
        <w:tc>
          <w:tcPr>
            <w:tcW w:w="4358" w:type="dxa"/>
            <w:vAlign w:val="center"/>
          </w:tcPr>
          <w:p w14:paraId="463444E2">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数据资料检索及使用</w:t>
            </w:r>
          </w:p>
        </w:tc>
        <w:tc>
          <w:tcPr>
            <w:tcW w:w="2064" w:type="dxa"/>
            <w:vAlign w:val="center"/>
          </w:tcPr>
          <w:p w14:paraId="27F9F78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160</w:t>
            </w:r>
          </w:p>
        </w:tc>
      </w:tr>
      <w:tr w14:paraId="531A32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2648" w:type="dxa"/>
            <w:vAlign w:val="center"/>
          </w:tcPr>
          <w:p w14:paraId="71D1C7AB">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规范标准购置与打印费</w:t>
            </w:r>
          </w:p>
        </w:tc>
        <w:tc>
          <w:tcPr>
            <w:tcW w:w="4358" w:type="dxa"/>
            <w:vAlign w:val="center"/>
          </w:tcPr>
          <w:p w14:paraId="35684E85">
            <w:pPr>
              <w:pStyle w:val="2"/>
              <w:keepNext w:val="0"/>
              <w:keepLines w:val="0"/>
              <w:widowControl/>
              <w:suppressLineNumbers w:val="0"/>
              <w:spacing w:before="0" w:beforeAutospacing="0" w:after="0" w:afterAutospacing="0"/>
              <w:ind w:left="0" w:right="0"/>
              <w:jc w:val="both"/>
              <w:rPr>
                <w:rFonts w:hint="eastAsia" w:ascii="宋体" w:hAnsi="宋体" w:eastAsia="宋体" w:cs="宋体"/>
                <w:sz w:val="28"/>
                <w:szCs w:val="28"/>
              </w:rPr>
            </w:pPr>
            <w:r>
              <w:rPr>
                <w:rFonts w:hint="eastAsia" w:ascii="宋体" w:hAnsi="宋体" w:eastAsia="宋体" w:cs="宋体"/>
                <w:b w:val="0"/>
                <w:bCs w:val="0"/>
                <w:i w:val="0"/>
                <w:iCs w:val="0"/>
                <w:color w:val="000000"/>
                <w:spacing w:val="0"/>
                <w:w w:val="100"/>
                <w:sz w:val="28"/>
                <w:szCs w:val="28"/>
                <w:vertAlign w:val="baseline"/>
              </w:rPr>
              <w:t>购置国家、行业标准规范及打印费</w:t>
            </w:r>
          </w:p>
        </w:tc>
        <w:tc>
          <w:tcPr>
            <w:tcW w:w="2064" w:type="dxa"/>
            <w:vAlign w:val="center"/>
          </w:tcPr>
          <w:p w14:paraId="7979805A">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240</w:t>
            </w:r>
          </w:p>
        </w:tc>
      </w:tr>
      <w:tr w14:paraId="11CA2B0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2648" w:type="dxa"/>
            <w:vAlign w:val="center"/>
          </w:tcPr>
          <w:p w14:paraId="54E05B9A">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rPr>
            </w:pPr>
            <w:r>
              <w:rPr>
                <w:rFonts w:hint="eastAsia" w:ascii="宋体" w:hAnsi="宋体" w:eastAsia="宋体" w:cs="宋体"/>
                <w:sz w:val="28"/>
                <w:szCs w:val="28"/>
              </w:rPr>
              <w:t>论文版面费</w:t>
            </w:r>
          </w:p>
        </w:tc>
        <w:tc>
          <w:tcPr>
            <w:tcW w:w="4358" w:type="dxa"/>
            <w:vAlign w:val="center"/>
          </w:tcPr>
          <w:p w14:paraId="6F146B56">
            <w:pPr>
              <w:pStyle w:val="2"/>
              <w:keepNext w:val="0"/>
              <w:keepLines w:val="0"/>
              <w:widowControl/>
              <w:suppressLineNumbers w:val="0"/>
              <w:spacing w:before="0" w:beforeAutospacing="0" w:after="0" w:afterAutospacing="0"/>
              <w:ind w:left="0" w:right="0"/>
              <w:jc w:val="both"/>
              <w:rPr>
                <w:rFonts w:hint="eastAsia" w:ascii="宋体" w:hAnsi="宋体" w:eastAsia="宋体" w:cs="宋体"/>
                <w:sz w:val="28"/>
                <w:szCs w:val="28"/>
              </w:rPr>
            </w:pPr>
            <w:r>
              <w:rPr>
                <w:rFonts w:hint="eastAsia" w:ascii="宋体" w:hAnsi="宋体" w:eastAsia="宋体" w:cs="宋体"/>
                <w:b w:val="0"/>
                <w:bCs w:val="0"/>
                <w:i w:val="0"/>
                <w:iCs w:val="0"/>
                <w:color w:val="000000"/>
                <w:spacing w:val="0"/>
                <w:w w:val="100"/>
                <w:sz w:val="28"/>
                <w:szCs w:val="28"/>
                <w:vertAlign w:val="baseline"/>
              </w:rPr>
              <w:t>发表安全类期刊论文1篇</w:t>
            </w:r>
          </w:p>
        </w:tc>
        <w:tc>
          <w:tcPr>
            <w:tcW w:w="2064" w:type="dxa"/>
            <w:vAlign w:val="center"/>
          </w:tcPr>
          <w:p w14:paraId="19F85A47">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1600</w:t>
            </w:r>
          </w:p>
        </w:tc>
      </w:tr>
      <w:tr w14:paraId="164F58E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2648" w:type="dxa"/>
            <w:vAlign w:val="center"/>
          </w:tcPr>
          <w:p w14:paraId="0234536F">
            <w:pPr>
              <w:pStyle w:val="2"/>
              <w:keepNext w:val="0"/>
              <w:keepLines w:val="0"/>
              <w:widowControl/>
              <w:suppressLineNumbers w:val="0"/>
              <w:spacing w:before="0" w:beforeAutospacing="0" w:after="0" w:afterAutospacing="0"/>
              <w:ind w:left="0" w:right="0"/>
              <w:jc w:val="left"/>
              <w:rPr>
                <w:sz w:val="28"/>
                <w:szCs w:val="28"/>
              </w:rPr>
            </w:pPr>
            <w:r>
              <w:rPr>
                <w:rFonts w:hint="eastAsia" w:ascii="宋体" w:hAnsi="宋体" w:eastAsia="宋体" w:cs="宋体"/>
                <w:b w:val="0"/>
                <w:bCs w:val="0"/>
                <w:i w:val="0"/>
                <w:iCs w:val="0"/>
                <w:color w:val="000000"/>
                <w:spacing w:val="0"/>
                <w:w w:val="100"/>
                <w:sz w:val="28"/>
                <w:szCs w:val="28"/>
                <w:vertAlign w:val="baseline"/>
              </w:rPr>
              <w:t>软件模块</w:t>
            </w:r>
            <w:r>
              <w:rPr>
                <w:rFonts w:hint="eastAsia" w:ascii="宋体" w:hAnsi="宋体" w:eastAsia="宋体" w:cs="宋体"/>
                <w:b w:val="0"/>
                <w:bCs w:val="0"/>
                <w:i w:val="0"/>
                <w:iCs w:val="0"/>
                <w:color w:val="000000"/>
                <w:spacing w:val="0"/>
                <w:w w:val="100"/>
                <w:sz w:val="28"/>
                <w:szCs w:val="28"/>
                <w:vertAlign w:val="baseline"/>
                <w:lang w:val="en-US" w:eastAsia="zh-CN"/>
              </w:rPr>
              <w:t>开发</w:t>
            </w:r>
            <w:r>
              <w:rPr>
                <w:rFonts w:hint="eastAsia" w:ascii="宋体" w:hAnsi="宋体" w:eastAsia="宋体" w:cs="宋体"/>
                <w:b w:val="0"/>
                <w:bCs w:val="0"/>
                <w:i w:val="0"/>
                <w:iCs w:val="0"/>
                <w:color w:val="000000"/>
                <w:spacing w:val="0"/>
                <w:w w:val="100"/>
                <w:sz w:val="28"/>
                <w:szCs w:val="28"/>
                <w:vertAlign w:val="baseline"/>
              </w:rPr>
              <w:t>购置费</w:t>
            </w:r>
          </w:p>
          <w:p w14:paraId="0DA9B380">
            <w:pPr>
              <w:pStyle w:val="2"/>
              <w:keepNext w:val="0"/>
              <w:keepLines w:val="0"/>
              <w:widowControl/>
              <w:suppressLineNumbers w:val="0"/>
              <w:spacing w:before="0" w:beforeAutospacing="0" w:after="0" w:afterAutospacing="0"/>
              <w:ind w:left="0" w:right="0"/>
              <w:jc w:val="left"/>
              <w:rPr>
                <w:rFonts w:hint="eastAsia" w:ascii="宋体" w:hAnsi="宋体" w:eastAsia="宋体" w:cs="宋体"/>
                <w:sz w:val="28"/>
                <w:szCs w:val="28"/>
              </w:rPr>
            </w:pPr>
          </w:p>
        </w:tc>
        <w:tc>
          <w:tcPr>
            <w:tcW w:w="4358" w:type="dxa"/>
            <w:vAlign w:val="center"/>
          </w:tcPr>
          <w:p w14:paraId="5B874BB4">
            <w:pPr>
              <w:pStyle w:val="2"/>
              <w:keepNext w:val="0"/>
              <w:keepLines w:val="0"/>
              <w:widowControl/>
              <w:suppressLineNumbers w:val="0"/>
              <w:spacing w:before="0" w:beforeAutospacing="0" w:after="0" w:afterAutospacing="0"/>
              <w:ind w:left="0" w:right="0"/>
              <w:jc w:val="both"/>
              <w:rPr>
                <w:rFonts w:hint="eastAsia" w:ascii="宋体" w:hAnsi="宋体" w:eastAsia="宋体" w:cs="宋体"/>
                <w:sz w:val="28"/>
                <w:szCs w:val="28"/>
              </w:rPr>
            </w:pPr>
            <w:r>
              <w:rPr>
                <w:rFonts w:hint="eastAsia" w:ascii="宋体" w:hAnsi="宋体" w:eastAsia="宋体" w:cs="宋体"/>
                <w:b w:val="0"/>
                <w:bCs w:val="0"/>
                <w:i w:val="0"/>
                <w:iCs w:val="0"/>
                <w:color w:val="000000"/>
                <w:spacing w:val="0"/>
                <w:w w:val="100"/>
                <w:sz w:val="28"/>
                <w:szCs w:val="28"/>
                <w:vertAlign w:val="baseline"/>
              </w:rPr>
              <w:t>用于软件平台开发过程中费用支出</w:t>
            </w:r>
          </w:p>
        </w:tc>
        <w:tc>
          <w:tcPr>
            <w:tcW w:w="2064" w:type="dxa"/>
            <w:vAlign w:val="center"/>
          </w:tcPr>
          <w:p w14:paraId="67B6DA63">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1200</w:t>
            </w:r>
          </w:p>
        </w:tc>
      </w:tr>
      <w:tr w14:paraId="0A308A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2648" w:type="dxa"/>
            <w:vAlign w:val="center"/>
          </w:tcPr>
          <w:p w14:paraId="6A632A08">
            <w:pPr>
              <w:pStyle w:val="2"/>
              <w:keepNext w:val="0"/>
              <w:keepLines w:val="0"/>
              <w:widowControl/>
              <w:suppressLineNumbers w:val="0"/>
              <w:spacing w:before="0" w:beforeAutospacing="0" w:after="0" w:afterAutospacing="0"/>
              <w:ind w:left="0" w:right="0"/>
              <w:jc w:val="both"/>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软件著作权申请费</w:t>
            </w:r>
          </w:p>
        </w:tc>
        <w:tc>
          <w:tcPr>
            <w:tcW w:w="4358" w:type="dxa"/>
            <w:vAlign w:val="center"/>
          </w:tcPr>
          <w:p w14:paraId="1762C1A0">
            <w:pPr>
              <w:pStyle w:val="2"/>
              <w:keepNext w:val="0"/>
              <w:keepLines w:val="0"/>
              <w:widowControl/>
              <w:suppressLineNumbers w:val="0"/>
              <w:spacing w:before="0" w:beforeAutospacing="0" w:after="0" w:afterAutospacing="0"/>
              <w:ind w:left="0" w:right="0"/>
              <w:jc w:val="left"/>
              <w:rPr>
                <w:rFonts w:hint="eastAsia" w:ascii="宋体" w:hAnsi="宋体" w:eastAsia="宋体" w:cs="宋体"/>
                <w:sz w:val="28"/>
                <w:szCs w:val="28"/>
              </w:rPr>
            </w:pPr>
            <w:r>
              <w:rPr>
                <w:rFonts w:hint="eastAsia" w:ascii="宋体" w:hAnsi="宋体" w:eastAsia="宋体" w:cs="宋体"/>
                <w:b w:val="0"/>
                <w:bCs w:val="0"/>
                <w:i w:val="0"/>
                <w:iCs w:val="0"/>
                <w:color w:val="000000"/>
                <w:spacing w:val="0"/>
                <w:w w:val="100"/>
                <w:sz w:val="28"/>
                <w:szCs w:val="28"/>
                <w:vertAlign w:val="baseline"/>
              </w:rPr>
              <w:t>申请软件著作权</w:t>
            </w:r>
          </w:p>
        </w:tc>
        <w:tc>
          <w:tcPr>
            <w:tcW w:w="2064" w:type="dxa"/>
            <w:vAlign w:val="center"/>
          </w:tcPr>
          <w:p w14:paraId="43987165">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800</w:t>
            </w:r>
          </w:p>
        </w:tc>
      </w:tr>
      <w:tr w14:paraId="5B5B777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 w:type="dxa"/>
            <w:bottom w:w="0" w:type="dxa"/>
            <w:right w:w="10" w:type="dxa"/>
          </w:tblCellMar>
        </w:tblPrEx>
        <w:tc>
          <w:tcPr>
            <w:tcW w:w="2648" w:type="dxa"/>
            <w:vAlign w:val="center"/>
          </w:tcPr>
          <w:p w14:paraId="24280951">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合计</w:t>
            </w:r>
          </w:p>
        </w:tc>
        <w:tc>
          <w:tcPr>
            <w:tcW w:w="4358" w:type="dxa"/>
            <w:vAlign w:val="center"/>
          </w:tcPr>
          <w:p w14:paraId="2F186F2F">
            <w:pPr>
              <w:keepNext w:val="0"/>
              <w:keepLines w:val="0"/>
              <w:pageBreakBefore w:val="0"/>
              <w:widowControl w:val="0"/>
              <w:kinsoku/>
              <w:wordWrap/>
              <w:overflowPunct/>
              <w:topLinePunct w:val="0"/>
              <w:autoSpaceDE/>
              <w:autoSpaceDN/>
              <w:bidi w:val="0"/>
              <w:adjustRightInd/>
              <w:snapToGrid/>
              <w:spacing w:before="30" w:after="30" w:line="440" w:lineRule="exact"/>
              <w:ind w:firstLine="560" w:firstLineChars="200"/>
              <w:jc w:val="left"/>
              <w:textAlignment w:val="auto"/>
              <w:rPr>
                <w:rFonts w:hint="eastAsia" w:ascii="宋体" w:hAnsi="宋体" w:eastAsia="宋体" w:cs="宋体"/>
                <w:sz w:val="28"/>
                <w:szCs w:val="28"/>
              </w:rPr>
            </w:pPr>
          </w:p>
        </w:tc>
        <w:tc>
          <w:tcPr>
            <w:tcW w:w="2064" w:type="dxa"/>
            <w:vAlign w:val="center"/>
          </w:tcPr>
          <w:p w14:paraId="4DCF5F3D">
            <w:pPr>
              <w:keepNext w:val="0"/>
              <w:keepLines w:val="0"/>
              <w:pageBreakBefore w:val="0"/>
              <w:widowControl w:val="0"/>
              <w:kinsoku/>
              <w:wordWrap/>
              <w:overflowPunct/>
              <w:topLinePunct w:val="0"/>
              <w:autoSpaceDE/>
              <w:autoSpaceDN/>
              <w:bidi w:val="0"/>
              <w:adjustRightInd/>
              <w:snapToGrid/>
              <w:spacing w:before="30" w:after="30" w:line="440" w:lineRule="exact"/>
              <w:jc w:val="left"/>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4000</w:t>
            </w:r>
          </w:p>
        </w:tc>
      </w:tr>
    </w:tbl>
    <w:p w14:paraId="7F857F96">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p>
    <w:p w14:paraId="3ACF6A31">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九、风险分析与应对</w:t>
      </w:r>
    </w:p>
    <w:p w14:paraId="51FE70AF">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（1）技术风险：Python 环境与数据库兼容、前端兼容性问题。应对：采用成熟稳定的 Flask+SQLite 轻量方案，开发期充分测试，代码模块化便于维护。</w:t>
      </w:r>
    </w:p>
    <w:p w14:paraId="33A84EE5">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（2）数据风险：危险源清单覆盖不全或与法规不匹配。应对：对照铁运法规标准多轮校核，结合现场调研持续补充完善。</w:t>
      </w:r>
    </w:p>
    <w:p w14:paraId="332DF529">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（3）推广风险：基层人员接受度与使用便捷性不足。应对：坚持轻量化、可视化设计，提供操作引导，通过试用反馈迭代优化界面与流程。</w:t>
      </w:r>
    </w:p>
    <w:p w14:paraId="1714A6D1">
      <w:pPr>
        <w:keepNext w:val="0"/>
        <w:keepLines w:val="0"/>
        <w:pageBreakBefore w:val="0"/>
        <w:widowControl w:val="0"/>
        <w:kinsoku/>
        <w:wordWrap/>
        <w:overflowPunct/>
        <w:topLinePunct w:val="0"/>
        <w:autoSpaceDE/>
        <w:autoSpaceDN/>
        <w:bidi w:val="0"/>
        <w:adjustRightInd/>
        <w:snapToGrid/>
        <w:spacing w:before="240" w:after="120" w:line="440" w:lineRule="exact"/>
        <w:ind w:firstLine="562" w:firstLineChars="200"/>
        <w:textAlignment w:val="auto"/>
        <w:rPr>
          <w:rFonts w:hint="eastAsia" w:ascii="宋体" w:hAnsi="宋体" w:eastAsia="宋体" w:cs="宋体"/>
          <w:sz w:val="28"/>
          <w:szCs w:val="28"/>
        </w:rPr>
      </w:pPr>
      <w:r>
        <w:rPr>
          <w:rFonts w:hint="eastAsia" w:ascii="宋体" w:hAnsi="宋体" w:eastAsia="宋体" w:cs="宋体"/>
          <w:b/>
          <w:bCs/>
          <w:sz w:val="28"/>
          <w:szCs w:val="28"/>
        </w:rPr>
        <w:t>十、结语</w:t>
      </w:r>
    </w:p>
    <w:p w14:paraId="659573A2">
      <w:pPr>
        <w:keepNext w:val="0"/>
        <w:keepLines w:val="0"/>
        <w:pageBreakBefore w:val="0"/>
        <w:widowControl w:val="0"/>
        <w:kinsoku/>
        <w:wordWrap/>
        <w:overflowPunct/>
        <w:topLinePunct w:val="0"/>
        <w:autoSpaceDE/>
        <w:autoSpaceDN/>
        <w:bidi w:val="0"/>
        <w:adjustRightInd/>
        <w:snapToGrid/>
        <w:spacing w:before="0" w:after="0" w:line="44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本项目以真实需求为导向、以可落地系统为载体，将工程实践与创新训练紧密结合，目前已形成可运行、可演示的系统成果。后续将以双重预防机制为主线持续深化系统功能与应用验证，力争在铁路危货运输基层安全数字化管理领域形成具有推广价值的示范成果。</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06B65"/>
    <w:rsid w:val="03F2064E"/>
    <w:rsid w:val="11EE7352"/>
    <w:rsid w:val="12BA021D"/>
    <w:rsid w:val="1D033616"/>
    <w:rsid w:val="1F374578"/>
    <w:rsid w:val="2DA460A3"/>
    <w:rsid w:val="324C4353"/>
    <w:rsid w:val="37D2628B"/>
    <w:rsid w:val="3EFD32F2"/>
    <w:rsid w:val="64B21D45"/>
    <w:rsid w:val="662E45A7"/>
    <w:rsid w:val="66DD6B5A"/>
    <w:rsid w:val="707330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8659</Words>
  <Characters>10422</Characters>
  <TotalTime>3</TotalTime>
  <ScaleCrop>false</ScaleCrop>
  <LinksUpToDate>false</LinksUpToDate>
  <CharactersWithSpaces>10663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2026-08-30T14:47:00Z</dcterms:created>
  <dc:creator>郭宇翔</dc:creator>
  <cp:lastModifiedBy>对方正在输入</cp:lastModifiedBy>
  <dcterms:modified xsi:type="dcterms:W3CDTF">2026-09-02T15:47:53Z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eyJoZGlkIjoiYTM3MWM0MDBjNGUyMzUwYTcwODc4NDRhZWFiZDZmNTAiLCJ1c2VySWQiOiI4MzMwMjg2MjAifQ==</vt:lpwstr>
  </property>
  <property fmtid="{D5CDD505-2E9C-101B-9397-08002B2CF9AE}" pid="3" name="KSOProductBuildVer">
    <vt:lpwstr>2052-12.1.0.26895</vt:lpwstr>
  </property>
  <property fmtid="{D5CDD505-2E9C-101B-9397-08002B2CF9AE}" pid="4" name="ICV">
    <vt:lpwstr>7D02E2DE6F90469EA8D84F9802EC16D1_13</vt:lpwstr>
  </property>
</Properties>
</file>