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wfs5drzf86zj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Report - Employee Sentiment Analysis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6e6uw6id8sbi" w:id="1"/>
      <w:bookmarkEnd w:id="1"/>
      <w:r w:rsidDel="00000000" w:rsidR="00000000" w:rsidRPr="00000000">
        <w:rPr>
          <w:rtl w:val="0"/>
        </w:rPr>
        <w:t xml:space="preserve">Made by : Amey Ghatol 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ameyghatol@gmail.com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bhxjmbsy2pk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 Approach and Methodology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primary objective of this project was to analyze employee messages to extract insights about sentiment and engagement. The methodology was structured into clear, reproducible steps: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Preparation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dataset consisted of emails with fields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were concatenated to form a unified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field.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field was renamed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sender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avoid conflicts with Python keywords.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column was parsed and validated.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Sentiment Labeling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We used the VADER sentiment analyzer from NLTK to label each message as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Positive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Neutral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. This was based on the compound sentiment score: scores ≥ 0.05 were labeled Positive, ≤ -0.05 as Negative, and those in between as Neutral.</w:t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mhc6py707fg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 Key Findings from the EDA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dataset included 2191 messages from 10 unique employees.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Most frequent message sender: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lydia.delgado@enron.com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with 284 messages.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sentiment distribution showed a roughly balanced spread across Positive, Negative, and Neutral, with a slight skew toward Neutral.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Time-series analysis showed fluctuating sentiment levels across months, with certain periods dominated by either positive or negative communication.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Message length and frequency varied significantly between employees; longer messages tended to carry stronger sentiment polarity.</w:t>
        <w:br w:type="textWrapping"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kexk57nso1e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 Employee Scoring and Ranking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message was scored as: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Positive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Negative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Neutral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These scores were aggregated per employee per calendar month to compute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monthly sentiment score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 Positive Employees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Employees with the highest total scores in a month, indicating strong positive engagement.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 Negative Employees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Employees with the most negative scores, possibly indicating dissatisfaction or stress.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Rankings were generated monthly and sorted first by score and then alphabetically to break ties.</w:t>
        <w:br w:type="textWrapping"/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zdlw2y9c99m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4. Flight Risk Identification Criteria and Outcomes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flight risk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defined as any employee who sends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four or more negative messages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within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rolling 30-day window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threshold helps identify sustained negativity over a short period, a potential sign of disengagement.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this logic, a list of flight-risk employees was extracted. These employees warrant further attention from HR for proactive engagement or support.</w:t>
        <w:br w:type="textWrapping"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315iqj72cu2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5. Predictive Modeling Overview and Evaluation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linear regression model was trained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predict monthly sentiment scores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using: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Message count per employee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Average word count per message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Average character count per message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dataset was split into training and testing sets (80/20).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performance: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Mean Squared Error (MSE)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Indicates average squared difference between actual and predicted scores.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R² Score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Showed how much variance in sentiment score is explained by the model.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the model showed moderate predictive capability, it highlighted message frequency and length as meaningful features. Future iterations could incorporate more nuanced NLP features (e.g., topic modeling, emotional tone).</w:t>
        <w:br w:type="textWrapping"/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ydamn56d9j9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project provided a structured pipeline for analyzing employee sentiment using real-world textual data. The insights generated can be pivotal for HR and leadership to identify top contributors, support at-risk employees, and build a more engaged workforce.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eyghato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