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280"/>
        <w:jc w:val="center"/>
      </w:pPr>
      <w:r>
        <w:rPr>
          <w:rFonts w:ascii="Microsoft YaHei" w:hAnsi="Microsoft YaHei" w:eastAsia="Microsoft YaHei"/>
          <w:b/>
          <w:color w:val="1F4E79"/>
          <w:sz w:val="52"/>
        </w:rPr>
        <w:t>专利技术交底书</w:t>
      </w:r>
    </w:p>
    <w:p>
      <w:pPr>
        <w:spacing w:after="560"/>
        <w:jc w:val="center"/>
      </w:pPr>
      <w:r>
        <w:rPr>
          <w:rFonts w:ascii="Microsoft YaHei" w:hAnsi="Microsoft YaHei" w:eastAsia="Microsoft YaHei"/>
          <w:b/>
          <w:color w:val="202020"/>
          <w:sz w:val="36"/>
        </w:rPr>
        <w:t>一种离线运输盘封盘与一致性导入方法、系统、设备及存储介质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文档用途</w:t>
            </w:r>
          </w:p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用于向专利代理师说明技术问题、完整技术方案、区别特征和可替代实现方式。本文不是权利要求书或法律意见。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一、项目与交底信息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项目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内容</w:t>
            </w:r>
          </w:p>
        </w:tc>
      </w:tr>
      <w:tr>
        <w:tc>
          <w:tcPr>
            <w:tcW w:type="dxa" w:w="270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项目名称</w:t>
            </w:r>
          </w:p>
        </w:tc>
        <w:tc>
          <w:tcPr>
            <w:tcW w:type="dxa" w:w="666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RustFS 离线运输盘同步系统</w:t>
            </w:r>
          </w:p>
        </w:tc>
      </w:tr>
      <w:tr>
        <w:tc>
          <w:tcPr>
            <w:tcW w:type="dxa" w:w="270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拟申请名称</w:t>
            </w:r>
          </w:p>
        </w:tc>
        <w:tc>
          <w:tcPr>
            <w:tcW w:type="dxa" w:w="666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一种离线运输盘封盘与一致性导入方法、系统、设备及存储介质</w:t>
            </w:r>
          </w:p>
        </w:tc>
      </w:tr>
      <w:tr>
        <w:tc>
          <w:tcPr>
            <w:tcW w:type="dxa" w:w="270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专利类型</w:t>
            </w:r>
          </w:p>
        </w:tc>
        <w:tc>
          <w:tcPr>
            <w:tcW w:type="dxa" w:w="666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发明专利</w:t>
            </w:r>
          </w:p>
        </w:tc>
      </w:tr>
      <w:tr>
        <w:tc>
          <w:tcPr>
            <w:tcW w:type="dxa" w:w="270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申请定位</w:t>
            </w:r>
          </w:p>
        </w:tc>
        <w:tc>
          <w:tcPr>
            <w:tcW w:type="dxa" w:w="666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主案</w:t>
            </w:r>
          </w:p>
        </w:tc>
      </w:tr>
      <w:tr>
        <w:tc>
          <w:tcPr>
            <w:tcW w:type="dxa" w:w="270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当前状态</w:t>
            </w:r>
          </w:p>
        </w:tc>
        <w:tc>
          <w:tcPr>
            <w:tcW w:type="dxa" w:w="666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建议优先进行现有技术检索并申请</w:t>
            </w:r>
          </w:p>
        </w:tc>
      </w:tr>
      <w:tr>
        <w:tc>
          <w:tcPr>
            <w:tcW w:type="dxa" w:w="270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关键词</w:t>
            </w:r>
          </w:p>
        </w:tc>
        <w:tc>
          <w:tcPr>
            <w:tcW w:type="dxa" w:w="666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离线传输；运输盘；封盘；对象账本；一致性导入；断点恢复</w:t>
            </w:r>
          </w:p>
        </w:tc>
      </w:tr>
      <w:tr>
        <w:tc>
          <w:tcPr>
            <w:tcW w:type="dxa" w:w="270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发明人信息</w:t>
            </w:r>
          </w:p>
        </w:tc>
        <w:tc>
          <w:tcPr>
            <w:tcW w:type="dxa" w:w="666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待项目负责人补充实际发明人、完成时间和贡献说明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二、技术领域</w:t>
      </w:r>
    </w:p>
    <w:p>
      <w:pPr/>
      <w:r>
        <w:rPr>
          <w:rFonts w:ascii="Microsoft YaHei" w:hAnsi="Microsoft YaHei" w:eastAsia="Microsoft YaHei"/>
          <w:b w:val="0"/>
          <w:color w:val="000000"/>
          <w:sz w:val="21"/>
        </w:rPr>
        <w:t>本方案涉及对象存储、可移动存储介质、离线数据传输、数据完整性校验和任务恢复技术，尤其涉及在边缘站点与中控站点不能直接传输对象数据时，使用运输硬盘完成对象数据交接的控制方法。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三、背景技术与现有问题</w:t>
      </w:r>
    </w:p>
    <w:p>
      <w:pPr/>
      <w:r>
        <w:rPr>
          <w:rFonts w:ascii="Microsoft YaHei" w:hAnsi="Microsoft YaHei" w:eastAsia="Microsoft YaHei"/>
          <w:b w:val="0"/>
          <w:color w:val="000000"/>
          <w:sz w:val="21"/>
        </w:rPr>
        <w:t>在带宽不足、网络隔离或跨区域网络不可用的场景中，边缘站点常将对象文件复制到移动硬盘，再人工送至中控站点。常规复制工具只关注文件是否复制完成，缺少运输任务身份、写入完成边界、清单一致性和导入结果追溯机制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常见做法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存在问题</w:t>
            </w:r>
          </w:p>
        </w:tc>
      </w:tr>
      <w:tr>
        <w:tc>
          <w:tcPr>
            <w:tcW w:type="dxa" w:w="300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直接复制目录</w:t>
            </w:r>
          </w:p>
        </w:tc>
        <w:tc>
          <w:tcPr>
            <w:tcW w:type="dxa" w:w="636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无法区分写入中的文件和完整文件；硬盘被拔出后，目录内容与复制记录可能不一致。</w:t>
            </w:r>
          </w:p>
        </w:tc>
      </w:tr>
      <w:tr>
        <w:tc>
          <w:tcPr>
            <w:tcW w:type="dxa" w:w="300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以物理硬盘序列号登记</w:t>
            </w:r>
          </w:p>
        </w:tc>
        <w:tc>
          <w:tcPr>
            <w:tcW w:type="dxa" w:w="636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同一硬盘循环使用时，无法清晰区分不同批次运输，也难以限制旧数据重复导入。</w:t>
            </w:r>
          </w:p>
        </w:tc>
      </w:tr>
      <w:tr>
        <w:tc>
          <w:tcPr>
            <w:tcW w:type="dxa" w:w="300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导入端直接扫描文件</w:t>
            </w:r>
          </w:p>
        </w:tc>
        <w:tc>
          <w:tcPr>
            <w:tcW w:type="dxa" w:w="636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没有可信封盘边界；部分文件、遗漏文件或被重复导入的文件难以识别。</w:t>
            </w:r>
          </w:p>
        </w:tc>
      </w:tr>
      <w:tr>
        <w:tc>
          <w:tcPr>
            <w:tcW w:type="dxa" w:w="300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只按文件名去重</w:t>
            </w:r>
          </w:p>
        </w:tc>
        <w:tc>
          <w:tcPr>
            <w:tcW w:type="dxa" w:w="636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同名文件内容或版本变化时，可能错误跳过新版本，或重复写入旧版本。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要解决的技术问题</w:t>
            </w:r>
          </w:p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在离线运输过程中建立可验证的“完整写盘 - 封盘 - 导入 - 重置”闭环，使中控仅导入已确认完整的一次运输数据，并在异常或重复插盘时保持数据一致性和可追溯性。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四、系统组成与数据对象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900"/>
        <w:gridCol w:w="3860"/>
      </w:tblGrid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组成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职责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关键输入/输出</w:t>
            </w:r>
          </w:p>
        </w:tc>
      </w:tr>
      <w:tr>
        <w:tc>
          <w:tcPr>
            <w:tcW w:type="dxa" w:w="160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Edge</w:t>
            </w:r>
          </w:p>
        </w:tc>
        <w:tc>
          <w:tcPr>
            <w:tcW w:type="dxa" w:w="390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扫描本地 RustFS 对象，写入运输盘，维护导出账本并封盘。</w:t>
            </w:r>
          </w:p>
        </w:tc>
        <w:tc>
          <w:tcPr>
            <w:tcW w:type="dxa" w:w="386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对象元数据、对象 ZIP、运行时账本、封盘清单。</w:t>
            </w:r>
          </w:p>
        </w:tc>
      </w:tr>
      <w:tr>
        <w:tc>
          <w:tcPr>
            <w:tcW w:type="dxa" w:w="160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运输硬盘</w:t>
            </w:r>
          </w:p>
        </w:tc>
        <w:tc>
          <w:tcPr>
            <w:tcW w:type="dxa" w:w="390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承载一次离线运输数据并保存状态、对象包和清单。</w:t>
            </w:r>
          </w:p>
        </w:tc>
        <w:tc>
          <w:tcPr>
            <w:tcW w:type="dxa" w:w="386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disk_info.json、data/、manifest.zip。</w:t>
            </w:r>
          </w:p>
        </w:tc>
      </w:tr>
      <w:tr>
        <w:tc>
          <w:tcPr>
            <w:tcW w:type="dxa" w:w="160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Center</w:t>
            </w:r>
          </w:p>
        </w:tc>
        <w:tc>
          <w:tcPr>
            <w:tcW w:type="dxa" w:w="390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验证封盘运输盘，逐对象导入中控 RustFS，维护导入账本并重新初始化硬盘。</w:t>
            </w:r>
          </w:p>
        </w:tc>
        <w:tc>
          <w:tcPr>
            <w:tcW w:type="dxa" w:w="386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站点配置、disk_id 状态、导入任务、归档记录。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五、运输盘状态与文件结构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1900"/>
        <w:gridCol w:w="5860"/>
      </w:tblGrid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状态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写入方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含义与允许操作</w:t>
            </w:r>
          </w:p>
        </w:tc>
      </w:tr>
      <w:tr>
        <w:tc>
          <w:tcPr>
            <w:tcW w:type="dxa" w:w="160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READY</w:t>
            </w:r>
          </w:p>
        </w:tc>
        <w:tc>
          <w:tcPr>
            <w:tcW w:type="dxa" w:w="190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Center</w:t>
            </w:r>
          </w:p>
        </w:tc>
        <w:tc>
          <w:tcPr>
            <w:tcW w:type="dxa" w:w="586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已初始化并生成新的 disk_id；Edge 可开始导出。</w:t>
            </w:r>
          </w:p>
        </w:tc>
      </w:tr>
      <w:tr>
        <w:tc>
          <w:tcPr>
            <w:tcW w:type="dxa" w:w="160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WRITING</w:t>
            </w:r>
          </w:p>
        </w:tc>
        <w:tc>
          <w:tcPr>
            <w:tcW w:type="dxa" w:w="190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Edge</w:t>
            </w:r>
          </w:p>
        </w:tc>
        <w:tc>
          <w:tcPr>
            <w:tcW w:type="dxa" w:w="586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正在写入；仅相同 Edge 可恢复该盘。</w:t>
            </w:r>
          </w:p>
        </w:tc>
      </w:tr>
      <w:tr>
        <w:tc>
          <w:tcPr>
            <w:tcW w:type="dxa" w:w="160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SEALED</w:t>
            </w:r>
          </w:p>
        </w:tc>
        <w:tc>
          <w:tcPr>
            <w:tcW w:type="dxa" w:w="190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Edge</w:t>
            </w:r>
          </w:p>
        </w:tc>
        <w:tc>
          <w:tcPr>
            <w:tcW w:type="dxa" w:w="586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对象包、加密清单和摘要已完成；Center 可导入，Edge 禁止继续写。</w:t>
            </w:r>
          </w:p>
        </w:tc>
      </w:tr>
      <w:tr>
        <w:tc>
          <w:tcPr>
            <w:tcW w:type="dxa" w:w="160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USED</w:t>
            </w:r>
          </w:p>
        </w:tc>
        <w:tc>
          <w:tcPr>
            <w:tcW w:type="dxa" w:w="190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Center 数据库</w:t>
            </w:r>
          </w:p>
        </w:tc>
        <w:tc>
          <w:tcPr>
            <w:tcW w:type="dxa" w:w="586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该 disk_id 已完成导入，不得再次用于导出或导入。</w:t>
            </w:r>
          </w:p>
        </w:tc>
      </w:tr>
    </w:tbl>
    <w:p>
      <w:pPr/>
      <w:r>
        <w:rPr>
          <w:rFonts w:ascii="Microsoft YaHei" w:hAnsi="Microsoft YaHei" w:eastAsia="Microsoft YaHei"/>
          <w:b w:val="0"/>
          <w:color w:val="000000"/>
          <w:sz w:val="21"/>
        </w:rPr>
        <w:t>运输盘根目录包含 disk_info.json、manifest.zip 和 data/ 目录。disk_info.json 保存 disk_id、状态、Edge 标识、开始/结束时间、清单摘要和对象数量；manifest.zip 保存逐对象清单；data/ 保存每个来源对象对应的对象包。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六、主技术方案与执行步骤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步骤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处理内容</w:t>
            </w:r>
          </w:p>
        </w:tc>
      </w:tr>
      <w:tr>
        <w:tc>
          <w:tcPr>
            <w:tcW w:type="dxa" w:w="150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S1 初始化</w:t>
            </w:r>
          </w:p>
        </w:tc>
        <w:tc>
          <w:tcPr>
            <w:tcW w:type="dxa" w:w="786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Center 识别运输硬盘文件系统并完成初始化，生成新的 UUID 作为 disk_id，在 Center 的 disk_ids 中登记为 FREE，盘内状态写为 READY。</w:t>
            </w:r>
          </w:p>
        </w:tc>
      </w:tr>
      <w:tr>
        <w:tc>
          <w:tcPr>
            <w:tcW w:type="dxa" w:w="150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S2 选择运输盘</w:t>
            </w:r>
          </w:p>
        </w:tc>
        <w:tc>
          <w:tcPr>
            <w:tcW w:type="dxa" w:w="786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Edge 扫描已挂载运输盘。优先恢复 Edge 编码一致的 WRITING 盘；否则将 READY 盘按进入队列的时间串行处理。</w:t>
            </w:r>
          </w:p>
        </w:tc>
      </w:tr>
      <w:tr>
        <w:tc>
          <w:tcPr>
            <w:tcW w:type="dxa" w:w="150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S3 开始写盘</w:t>
            </w:r>
          </w:p>
        </w:tc>
        <w:tc>
          <w:tcPr>
            <w:tcW w:type="dxa" w:w="786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确认存在待导出对象后，Edge 一次性写入 Edge 名称、Edge 编码和 export_started_at，并把盘状态从 READY 改为 WRITING。</w:t>
            </w:r>
          </w:p>
        </w:tc>
      </w:tr>
      <w:tr>
        <w:tc>
          <w:tcPr>
            <w:tcW w:type="dxa" w:w="150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S4 写入对象</w:t>
            </w:r>
          </w:p>
        </w:tc>
        <w:tc>
          <w:tcPr>
            <w:tcW w:type="dxa" w:w="786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Edge 读取对象的来源桶、来源键、ETag 和大小；创建临时对象包，完成后原子改名为正式 ZIP；再次读取 ETag 和大小，只有两次一致时才记录为 WRITTEN。</w:t>
            </w:r>
          </w:p>
        </w:tc>
      </w:tr>
      <w:tr>
        <w:tc>
          <w:tcPr>
            <w:tcW w:type="dxa" w:w="150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S5 容量控制</w:t>
            </w:r>
          </w:p>
        </w:tc>
        <w:tc>
          <w:tcPr>
            <w:tcW w:type="dxa" w:w="786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根据剩余空间计算预留空间和可写空间。当前对象及额外开销无法完整容纳时，不写入该对象，转入封盘。</w:t>
            </w:r>
          </w:p>
        </w:tc>
      </w:tr>
      <w:tr>
        <w:tc>
          <w:tcPr>
            <w:tcW w:type="dxa" w:w="150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S6 封盘</w:t>
            </w:r>
          </w:p>
        </w:tc>
        <w:tc>
          <w:tcPr>
            <w:tcW w:type="dxa" w:w="786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Edge 根据 WRITTEN 账本生成加密 manifest.zip，计算其 SHA256，写入对象数量和完成时间，最后把状态写为 SEALED，并将对象记录标记为 CONFIRMED。</w:t>
            </w:r>
          </w:p>
        </w:tc>
      </w:tr>
      <w:tr>
        <w:tc>
          <w:tcPr>
            <w:tcW w:type="dxa" w:w="150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S7 导入前验证</w:t>
            </w:r>
          </w:p>
        </w:tc>
        <w:tc>
          <w:tcPr>
            <w:tcW w:type="dxa" w:w="786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Center 仅处理 SEALED 盘；验证 disk_id 为 FREE、Edge 站点和 Key 存在、manifest.zip 摘要匹配。</w:t>
            </w:r>
          </w:p>
        </w:tc>
      </w:tr>
      <w:tr>
        <w:tc>
          <w:tcPr>
            <w:tcW w:type="dxa" w:w="150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S8 流式导入</w:t>
            </w:r>
          </w:p>
        </w:tc>
        <w:tc>
          <w:tcPr>
            <w:tcW w:type="dxa" w:w="786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Center 逐行读取清单；对每个对象先查对象账本，再解压、校验 SHA256、写入目标 RustFS 桶，并在写入成功后新增导入对象记录。</w:t>
            </w:r>
          </w:p>
        </w:tc>
      </w:tr>
      <w:tr>
        <w:tc>
          <w:tcPr>
            <w:tcW w:type="dxa" w:w="150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S9 完成与重置</w:t>
            </w:r>
          </w:p>
        </w:tc>
        <w:tc>
          <w:tcPr>
            <w:tcW w:type="dxa" w:w="786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全部对象成功后，Center 将任务标记为成功、旧 disk_id 标记为 USED，删除本次对象数据并重新初始化硬盘，生成新的 FREE disk_id。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七、对象版本、账本与校验规则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800"/>
        <w:gridCol w:w="3560"/>
      </w:tblGrid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对象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核心字段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作用</w:t>
            </w:r>
          </w:p>
        </w:tc>
      </w:tr>
      <w:tr>
        <w:tc>
          <w:tcPr>
            <w:tcW w:type="dxa" w:w="200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导出对象版本</w:t>
            </w:r>
          </w:p>
        </w:tc>
        <w:tc>
          <w:tcPr>
            <w:tcW w:type="dxa" w:w="380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source_bucket + source_key + etag + size</w:t>
            </w:r>
          </w:p>
        </w:tc>
        <w:tc>
          <w:tcPr>
            <w:tcW w:type="dxa" w:w="356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识别同一来源对象的具体版本，避免只按文件名判断。</w:t>
            </w:r>
          </w:p>
        </w:tc>
      </w:tr>
      <w:tr>
        <w:tc>
          <w:tcPr>
            <w:tcW w:type="dxa" w:w="200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Edge 导出账本</w:t>
            </w:r>
          </w:p>
        </w:tc>
        <w:tc>
          <w:tcPr>
            <w:tcW w:type="dxa" w:w="380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disk_id、对象版本、plain_sha256、zip_path、WRITTEN/CONFIRMED</w:t>
            </w:r>
          </w:p>
        </w:tc>
        <w:tc>
          <w:tcPr>
            <w:tcW w:type="dxa" w:w="356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记录本次写盘状态及已确认导出对象，用于恢复和后续扫描跳过。</w:t>
            </w:r>
          </w:p>
        </w:tc>
      </w:tr>
      <w:tr>
        <w:tc>
          <w:tcPr>
            <w:tcW w:type="dxa" w:w="200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Center 导入账本</w:t>
            </w:r>
          </w:p>
        </w:tc>
        <w:tc>
          <w:tcPr>
            <w:tcW w:type="dxa" w:w="380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disk_id、edge_code、对象版本、目标桶/键、plain_sha256</w:t>
            </w:r>
          </w:p>
        </w:tc>
        <w:tc>
          <w:tcPr>
            <w:tcW w:type="dxa" w:w="356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记录成功归档事实，防止重复写入并支持追溯。</w:t>
            </w:r>
          </w:p>
        </w:tc>
      </w:tr>
      <w:tr>
        <w:tc>
          <w:tcPr>
            <w:tcW w:type="dxa" w:w="200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清单条目</w:t>
            </w:r>
          </w:p>
        </w:tc>
        <w:tc>
          <w:tcPr>
            <w:tcW w:type="dxa" w:w="380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对象版本、plain_sha256、zip_path</w:t>
            </w:r>
          </w:p>
        </w:tc>
        <w:tc>
          <w:tcPr>
            <w:tcW w:type="dxa" w:w="356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定义本次封盘可导入对象的可信集合。</w:t>
            </w:r>
          </w:p>
        </w:tc>
      </w:tr>
    </w:tbl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E79"/>
          <w:sz w:val="21"/>
        </w:rPr>
        <w:t>去重规则：</w:t>
      </w:r>
      <w:r>
        <w:rPr>
          <w:rFonts w:ascii="Microsoft YaHei" w:hAnsi="Microsoft YaHei" w:eastAsia="Microsoft YaHei"/>
          <w:b w:val="0"/>
          <w:color w:val="000000"/>
          <w:sz w:val="21"/>
        </w:rPr>
        <w:t>Center 以 edge_code、source_bucket、source_key、etag 和 size 查询对象账本。账本存在时跳过对象存储写入，但继续更新本次任务的处理数量和处理字节数；账本不存在时才校验、写入并落库。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E79"/>
          <w:sz w:val="21"/>
        </w:rPr>
        <w:t>完整性规则：</w:t>
      </w:r>
      <w:r>
        <w:rPr>
          <w:rFonts w:ascii="Microsoft YaHei" w:hAnsi="Microsoft YaHei" w:eastAsia="Microsoft YaHei"/>
          <w:b w:val="0"/>
          <w:color w:val="000000"/>
          <w:sz w:val="21"/>
        </w:rPr>
        <w:t>清单文件以 manifest.zip 的 SHA256 验证，单个对象以解压后的 plain_sha256 验证。对象账本只在对象写入目标 RustFS 成功后创建。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八、异常处理与恢复实施方式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350"/>
        <w:gridCol w:w="291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异常场景</w:t>
            </w:r>
          </w:p>
        </w:tc>
        <w:tc>
          <w:tcPr>
            <w:tcW w:type="dxa" w:w="4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系统处理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一致性结果</w:t>
            </w:r>
          </w:p>
        </w:tc>
      </w:tr>
      <w:tr>
        <w:tc>
          <w:tcPr>
            <w:tcW w:type="dxa" w:w="210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写盘时拔盘</w:t>
            </w:r>
          </w:p>
        </w:tc>
        <w:tc>
          <w:tcPr>
            <w:tcW w:type="dxa" w:w="435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任务标记为等待恢复；同一 disk_id 重新插入后读取 WRITING 盘和运行时账本。</w:t>
            </w:r>
          </w:p>
        </w:tc>
        <w:tc>
          <w:tcPr>
            <w:tcW w:type="dxa" w:w="291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不将未封盘对象标记为已确认导出。</w:t>
            </w:r>
          </w:p>
        </w:tc>
      </w:tr>
      <w:tr>
        <w:tc>
          <w:tcPr>
            <w:tcW w:type="dxa" w:w="210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盘内 ZIP 与账本不一致</w:t>
            </w:r>
          </w:p>
        </w:tc>
        <w:tc>
          <w:tcPr>
            <w:tcW w:type="dxa" w:w="435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删除盘内多余 ZIP，删除无对应 ZIP 的账本记录，再导出缺失对象。</w:t>
            </w:r>
          </w:p>
        </w:tc>
        <w:tc>
          <w:tcPr>
            <w:tcW w:type="dxa" w:w="291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只保留盘内与账本均存在的已完成对象。</w:t>
            </w:r>
          </w:p>
        </w:tc>
      </w:tr>
      <w:tr>
        <w:tc>
          <w:tcPr>
            <w:tcW w:type="dxa" w:w="210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来源对象在写入期间变化</w:t>
            </w:r>
          </w:p>
        </w:tc>
        <w:tc>
          <w:tcPr>
            <w:tcW w:type="dxa" w:w="435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写入后再次读取 ETag 和大小；发现变化时删除本次 ZIP，不写账本，下一轮重新导出。</w:t>
            </w:r>
          </w:p>
        </w:tc>
        <w:tc>
          <w:tcPr>
            <w:tcW w:type="dxa" w:w="291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避免把旧内容和新元数据混入同一对象版本。</w:t>
            </w:r>
          </w:p>
        </w:tc>
      </w:tr>
      <w:tr>
        <w:tc>
          <w:tcPr>
            <w:tcW w:type="dxa" w:w="210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Center 导入失败</w:t>
            </w:r>
          </w:p>
        </w:tc>
        <w:tc>
          <w:tcPr>
            <w:tcW w:type="dxa" w:w="435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运输盘保持 SEALED，任务记录错误；重试时按对象账本跳过已成功归档对象。</w:t>
            </w:r>
          </w:p>
        </w:tc>
        <w:tc>
          <w:tcPr>
            <w:tcW w:type="dxa" w:w="291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不重新初始化硬盘，不丢失可恢复数据。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九、与现有做法相比的技术效果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效果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对应技术手段</w:t>
            </w:r>
          </w:p>
        </w:tc>
      </w:tr>
      <w:tr>
        <w:tc>
          <w:tcPr>
            <w:tcW w:type="dxa" w:w="280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确定可导入边界</w:t>
            </w:r>
          </w:p>
        </w:tc>
        <w:tc>
          <w:tcPr>
            <w:tcW w:type="dxa" w:w="656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SEALED 作为最后写入状态，且导入前验证清单摘要。</w:t>
            </w:r>
          </w:p>
        </w:tc>
      </w:tr>
      <w:tr>
        <w:tc>
          <w:tcPr>
            <w:tcW w:type="dxa" w:w="280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减少不完整数据</w:t>
            </w:r>
          </w:p>
        </w:tc>
        <w:tc>
          <w:tcPr>
            <w:tcW w:type="dxa" w:w="656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临时文件 - 原子改名 - 写后复核 - 账本落库的顺序控制。</w:t>
            </w:r>
          </w:p>
        </w:tc>
      </w:tr>
      <w:tr>
        <w:tc>
          <w:tcPr>
            <w:tcW w:type="dxa" w:w="280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支持可靠恢复</w:t>
            </w:r>
          </w:p>
        </w:tc>
        <w:tc>
          <w:tcPr>
            <w:tcW w:type="dxa" w:w="656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以 disk_id 关联盘内数据和运行时账本，恢复时进行双向对账。</w:t>
            </w:r>
          </w:p>
        </w:tc>
      </w:tr>
      <w:tr>
        <w:tc>
          <w:tcPr>
            <w:tcW w:type="dxa" w:w="280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避免重复归档</w:t>
            </w:r>
          </w:p>
        </w:tc>
        <w:tc>
          <w:tcPr>
            <w:tcW w:type="dxa" w:w="656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对象版本账本与成功后落库规则。</w:t>
            </w:r>
          </w:p>
        </w:tc>
      </w:tr>
      <w:tr>
        <w:tc>
          <w:tcPr>
            <w:tcW w:type="dxa" w:w="280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支持多盘持续导出</w:t>
            </w:r>
          </w:p>
        </w:tc>
        <w:tc>
          <w:tcPr>
            <w:tcW w:type="dxa" w:w="656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可写空间判断、自动封盘和串行队列。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十、拟保护的关键点与权利要求布局建议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E79"/>
          <w:sz w:val="21"/>
        </w:rPr>
        <w:t>独立方法思路：</w:t>
      </w:r>
      <w:r>
        <w:rPr>
          <w:rFonts w:ascii="Microsoft YaHei" w:hAnsi="Microsoft YaHei" w:eastAsia="Microsoft YaHei"/>
          <w:b w:val="0"/>
          <w:color w:val="000000"/>
          <w:sz w:val="21"/>
        </w:rPr>
        <w:t>围绕一次性运输编号、末次封盘状态、对象包与账本的写入顺序、清单校验、仅对封盘盘导入、成功后重置硬盘，形成完整离线交接流程。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E79"/>
          <w:sz w:val="21"/>
        </w:rPr>
        <w:t>从属方案：</w:t>
      </w:r>
      <w:r>
        <w:rPr>
          <w:rFonts w:ascii="Microsoft YaHei" w:hAnsi="Microsoft YaHei" w:eastAsia="Microsoft YaHei"/>
          <w:b w:val="0"/>
          <w:color w:val="000000"/>
          <w:sz w:val="21"/>
        </w:rPr>
        <w:t>可将对象双重元数据复核、容量预留、对象版本去重、盘内文件与账本对账恢复、流式清单处理、自动重新初始化分别布局为从属权利要求。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color w:val="1F4E79"/>
          <w:sz w:val="21"/>
        </w:rPr>
        <w:t>保护形式：</w:t>
      </w:r>
      <w:r>
        <w:rPr>
          <w:rFonts w:ascii="Microsoft YaHei" w:hAnsi="Microsoft YaHei" w:eastAsia="Microsoft YaHei"/>
          <w:b w:val="0"/>
          <w:color w:val="000000"/>
          <w:sz w:val="21"/>
        </w:rPr>
        <w:t>建议同时由代理师评估方法、实现方法的系统/装置、电子设备、计算机可读存储介质和计算机程序产品等权利要求形式。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十一、可替代实施方式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可替换部件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可选实现</w:t>
            </w:r>
          </w:p>
        </w:tc>
      </w:tr>
      <w:tr>
        <w:tc>
          <w:tcPr>
            <w:tcW w:type="dxa" w:w="260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对象封装</w:t>
            </w:r>
          </w:p>
        </w:tc>
        <w:tc>
          <w:tcPr>
            <w:tcW w:type="dxa" w:w="676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可使用 ZIP、TAR 或其他可验证的封装格式。</w:t>
            </w:r>
          </w:p>
        </w:tc>
      </w:tr>
      <w:tr>
        <w:tc>
          <w:tcPr>
            <w:tcW w:type="dxa" w:w="260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清单格式</w:t>
            </w:r>
          </w:p>
        </w:tc>
        <w:tc>
          <w:tcPr>
            <w:tcW w:type="dxa" w:w="676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可使用 JSONL、CSV、二进制索引或数据库快照，只要能定义封盘对象集合。</w:t>
            </w:r>
          </w:p>
        </w:tc>
      </w:tr>
      <w:tr>
        <w:tc>
          <w:tcPr>
            <w:tcW w:type="dxa" w:w="260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校验算法</w:t>
            </w:r>
          </w:p>
        </w:tc>
        <w:tc>
          <w:tcPr>
            <w:tcW w:type="dxa" w:w="676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可采用 SHA256、SHA3 或其他内容摘要算法。</w:t>
            </w:r>
          </w:p>
        </w:tc>
      </w:tr>
      <w:tr>
        <w:tc>
          <w:tcPr>
            <w:tcW w:type="dxa" w:w="260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账本存储</w:t>
            </w:r>
          </w:p>
        </w:tc>
        <w:tc>
          <w:tcPr>
            <w:tcW w:type="dxa" w:w="676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可使用 SQLite、关系型数据库或可靠的嵌入式键值存储。</w:t>
            </w:r>
          </w:p>
        </w:tc>
      </w:tr>
      <w:tr>
        <w:tc>
          <w:tcPr>
            <w:tcW w:type="dxa" w:w="260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排序规则</w:t>
            </w:r>
          </w:p>
        </w:tc>
        <w:tc>
          <w:tcPr>
            <w:tcW w:type="dxa" w:w="676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运输盘可按入队时间、优先级或任务创建时间串行处理。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十二、建议附图与待补充材料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材料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内容</w:t>
            </w:r>
          </w:p>
        </w:tc>
      </w:tr>
      <w:tr>
        <w:tc>
          <w:tcPr>
            <w:tcW w:type="dxa" w:w="260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系统架构图</w:t>
            </w:r>
          </w:p>
        </w:tc>
        <w:tc>
          <w:tcPr>
            <w:tcW w:type="dxa" w:w="676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Edge、运输硬盘、Center、对象存储和两端账本之间的关系。</w:t>
            </w:r>
          </w:p>
        </w:tc>
      </w:tr>
      <w:tr>
        <w:tc>
          <w:tcPr>
            <w:tcW w:type="dxa" w:w="260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状态机图</w:t>
            </w:r>
          </w:p>
        </w:tc>
        <w:tc>
          <w:tcPr>
            <w:tcW w:type="dxa" w:w="676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READY、WRITING、SEALED、USED 的状态转换及触发条件。</w:t>
            </w:r>
          </w:p>
        </w:tc>
      </w:tr>
      <w:tr>
        <w:tc>
          <w:tcPr>
            <w:tcW w:type="dxa" w:w="260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导出流程图</w:t>
            </w:r>
          </w:p>
        </w:tc>
        <w:tc>
          <w:tcPr>
            <w:tcW w:type="dxa" w:w="676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对象扫描、写入、复核、账本记录、封盘和多盘续传。</w:t>
            </w:r>
          </w:p>
        </w:tc>
      </w:tr>
      <w:tr>
        <w:tc>
          <w:tcPr>
            <w:tcW w:type="dxa" w:w="260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导入流程图</w:t>
            </w:r>
          </w:p>
        </w:tc>
        <w:tc>
          <w:tcPr>
            <w:tcW w:type="dxa" w:w="676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封盘验证、流式清单读取、去重、校验、归档和重新初始化。</w:t>
            </w:r>
          </w:p>
        </w:tc>
      </w:tr>
      <w:tr>
        <w:tc>
          <w:tcPr>
            <w:tcW w:type="dxa" w:w="260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测试证据</w:t>
            </w:r>
          </w:p>
        </w:tc>
        <w:tc>
          <w:tcPr>
            <w:tcW w:type="dxa" w:w="6760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拔盘恢复、对象变化、重复导入、空间不足和导入失败重试的日志或测试结果。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提交前需确认</w:t>
            </w:r>
          </w:p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请补充实际发明人、最早完成时间、是否已对外公开、现有测试数据，以及与现有文件传输/备份软件相比的具体差异。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6666"/>
        <w:sz w:val="17"/>
      </w:rPr>
      <w:t xml:space="preserve">内部技术资料 | 第 </w:t>
    </w:r>
    <w:r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b w:val="0"/>
        <w:color w:val="66666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666666"/>
        <w:sz w:val="17"/>
      </w:rPr>
      <w:t>RustFS 离线运输盘同步系统 | 专利技术交底书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