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A53" w:rsidRPr="00BA4A53" w:rsidRDefault="00BA4A53" w:rsidP="00BA4A53">
      <w:pPr>
        <w:spacing w:line="480" w:lineRule="auto"/>
        <w:rPr>
          <w:rFonts w:ascii="Times New Roman" w:hAnsi="Times New Roman" w:cs="Times New Roman"/>
          <w:sz w:val="24"/>
        </w:rPr>
      </w:pPr>
      <w:r w:rsidRPr="00BA4A53">
        <w:rPr>
          <w:rFonts w:ascii="Times New Roman" w:hAnsi="Times New Roman" w:cs="Times New Roman"/>
          <w:sz w:val="24"/>
        </w:rPr>
        <w:t>Beka Kutsurua</w:t>
      </w:r>
    </w:p>
    <w:p w:rsidR="00BA4A53" w:rsidRPr="00BA4A53" w:rsidRDefault="00BA4A53" w:rsidP="00BA4A53">
      <w:pPr>
        <w:spacing w:line="480" w:lineRule="auto"/>
        <w:rPr>
          <w:rFonts w:ascii="Times New Roman" w:hAnsi="Times New Roman" w:cs="Times New Roman"/>
          <w:sz w:val="24"/>
        </w:rPr>
      </w:pPr>
      <w:r w:rsidRPr="00BA4A53">
        <w:rPr>
          <w:rFonts w:ascii="Times New Roman" w:hAnsi="Times New Roman" w:cs="Times New Roman"/>
          <w:sz w:val="24"/>
        </w:rPr>
        <w:t>ART157: Introduction to Art</w:t>
      </w:r>
    </w:p>
    <w:p w:rsidR="00BA4A53" w:rsidRPr="00BA4A53" w:rsidRDefault="00BA4A53" w:rsidP="00BA4A53">
      <w:pPr>
        <w:spacing w:line="480" w:lineRule="auto"/>
        <w:jc w:val="center"/>
        <w:rPr>
          <w:rFonts w:ascii="Times New Roman" w:hAnsi="Times New Roman" w:cs="Times New Roman"/>
          <w:sz w:val="24"/>
        </w:rPr>
      </w:pPr>
      <w:r w:rsidRPr="00BA4A53">
        <w:rPr>
          <w:rFonts w:ascii="Times New Roman" w:hAnsi="Times New Roman" w:cs="Times New Roman"/>
          <w:sz w:val="24"/>
        </w:rPr>
        <w:t>Part 1: Processes of Art</w:t>
      </w:r>
    </w:p>
    <w:p w:rsidR="00BA4A53" w:rsidRPr="00BA4A53" w:rsidRDefault="00BA4A53" w:rsidP="00BA4A53">
      <w:pPr>
        <w:spacing w:line="480" w:lineRule="auto"/>
        <w:rPr>
          <w:rFonts w:ascii="Times New Roman" w:hAnsi="Times New Roman" w:cs="Times New Roman"/>
          <w:sz w:val="24"/>
        </w:rPr>
      </w:pPr>
      <w:r w:rsidRPr="00BA4A53">
        <w:rPr>
          <w:rFonts w:ascii="Times New Roman" w:hAnsi="Times New Roman" w:cs="Times New Roman"/>
          <w:sz w:val="24"/>
        </w:rPr>
        <w:t>Andy Warhol’s Campbell’s Soup Can Portfolio II is first and foremost a work of printmaking. Warhol used the silkscreen process, a technique in which ink is pushed through a mesh screen onto paper. This method allowed him to produce multiple, near-identical images of the Campbell’s soup cans, mimicking the mass production of consumer goods. While printmaking traditionally emphasizes craftsmanship and the artist’s hand, Warhol intentionally embraced mechanical reproduction, challenging ideas about origi</w:t>
      </w:r>
      <w:r w:rsidRPr="00BA4A53">
        <w:rPr>
          <w:rFonts w:ascii="Times New Roman" w:hAnsi="Times New Roman" w:cs="Times New Roman"/>
          <w:sz w:val="24"/>
        </w:rPr>
        <w:t>nality and authenticity in art.</w:t>
      </w:r>
    </w:p>
    <w:p w:rsidR="00BA4A53" w:rsidRPr="00BA4A53" w:rsidRDefault="00BA4A53" w:rsidP="00BA4A53">
      <w:pPr>
        <w:spacing w:line="480" w:lineRule="auto"/>
        <w:rPr>
          <w:rFonts w:ascii="Times New Roman" w:hAnsi="Times New Roman" w:cs="Times New Roman"/>
          <w:sz w:val="24"/>
        </w:rPr>
      </w:pPr>
      <w:r w:rsidRPr="00BA4A53">
        <w:rPr>
          <w:rFonts w:ascii="Times New Roman" w:hAnsi="Times New Roman" w:cs="Times New Roman"/>
          <w:sz w:val="24"/>
        </w:rPr>
        <w:t>Although the portfolio is a series of prints, its flat areas of color and simplified shapes reflect techniques found in painting. Warhol’s use of bright, commercial colors and clean lines echoes advertising design, making the cans feel both familiar and iconic. In this way, the work also engages with visual communication design—he appropriated a recognizable commercial product and elevated it to the status of fine art, blurring the boundaries between br</w:t>
      </w:r>
      <w:r w:rsidRPr="00BA4A53">
        <w:rPr>
          <w:rFonts w:ascii="Times New Roman" w:hAnsi="Times New Roman" w:cs="Times New Roman"/>
          <w:sz w:val="24"/>
        </w:rPr>
        <w:t>anding and artistic expression.</w:t>
      </w:r>
    </w:p>
    <w:p w:rsidR="00BA4A53" w:rsidRPr="00BA4A53" w:rsidRDefault="00BA4A53" w:rsidP="00BA4A53">
      <w:pPr>
        <w:spacing w:line="480" w:lineRule="auto"/>
        <w:rPr>
          <w:rFonts w:ascii="Times New Roman" w:hAnsi="Times New Roman" w:cs="Times New Roman"/>
          <w:sz w:val="24"/>
        </w:rPr>
      </w:pPr>
      <w:r w:rsidRPr="00BA4A53">
        <w:rPr>
          <w:rFonts w:ascii="Times New Roman" w:hAnsi="Times New Roman" w:cs="Times New Roman"/>
          <w:sz w:val="24"/>
        </w:rPr>
        <w:t>The repetitive display of the soup cans, especially when presented in gallery spaces, hints at sculpture and installation practices. When first exhibited, Warhol arranged the works in rows, resembling supermarket shelves. This display method transformed the prints into an</w:t>
      </w:r>
      <w:r w:rsidRPr="00BA4A53">
        <w:rPr>
          <w:rFonts w:ascii="Times New Roman" w:hAnsi="Times New Roman" w:cs="Times New Roman"/>
          <w:sz w:val="24"/>
        </w:rPr>
        <w:t xml:space="preserve"> immersive, spatial experience.</w:t>
      </w:r>
    </w:p>
    <w:p w:rsidR="00DF6DBB" w:rsidRDefault="00BA4A53" w:rsidP="00BA4A53">
      <w:pPr>
        <w:spacing w:line="480" w:lineRule="auto"/>
        <w:rPr>
          <w:rFonts w:ascii="Times New Roman" w:hAnsi="Times New Roman" w:cs="Times New Roman"/>
          <w:sz w:val="24"/>
        </w:rPr>
      </w:pPr>
      <w:r w:rsidRPr="00BA4A53">
        <w:rPr>
          <w:rFonts w:ascii="Times New Roman" w:hAnsi="Times New Roman" w:cs="Times New Roman"/>
          <w:sz w:val="24"/>
        </w:rPr>
        <w:t xml:space="preserve">Warhol’s process, often described as factory-like, subverts traditional ideas of craft by prioritizing concept over hand-made skill. His work anticipated later movements in alternative media and digital art, where reproduction and mass communication play central roles. </w:t>
      </w:r>
      <w:r w:rsidRPr="00BA4A53">
        <w:rPr>
          <w:rFonts w:ascii="Times New Roman" w:hAnsi="Times New Roman" w:cs="Times New Roman"/>
          <w:sz w:val="24"/>
        </w:rPr>
        <w:lastRenderedPageBreak/>
        <w:t>Ultimately, Warhol’s Campbell’s Soup Can Portfolio II questions the value systems of both art and commerce.</w:t>
      </w: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Default="00BA4A53" w:rsidP="00BA4A53">
      <w:pPr>
        <w:spacing w:line="480" w:lineRule="auto"/>
        <w:rPr>
          <w:rFonts w:ascii="Times New Roman" w:hAnsi="Times New Roman" w:cs="Times New Roman"/>
          <w:sz w:val="24"/>
        </w:rPr>
      </w:pPr>
    </w:p>
    <w:p w:rsidR="00BA4A53" w:rsidRPr="00BA4A53" w:rsidRDefault="00BA4A53" w:rsidP="00BA4A53">
      <w:pPr>
        <w:spacing w:line="480" w:lineRule="auto"/>
        <w:jc w:val="center"/>
        <w:rPr>
          <w:rFonts w:ascii="Times New Roman" w:hAnsi="Times New Roman" w:cs="Times New Roman"/>
          <w:sz w:val="24"/>
        </w:rPr>
      </w:pPr>
      <w:r>
        <w:rPr>
          <w:noProof/>
        </w:rPr>
        <w:lastRenderedPageBreak/>
        <w:drawing>
          <wp:inline distT="0" distB="0" distL="0" distR="0" wp14:anchorId="70D620E0" wp14:editId="61B82F67">
            <wp:extent cx="4762500" cy="7284720"/>
            <wp:effectExtent l="0" t="0" r="0" b="0"/>
            <wp:docPr id="1" name="Picture 1" descr="C:\Users\user\Desktop\study\MCAS.051.DG023_emuse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tudy\MCAS.051.DG023_emuseu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7284720"/>
                    </a:xfrm>
                    <a:prstGeom prst="rect">
                      <a:avLst/>
                    </a:prstGeom>
                    <a:noFill/>
                    <a:ln>
                      <a:noFill/>
                    </a:ln>
                  </pic:spPr>
                </pic:pic>
              </a:graphicData>
            </a:graphic>
          </wp:inline>
        </w:drawing>
      </w:r>
    </w:p>
    <w:p w:rsidR="00BA4A53" w:rsidRPr="00BA4A53" w:rsidRDefault="00BA4A53" w:rsidP="00BA4A53">
      <w:pPr>
        <w:spacing w:line="480" w:lineRule="auto"/>
        <w:jc w:val="center"/>
        <w:rPr>
          <w:rFonts w:ascii="Times New Roman" w:hAnsi="Times New Roman" w:cs="Times New Roman"/>
          <w:sz w:val="24"/>
        </w:rPr>
      </w:pPr>
      <w:r w:rsidRPr="00BA4A53">
        <w:rPr>
          <w:rFonts w:ascii="Times New Roman" w:hAnsi="Times New Roman" w:cs="Times New Roman"/>
          <w:sz w:val="24"/>
        </w:rPr>
        <w:t>Andy Warhol, Campbell's Soup Can Port</w:t>
      </w:r>
      <w:bookmarkStart w:id="0" w:name="_GoBack"/>
      <w:bookmarkEnd w:id="0"/>
      <w:r w:rsidRPr="00BA4A53">
        <w:rPr>
          <w:rFonts w:ascii="Times New Roman" w:hAnsi="Times New Roman" w:cs="Times New Roman"/>
          <w:sz w:val="24"/>
        </w:rPr>
        <w:t>folio II, 1969, ten silkscreens, edition 211 of 250</w:t>
      </w:r>
    </w:p>
    <w:sectPr w:rsidR="00BA4A53" w:rsidRPr="00BA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6D"/>
    <w:rsid w:val="003D636D"/>
    <w:rsid w:val="00BA4A53"/>
    <w:rsid w:val="00DF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C566"/>
  <w15:chartTrackingRefBased/>
  <w15:docId w15:val="{18B7E4B6-6E4E-4001-8FAA-14BF185B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2025-03-09T10:35:00Z</dcterms:created>
  <dcterms:modified xsi:type="dcterms:W3CDTF">2025-03-09T10:39:00Z</dcterms:modified>
</cp:coreProperties>
</file>