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CE252" w14:textId="03B67044" w:rsidR="00516A99" w:rsidRPr="004A0C4F" w:rsidRDefault="004A0C4F">
      <w:pPr>
        <w:rPr>
          <w:b/>
          <w:bCs/>
          <w:sz w:val="24"/>
          <w:szCs w:val="24"/>
        </w:rPr>
      </w:pPr>
      <w:r w:rsidRPr="004A0C4F">
        <w:rPr>
          <w:b/>
          <w:bCs/>
          <w:sz w:val="24"/>
          <w:szCs w:val="24"/>
        </w:rPr>
        <w:t>MEMO 002</w:t>
      </w:r>
    </w:p>
    <w:p w14:paraId="08FD94A2" w14:textId="0739E7EE" w:rsidR="004A0C4F" w:rsidRPr="004A0C4F" w:rsidRDefault="004A0C4F">
      <w:pPr>
        <w:rPr>
          <w:b/>
          <w:bCs/>
        </w:rPr>
      </w:pPr>
      <w:r w:rsidRPr="004A0C4F">
        <w:rPr>
          <w:b/>
          <w:bCs/>
        </w:rPr>
        <w:t>Dangerous Minority</w:t>
      </w:r>
    </w:p>
    <w:p w14:paraId="53834EDB" w14:textId="31791ED1" w:rsidR="004A0C4F" w:rsidRDefault="004A0C4F">
      <w:r>
        <w:t>After stress testing simulation,  a small number of loans</w:t>
      </w:r>
      <w:r w:rsidR="00EA6FF2">
        <w:t xml:space="preserve"> with a large structural exposure</w:t>
      </w:r>
      <w:r>
        <w:t xml:space="preserve"> result in a rather huge risk potential especially when stress is applied on interest rate (raised by 1% ) and on behavioral change (Full payment to Partial and/or to Missed specifically on Large and medium loans).</w:t>
      </w:r>
    </w:p>
    <w:sectPr w:rsidR="004A0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C4F"/>
    <w:rsid w:val="00092E2A"/>
    <w:rsid w:val="004A0C4F"/>
    <w:rsid w:val="00516A99"/>
    <w:rsid w:val="00980DB5"/>
    <w:rsid w:val="00A5357D"/>
    <w:rsid w:val="00EA6FF2"/>
    <w:rsid w:val="00F1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76097"/>
  <w15:chartTrackingRefBased/>
  <w15:docId w15:val="{8CF00E1C-4629-4BB3-9D60-9F9F00D1F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2026-01-02T18:51:00Z</dcterms:created>
  <dcterms:modified xsi:type="dcterms:W3CDTF">2026-01-03T08:36:00Z</dcterms:modified>
</cp:coreProperties>
</file>