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643" w:rsidRDefault="00E52643">
      <w:r>
        <w:rPr>
          <w:noProof/>
        </w:rPr>
        <w:drawing>
          <wp:anchor distT="0" distB="0" distL="114300" distR="114300" simplePos="0" relativeHeight="251658240" behindDoc="0" locked="0" layoutInCell="1" allowOverlap="1" wp14:anchorId="7BFF92D5" wp14:editId="16B0E7A6">
            <wp:simplePos x="0" y="0"/>
            <wp:positionH relativeFrom="margin">
              <wp:posOffset>0</wp:posOffset>
            </wp:positionH>
            <wp:positionV relativeFrom="paragraph">
              <wp:posOffset>31750</wp:posOffset>
            </wp:positionV>
            <wp:extent cx="8228893" cy="4651447"/>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StilingPorzio.png"/>
                    <pic:cNvPicPr/>
                  </pic:nvPicPr>
                  <pic:blipFill>
                    <a:blip r:embed="rId6">
                      <a:extLst>
                        <a:ext uri="{28A0092B-C50C-407E-A947-70E740481C1C}">
                          <a14:useLocalDpi xmlns:a14="http://schemas.microsoft.com/office/drawing/2010/main" val="0"/>
                        </a:ext>
                      </a:extLst>
                    </a:blip>
                    <a:stretch>
                      <a:fillRect/>
                    </a:stretch>
                  </pic:blipFill>
                  <pic:spPr>
                    <a:xfrm>
                      <a:off x="0" y="0"/>
                      <a:ext cx="8228893" cy="4651447"/>
                    </a:xfrm>
                    <a:prstGeom prst="rect">
                      <a:avLst/>
                    </a:prstGeom>
                  </pic:spPr>
                </pic:pic>
              </a:graphicData>
            </a:graphic>
            <wp14:sizeRelH relativeFrom="margin">
              <wp14:pctWidth>0</wp14:pctWidth>
            </wp14:sizeRelH>
            <wp14:sizeRelV relativeFrom="margin">
              <wp14:pctHeight>0</wp14:pctHeight>
            </wp14:sizeRelV>
          </wp:anchor>
        </w:drawing>
      </w:r>
    </w:p>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p w:rsidR="00E52643" w:rsidRPr="00E52643" w:rsidRDefault="00E52643" w:rsidP="00E52643">
      <w:r>
        <w:rPr>
          <w:noProof/>
        </w:rPr>
        <mc:AlternateContent>
          <mc:Choice Requires="wps">
            <w:drawing>
              <wp:anchor distT="45720" distB="45720" distL="114300" distR="114300" simplePos="0" relativeHeight="251660288" behindDoc="0" locked="0" layoutInCell="1" allowOverlap="1" wp14:anchorId="469ADE10" wp14:editId="3E45E341">
                <wp:simplePos x="0" y="0"/>
                <wp:positionH relativeFrom="margin">
                  <wp:align>right</wp:align>
                </wp:positionH>
                <wp:positionV relativeFrom="paragraph">
                  <wp:posOffset>297180</wp:posOffset>
                </wp:positionV>
                <wp:extent cx="8239125" cy="1181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9125" cy="1181100"/>
                        </a:xfrm>
                        <a:prstGeom prst="rect">
                          <a:avLst/>
                        </a:prstGeom>
                        <a:noFill/>
                        <a:ln w="9525">
                          <a:noFill/>
                          <a:miter lim="800000"/>
                          <a:headEnd/>
                          <a:tailEnd/>
                        </a:ln>
                      </wps:spPr>
                      <wps:txbx>
                        <w:txbxContent>
                          <w:p w:rsidR="00945C6A" w:rsidRDefault="00BF72AD">
                            <w:r>
                              <w:t>Fig 1. Ma</w:t>
                            </w:r>
                            <w:r w:rsidR="00945C6A">
                              <w:t>croalgae species amounts (%</w:t>
                            </w:r>
                            <w:r>
                              <w:t xml:space="preserve"> coverage</w:t>
                            </w:r>
                            <w:r w:rsidR="00945C6A">
                              <w:t xml:space="preserve">) from each sampled quadrat </w:t>
                            </w:r>
                            <w:r w:rsidR="00945C6A" w:rsidRPr="00945C6A">
                              <w:rPr>
                                <w:b/>
                              </w:rPr>
                              <w:t>(A)</w:t>
                            </w:r>
                            <w:r w:rsidR="00945C6A">
                              <w:t xml:space="preserve"> demonstrate that several species of </w:t>
                            </w:r>
                            <w:r>
                              <w:t>ma</w:t>
                            </w:r>
                            <w:r w:rsidR="00CB5DF9">
                              <w:t>croalgae</w:t>
                            </w:r>
                            <w:r w:rsidR="00945C6A">
                              <w:t xml:space="preserve"> are absence from the most acidic environments (e</w:t>
                            </w:r>
                            <w:r w:rsidR="00CB5DF9">
                              <w:t>.</w:t>
                            </w:r>
                            <w:r w:rsidR="00945C6A">
                              <w:t>g</w:t>
                            </w:r>
                            <w:r w:rsidR="00CB5DF9">
                              <w:t>.</w:t>
                            </w:r>
                            <w:r w:rsidR="00945C6A">
                              <w:t xml:space="preserve"> Jania rubens, Valonia utricularis, Flabellia petiolate) </w:t>
                            </w:r>
                            <w:r>
                              <w:t xml:space="preserve">and </w:t>
                            </w:r>
                            <w:r w:rsidR="00945C6A">
                              <w:t>new species arise (</w:t>
                            </w:r>
                            <w:r w:rsidR="00CB5DF9">
                              <w:t xml:space="preserve">e.g. </w:t>
                            </w:r>
                            <w:r w:rsidR="00945C6A">
                              <w:t>Dictyota dichotoma</w:t>
                            </w:r>
                            <w:r w:rsidR="00CB5DF9">
                              <w:t>, Hildenbrandia rubra, Sargassum vulgare</w:t>
                            </w:r>
                            <w:r w:rsidR="00945C6A">
                              <w:t>)</w:t>
                            </w:r>
                            <w:r w:rsidR="00E52643">
                              <w:t xml:space="preserve"> </w:t>
                            </w:r>
                            <w:r w:rsidR="00E52643" w:rsidRPr="00E52643">
                              <w:rPr>
                                <w:b/>
                              </w:rPr>
                              <w:t>(B)</w:t>
                            </w:r>
                            <w:r w:rsidR="00945C6A" w:rsidRPr="00E52643">
                              <w:rPr>
                                <w:b/>
                              </w:rPr>
                              <w:t>.</w:t>
                            </w:r>
                            <w:r>
                              <w:t xml:space="preserve"> </w:t>
                            </w:r>
                            <w:r w:rsidR="007A5FF7">
                              <w:t>T</w:t>
                            </w:r>
                            <w:r w:rsidR="00CB5DF9">
                              <w:t xml:space="preserve">he </w:t>
                            </w:r>
                            <w:r w:rsidR="007A5FF7">
                              <w:t>species</w:t>
                            </w:r>
                            <w:bookmarkStart w:id="0" w:name="_GoBack"/>
                            <w:bookmarkEnd w:id="0"/>
                            <w:r w:rsidR="00CB5DF9">
                              <w:t xml:space="preserve"> that correspond with the most significant changes in coverage are </w:t>
                            </w:r>
                            <w:r>
                              <w:t>highly abundant</w:t>
                            </w:r>
                            <w:r w:rsidR="00CB5DF9">
                              <w:t xml:space="preserve"> </w:t>
                            </w:r>
                            <w:r w:rsidRPr="00BF72AD">
                              <w:t>prior to becoming completely absent</w:t>
                            </w:r>
                            <w:r>
                              <w:t xml:space="preserve"> </w:t>
                            </w:r>
                            <w:r>
                              <w:rPr>
                                <w:b/>
                              </w:rPr>
                              <w:t>(C)</w:t>
                            </w:r>
                            <w:r w:rsidRPr="00BF72AD">
                              <w:t>.</w:t>
                            </w:r>
                            <w:r w:rsidR="00E52643" w:rsidRPr="00BF72AD">
                              <w:tab/>
                            </w:r>
                            <w:r w:rsidR="00E52643" w:rsidRPr="00BF72AD">
                              <w:tab/>
                            </w:r>
                          </w:p>
                          <w:p w:rsidR="00E52643" w:rsidRDefault="00E52643"/>
                          <w:p w:rsidR="00E52643" w:rsidRDefault="00E526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ADE10" id="_x0000_t202" coordsize="21600,21600" o:spt="202" path="m,l,21600r21600,l21600,xe">
                <v:stroke joinstyle="miter"/>
                <v:path gradientshapeok="t" o:connecttype="rect"/>
              </v:shapetype>
              <v:shape id="Text Box 2" o:spid="_x0000_s1026" type="#_x0000_t202" style="position:absolute;margin-left:597.55pt;margin-top:23.4pt;width:648.75pt;height:9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" filled="f" stroked="f">
                <v:textbox>
                  <w:txbxContent>
                    <w:p w:rsidR="00945C6A" w:rsidRDefault="00BF72AD">
                      <w:r>
                        <w:t>Fig 1. Ma</w:t>
                      </w:r>
                      <w:r w:rsidR="00945C6A">
                        <w:t>croalgae species amounts (%</w:t>
                      </w:r>
                      <w:r>
                        <w:t xml:space="preserve"> coverage</w:t>
                      </w:r>
                      <w:r w:rsidR="00945C6A">
                        <w:t xml:space="preserve">) from each sampled quadrat </w:t>
                      </w:r>
                      <w:r w:rsidR="00945C6A" w:rsidRPr="00945C6A">
                        <w:rPr>
                          <w:b/>
                        </w:rPr>
                        <w:t>(A)</w:t>
                      </w:r>
                      <w:r w:rsidR="00945C6A">
                        <w:t xml:space="preserve"> demonstrate that several species of </w:t>
                      </w:r>
                      <w:r>
                        <w:t>ma</w:t>
                      </w:r>
                      <w:r w:rsidR="00CB5DF9">
                        <w:t>croalgae</w:t>
                      </w:r>
                      <w:r w:rsidR="00945C6A">
                        <w:t xml:space="preserve"> are absence from the most acidic environments (e</w:t>
                      </w:r>
                      <w:r w:rsidR="00CB5DF9">
                        <w:t>.</w:t>
                      </w:r>
                      <w:r w:rsidR="00945C6A">
                        <w:t>g</w:t>
                      </w:r>
                      <w:r w:rsidR="00CB5DF9">
                        <w:t>.</w:t>
                      </w:r>
                      <w:r w:rsidR="00945C6A">
                        <w:t xml:space="preserve"> Jania rubens, Valonia utricularis, Flabellia petiolate) </w:t>
                      </w:r>
                      <w:r>
                        <w:t xml:space="preserve">and </w:t>
                      </w:r>
                      <w:r w:rsidR="00945C6A">
                        <w:t>new species arise (</w:t>
                      </w:r>
                      <w:r w:rsidR="00CB5DF9">
                        <w:t xml:space="preserve">e.g. </w:t>
                      </w:r>
                      <w:r w:rsidR="00945C6A">
                        <w:t>Dictyota dichotoma</w:t>
                      </w:r>
                      <w:r w:rsidR="00CB5DF9">
                        <w:t>, Hildenbrandia rubra, Sargassum vulgare</w:t>
                      </w:r>
                      <w:r w:rsidR="00945C6A">
                        <w:t>)</w:t>
                      </w:r>
                      <w:r w:rsidR="00E52643">
                        <w:t xml:space="preserve"> </w:t>
                      </w:r>
                      <w:r w:rsidR="00E52643" w:rsidRPr="00E52643">
                        <w:rPr>
                          <w:b/>
                        </w:rPr>
                        <w:t>(B)</w:t>
                      </w:r>
                      <w:r w:rsidR="00945C6A" w:rsidRPr="00E52643">
                        <w:rPr>
                          <w:b/>
                        </w:rPr>
                        <w:t>.</w:t>
                      </w:r>
                      <w:r>
                        <w:t xml:space="preserve"> </w:t>
                      </w:r>
                      <w:r w:rsidR="007A5FF7">
                        <w:t>T</w:t>
                      </w:r>
                      <w:r w:rsidR="00CB5DF9">
                        <w:t xml:space="preserve">he </w:t>
                      </w:r>
                      <w:r w:rsidR="007A5FF7">
                        <w:t>species</w:t>
                      </w:r>
                      <w:bookmarkStart w:id="1" w:name="_GoBack"/>
                      <w:bookmarkEnd w:id="1"/>
                      <w:r w:rsidR="00CB5DF9">
                        <w:t xml:space="preserve"> that correspond with the most significant changes in coverage are </w:t>
                      </w:r>
                      <w:r>
                        <w:t>highly abundant</w:t>
                      </w:r>
                      <w:r w:rsidR="00CB5DF9">
                        <w:t xml:space="preserve"> </w:t>
                      </w:r>
                      <w:r w:rsidRPr="00BF72AD">
                        <w:t>prior to becoming completely absent</w:t>
                      </w:r>
                      <w:r>
                        <w:t xml:space="preserve"> </w:t>
                      </w:r>
                      <w:r>
                        <w:rPr>
                          <w:b/>
                        </w:rPr>
                        <w:t>(C)</w:t>
                      </w:r>
                      <w:r w:rsidRPr="00BF72AD">
                        <w:t>.</w:t>
                      </w:r>
                      <w:r w:rsidR="00E52643" w:rsidRPr="00BF72AD">
                        <w:tab/>
                      </w:r>
                      <w:r w:rsidR="00E52643" w:rsidRPr="00BF72AD">
                        <w:tab/>
                      </w:r>
                    </w:p>
                    <w:p w:rsidR="00E52643" w:rsidRDefault="00E52643"/>
                    <w:p w:rsidR="00E52643" w:rsidRDefault="00E52643"/>
                  </w:txbxContent>
                </v:textbox>
                <w10:wrap anchorx="margin"/>
              </v:shape>
            </w:pict>
          </mc:Fallback>
        </mc:AlternateContent>
      </w:r>
    </w:p>
    <w:p w:rsidR="00E52643" w:rsidRPr="00E52643" w:rsidRDefault="00E52643" w:rsidP="00E52643"/>
    <w:p w:rsidR="00E52643" w:rsidRDefault="00E52643" w:rsidP="00E52643"/>
    <w:p w:rsidR="00407279" w:rsidRDefault="003D0840" w:rsidP="00E52643"/>
    <w:p w:rsidR="00C36C25" w:rsidRDefault="00E52643">
      <w:r>
        <w:br w:type="page"/>
      </w:r>
    </w:p>
    <w:p w:rsidR="00C36C25" w:rsidRDefault="00C36C25">
      <w:r>
        <w:rPr>
          <w:noProof/>
        </w:rPr>
        <w:lastRenderedPageBreak/>
        <mc:AlternateContent>
          <mc:Choice Requires="wps">
            <w:drawing>
              <wp:anchor distT="45720" distB="45720" distL="114300" distR="114300" simplePos="0" relativeHeight="251662336" behindDoc="0" locked="0" layoutInCell="1" allowOverlap="1" wp14:anchorId="17E0B843" wp14:editId="23099D03">
                <wp:simplePos x="0" y="0"/>
                <wp:positionH relativeFrom="margin">
                  <wp:align>right</wp:align>
                </wp:positionH>
                <wp:positionV relativeFrom="paragraph">
                  <wp:posOffset>1552575</wp:posOffset>
                </wp:positionV>
                <wp:extent cx="2360930" cy="2400300"/>
                <wp:effectExtent l="0" t="0" r="2032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0300"/>
                        </a:xfrm>
                        <a:prstGeom prst="rect">
                          <a:avLst/>
                        </a:prstGeom>
                        <a:solidFill>
                          <a:srgbClr val="FFFFFF"/>
                        </a:solidFill>
                        <a:ln w="9525">
                          <a:solidFill>
                            <a:srgbClr val="000000"/>
                          </a:solidFill>
                          <a:miter lim="800000"/>
                          <a:headEnd/>
                          <a:tailEnd/>
                        </a:ln>
                      </wps:spPr>
                      <wps:txb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0B843" id="_x0000_s1027" type="#_x0000_t202" style="position:absolute;margin-left:134.7pt;margin-top:122.25pt;width:185.9pt;height:189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ER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">
                <v:textbox>
                  <w:txbxContent>
                    <w:p w:rsidR="00C36C25" w:rsidRDefault="00C36C25">
                      <w:r>
                        <w:t>Fig 2. Data used in mixing models for each lake show the mean (± SD) of the carbon and nitrogen stable isotope ratios for terrestrial, pelagic, and littoral basal resources. The points show the stable isotope ratios of fish prior to (brown) and after (black) adjusting with trophic enrichment values from Bunn 2013.</w:t>
                      </w:r>
                    </w:p>
                  </w:txbxContent>
                </v:textbox>
                <w10:wrap anchorx="margin"/>
              </v:shape>
            </w:pict>
          </mc:Fallback>
        </mc:AlternateContent>
      </w:r>
      <w:r>
        <w:rPr>
          <w:noProof/>
        </w:rPr>
        <w:drawing>
          <wp:anchor distT="0" distB="0" distL="114300" distR="114300" simplePos="0" relativeHeight="251663360" behindDoc="1" locked="0" layoutInCell="1" allowOverlap="1" wp14:anchorId="7D934897" wp14:editId="1654B488">
            <wp:simplePos x="0" y="0"/>
            <wp:positionH relativeFrom="margin">
              <wp:align>left</wp:align>
            </wp:positionH>
            <wp:positionV relativeFrom="paragraph">
              <wp:posOffset>6985</wp:posOffset>
            </wp:positionV>
            <wp:extent cx="5943600" cy="594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LakesIsoscapeswithPolygonBun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br w:type="page"/>
      </w:r>
    </w:p>
    <w:p w:rsidR="00EC7953" w:rsidRDefault="00EC7953">
      <w:r>
        <w:rPr>
          <w:noProof/>
        </w:rPr>
        <w:lastRenderedPageBreak/>
        <mc:AlternateContent>
          <mc:Choice Requires="wps">
            <w:drawing>
              <wp:anchor distT="45720" distB="45720" distL="114300" distR="114300" simplePos="0" relativeHeight="251665408" behindDoc="0" locked="0" layoutInCell="1" allowOverlap="1" wp14:anchorId="66F03855" wp14:editId="28ADFA55">
                <wp:simplePos x="0" y="0"/>
                <wp:positionH relativeFrom="margin">
                  <wp:align>right</wp:align>
                </wp:positionH>
                <wp:positionV relativeFrom="paragraph">
                  <wp:posOffset>180975</wp:posOffset>
                </wp:positionV>
                <wp:extent cx="7932420" cy="1404620"/>
                <wp:effectExtent l="0" t="0" r="1143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2420" cy="1404620"/>
                        </a:xfrm>
                        <a:prstGeom prst="rect">
                          <a:avLst/>
                        </a:prstGeom>
                        <a:solidFill>
                          <a:srgbClr val="FFFFFF"/>
                        </a:solidFill>
                        <a:ln w="9525">
                          <a:solidFill>
                            <a:srgbClr val="000000"/>
                          </a:solidFill>
                          <a:miter lim="800000"/>
                          <a:headEnd/>
                          <a:tailEnd/>
                        </a:ln>
                      </wps:spPr>
                      <wps:txbx>
                        <w:txbxContent>
                          <w:p w:rsidR="00F942E7" w:rsidRDefault="00F942E7">
                            <w:r>
                              <w:t xml:space="preserve">Fig 3. Base vs ggplot2 single isotope by plots.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03855" id="_x0000_s1028" type="#_x0000_t202" style="position:absolute;margin-left:573.4pt;margin-top:14.25pt;width:624.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">
                <v:textbox style="mso-fit-shape-to-text:t">
                  <w:txbxContent>
                    <w:p w:rsidR="00F942E7" w:rsidRDefault="00F942E7">
                      <w:r>
                        <w:t xml:space="preserve">Fig 3. Base vs ggplot2 single isotope by plots.  </w:t>
                      </w:r>
                    </w:p>
                  </w:txbxContent>
                </v:textbox>
                <w10:wrap type="square" anchorx="margin"/>
              </v:shape>
            </w:pict>
          </mc:Fallback>
        </mc:AlternateContent>
      </w:r>
      <w:r w:rsidR="00F942E7">
        <w:rPr>
          <w:noProof/>
        </w:rPr>
        <w:drawing>
          <wp:inline distT="0" distB="0" distL="0" distR="0">
            <wp:extent cx="37147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LakeIsoScape.png"/>
                    <pic:cNvPicPr/>
                  </pic:nvPicPr>
                  <pic:blipFill>
                    <a:blip r:embed="rId8">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r w:rsidR="00F942E7">
        <w:rPr>
          <w:noProof/>
        </w:rPr>
        <w:drawing>
          <wp:inline distT="0" distB="0" distL="0" distR="0">
            <wp:extent cx="450342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 lake.png"/>
                    <pic:cNvPicPr/>
                  </pic:nvPicPr>
                  <pic:blipFill>
                    <a:blip r:embed="rId9">
                      <a:extLst>
                        <a:ext uri="{28A0092B-C50C-407E-A947-70E740481C1C}">
                          <a14:useLocalDpi xmlns:a14="http://schemas.microsoft.com/office/drawing/2010/main" val="0"/>
                        </a:ext>
                      </a:extLst>
                    </a:blip>
                    <a:stretch>
                      <a:fillRect/>
                    </a:stretch>
                  </pic:blipFill>
                  <pic:spPr>
                    <a:xfrm>
                      <a:off x="0" y="0"/>
                      <a:ext cx="4505885" cy="3754904"/>
                    </a:xfrm>
                    <a:prstGeom prst="rect">
                      <a:avLst/>
                    </a:prstGeom>
                  </pic:spPr>
                </pic:pic>
              </a:graphicData>
            </a:graphic>
          </wp:inline>
        </w:drawing>
      </w:r>
    </w:p>
    <w:p w:rsidR="00EC7953" w:rsidRPr="00EC7953" w:rsidRDefault="00EC7953" w:rsidP="00EC7953"/>
    <w:p w:rsidR="00EC7953" w:rsidRPr="00EC7953" w:rsidRDefault="00EC7953" w:rsidP="00EC7953"/>
    <w:p w:rsidR="00EC7953" w:rsidRDefault="00EC7953" w:rsidP="00EC7953"/>
    <w:p w:rsidR="00EC7953" w:rsidRDefault="00EC7953">
      <w:r>
        <w:br w:type="page"/>
      </w:r>
    </w:p>
    <w:p w:rsidR="00EC7953" w:rsidRPr="00EC7953" w:rsidRDefault="00EC7953" w:rsidP="00EC7953">
      <w:r>
        <w:lastRenderedPageBreak/>
        <w:t>Figure 4.Light profile plots from 16 lakes</w:t>
      </w:r>
      <w:r>
        <w:rPr>
          <w:noProof/>
        </w:rPr>
        <w:drawing>
          <wp:anchor distT="0" distB="0" distL="114300" distR="114300" simplePos="0" relativeHeight="251666432" behindDoc="1" locked="0" layoutInCell="1" allowOverlap="1" wp14:anchorId="4F730741" wp14:editId="0AEA2800">
            <wp:simplePos x="0" y="0"/>
            <wp:positionH relativeFrom="column">
              <wp:posOffset>-114300</wp:posOffset>
            </wp:positionH>
            <wp:positionV relativeFrom="paragraph">
              <wp:posOffset>1258570</wp:posOffset>
            </wp:positionV>
            <wp:extent cx="6315075" cy="5943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ghtprofiles_testversion850_800.png"/>
                    <pic:cNvPicPr/>
                  </pic:nvPicPr>
                  <pic:blipFill>
                    <a:blip r:embed="rId10">
                      <a:extLst>
                        <a:ext uri="{28A0092B-C50C-407E-A947-70E740481C1C}">
                          <a14:useLocalDpi xmlns:a14="http://schemas.microsoft.com/office/drawing/2010/main" val="0"/>
                        </a:ext>
                      </a:extLst>
                    </a:blip>
                    <a:stretch>
                      <a:fillRect/>
                    </a:stretch>
                  </pic:blipFill>
                  <pic:spPr>
                    <a:xfrm>
                      <a:off x="0" y="0"/>
                      <a:ext cx="6315075" cy="5943600"/>
                    </a:xfrm>
                    <a:prstGeom prst="rect">
                      <a:avLst/>
                    </a:prstGeom>
                  </pic:spPr>
                </pic:pic>
              </a:graphicData>
            </a:graphic>
          </wp:anchor>
        </w:drawing>
      </w:r>
    </w:p>
    <w:sectPr w:rsidR="00EC7953" w:rsidRPr="00EC7953" w:rsidSect="00945C6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840" w:rsidRDefault="003D0840" w:rsidP="00E52643">
      <w:pPr>
        <w:spacing w:after="0" w:line="240" w:lineRule="auto"/>
      </w:pPr>
      <w:r>
        <w:separator/>
      </w:r>
    </w:p>
  </w:endnote>
  <w:endnote w:type="continuationSeparator" w:id="0">
    <w:p w:rsidR="003D0840" w:rsidRDefault="003D0840" w:rsidP="00E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840" w:rsidRDefault="003D0840" w:rsidP="00E52643">
      <w:pPr>
        <w:spacing w:after="0" w:line="240" w:lineRule="auto"/>
      </w:pPr>
      <w:r>
        <w:separator/>
      </w:r>
    </w:p>
  </w:footnote>
  <w:footnote w:type="continuationSeparator" w:id="0">
    <w:p w:rsidR="003D0840" w:rsidRDefault="003D0840" w:rsidP="00E52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6A"/>
    <w:rsid w:val="00165894"/>
    <w:rsid w:val="003D0840"/>
    <w:rsid w:val="00415332"/>
    <w:rsid w:val="00556B7F"/>
    <w:rsid w:val="0058488F"/>
    <w:rsid w:val="00597D64"/>
    <w:rsid w:val="007A5FF7"/>
    <w:rsid w:val="00945C6A"/>
    <w:rsid w:val="009E05BC"/>
    <w:rsid w:val="00B154AD"/>
    <w:rsid w:val="00BF72AD"/>
    <w:rsid w:val="00C36C25"/>
    <w:rsid w:val="00C37733"/>
    <w:rsid w:val="00C836FE"/>
    <w:rsid w:val="00CB5DF9"/>
    <w:rsid w:val="00E52643"/>
    <w:rsid w:val="00EC7953"/>
    <w:rsid w:val="00F942E7"/>
    <w:rsid w:val="00FC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123A"/>
  <w15:chartTrackingRefBased/>
  <w15:docId w15:val="{F7988C00-7DCE-4196-92A8-2FA0C72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643"/>
  </w:style>
  <w:style w:type="paragraph" w:styleId="Footer">
    <w:name w:val="footer"/>
    <w:basedOn w:val="Normal"/>
    <w:link w:val="FooterChar"/>
    <w:uiPriority w:val="99"/>
    <w:unhideWhenUsed/>
    <w:rsid w:val="00E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 Stiling</dc:creator>
  <cp:keywords/>
  <dc:description/>
  <cp:lastModifiedBy>Rebekah R. Stiling</cp:lastModifiedBy>
  <cp:revision>4</cp:revision>
  <cp:lastPrinted>2020-03-09T18:30:00Z</cp:lastPrinted>
  <dcterms:created xsi:type="dcterms:W3CDTF">2020-03-10T23:13:00Z</dcterms:created>
  <dcterms:modified xsi:type="dcterms:W3CDTF">2020-03-10T23:41:00Z</dcterms:modified>
</cp:coreProperties>
</file>