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B365D"/>
          <w:sz w:val="34"/>
        </w:rPr>
        <w:t>MASTER PRESENTATION RESEARCH &amp; DEFENSE GUIDE</w:t>
      </w:r>
    </w:p>
    <w:p>
      <w:pPr>
        <w:spacing w:after="80"/>
        <w:jc w:val="center"/>
      </w:pPr>
      <w:r>
        <w:rPr>
          <w:rFonts w:ascii="Arial" w:hAnsi="Arial"/>
          <w:b/>
          <w:color w:val="4A607A"/>
          <w:sz w:val="22"/>
        </w:rPr>
        <w:t>Byte-Level Mamba vs. Transformer for Amharic with Brain-Inspired Continual Learning (Hayyuu)</w:t>
      </w:r>
    </w:p>
    <w:p>
      <w:pPr>
        <w:spacing w:after="240"/>
        <w:jc w:val="center"/>
      </w:pPr>
      <w:r>
        <w:rPr>
          <w:rFonts w:ascii="Arial" w:hAnsi="Arial"/>
          <w:i/>
          <w:color w:val="5A5A5A"/>
          <w:sz w:val="19"/>
        </w:rPr>
        <w:t>Presenter &amp; Author: Beknan Chemeda  |  Project: Data- &amp; Compute-Efficient Generative AI</w:t>
        <w:br/>
        <w:t>Repository: https://github.com/BekiChemeda/ML-Research</w:t>
      </w:r>
    </w:p>
    <w:p>
      <w:pPr>
        <w:pStyle w:val="Heading1"/>
        <w:spacing w:before="200" w:after="80"/>
      </w:pPr>
      <w:r>
        <w:t>1. Executive Summary &amp; Core Research Thesis</w:t>
      </w:r>
    </w:p>
    <w:tbl>
      <w:tblPr>
        <w:tblW w:type="auto" w:w="0"/>
        <w:jc w:val="center"/>
        <w:tblLayout w:type="fixed"/>
        <w:tblLook w:firstColumn="1" w:firstRow="1" w:lastColumn="0" w:lastRow="0" w:noHBand="0" w:noVBand="1" w:val="04A0"/>
      </w:tblPr>
      <w:tblGrid>
        <w:gridCol w:w="9360"/>
      </w:tblGrid>
      <w:tr>
        <w:tc>
          <w:tcPr>
            <w:tcW w:type="dxa" w:w="10224"/>
            <w:shd w:fill="F0F4F8"/>
            <w:tcMar>
              <w:top w:w="140" w:type="dxa"/>
              <w:bottom w:w="140" w:type="dxa"/>
              <w:left w:w="200" w:type="dxa"/>
              <w:right w:w="200" w:type="dxa"/>
            </w:tcMar>
          </w:tcPr>
          <w:p>
            <w:pPr>
              <w:spacing w:before="40" w:after="40" w:line="276" w:lineRule="auto"/>
            </w:pPr>
            <w:r>
              <w:rPr>
                <w:rFonts w:ascii="Arial" w:hAnsi="Arial"/>
                <w:b/>
                <w:color w:val="1B365D"/>
                <w:sz w:val="20"/>
              </w:rPr>
              <w:t xml:space="preserve">💡 CORE RESEARCH THESIS: </w:t>
            </w:r>
            <w:r>
              <w:rPr>
                <w:rFonts w:ascii="Arial" w:hAnsi="Arial"/>
                <w:color w:val="1E1E1E"/>
                <w:sz w:val="19"/>
              </w:rPr>
              <w:t>Modern Large Language Models (LLMs) rely heavily on subword tokenizers (e.g., Byte-Pair Encoding / SentencePiece) that charge an exorbitant 'Token Tax' on African and Semitic languages. In Amharic, standard tokenizers fragment single morphologically rich words into 7+ sub-byte pieces, driving fertility ratios up to 3.5x and trapping up to 63% of the total model parameter budget in vocabulary embedding matrices rather than neural reasoning layers. Furthermore, on long byte sequences, standard Transformers suffer from quadratic computational and memory bottlenecks O(L²). In this research, we demonstrate that by eliminating the tokenizer entirely and training directly on raw UTF-8 bytes using a Selective State Space Model (Mamba), a compact 2.73M Byte-Level Mamba model outperforms a 13.04M Transformer across 1.465 GB of clean Amharic text (1.322 vs 1.579 Bits-Per-Byte), while consuming 3x less GPU memory. Additionally, to resolve Catastrophic Forgetting during live deployment, we integrate a biological Complementary Learning System (CLS): new facts are acquired in 0.01 seconds via Hebbian fast weights, and consolidated into permanent Mamba neocortical weights during offline circadian sleep replay with 100% grammar retention.</w:t>
            </w:r>
          </w:p>
        </w:tc>
      </w:tr>
    </w:tbl>
    <w:p>
      <w:pPr>
        <w:spacing w:after="80"/>
      </w:pPr>
    </w:p>
    <w:p>
      <w:pPr>
        <w:pStyle w:val="Heading1"/>
        <w:spacing w:before="240" w:after="80"/>
      </w:pPr>
      <w:r>
        <w:t>2. Scientific Lineage &amp; Literature Foundation</w:t>
      </w:r>
    </w:p>
    <w:p>
      <w:pPr>
        <w:spacing w:before="60" w:after="60" w:line="276" w:lineRule="auto"/>
      </w:pPr>
      <w:r>
        <w:rPr>
          <w:rFonts w:ascii="Arial" w:hAnsi="Arial"/>
          <w:b/>
          <w:color w:val="1B365D"/>
          <w:sz w:val="19"/>
        </w:rPr>
        <w:t xml:space="preserve">• The Amharic Data Ceiling (Andersland, 2024; Azime et al., 2024): </w:t>
      </w:r>
      <w:r>
        <w:rPr>
          <w:rFonts w:ascii="Arial" w:hAnsi="Arial"/>
          <w:sz w:val="19"/>
        </w:rPr>
        <w:t>Empirical studies demonstrate that the total volume of clean, native digital Amharic text in existence is under 500 million tokens. Attempting to artificially expand data via machine translation introduces severe synthetic artifacts and syntactic degradation. Hence, low-resource African AI requires architectural data-efficiency rather than brute-force scaling.</w:t>
      </w:r>
    </w:p>
    <w:p>
      <w:pPr>
        <w:spacing w:before="60" w:after="60" w:line="276" w:lineRule="auto"/>
      </w:pPr>
      <w:r>
        <w:rPr>
          <w:rFonts w:ascii="Arial" w:hAnsi="Arial"/>
          <w:b/>
          <w:color w:val="1B365D"/>
          <w:sz w:val="19"/>
        </w:rPr>
        <w:t xml:space="preserve">• The Token Tax &amp; Fertility Ratio (Lundin et al., 2026; Xue et al., ByT5, 2021): </w:t>
      </w:r>
      <w:r>
        <w:rPr>
          <w:rFonts w:ascii="Arial" w:hAnsi="Arial"/>
          <w:sz w:val="19"/>
        </w:rPr>
        <w:t>Standard subword tokenizers are mathematically optimized for Latin scripts. Ge'ez characters (Unicode U+1200 to U+137F) decompose into 3 raw UTF-8 bytes each. Standard tokenizers fragment Amharic text into an average of 3.5 tokens per word (Fertility = 3.5), imposing a direct 3.5x compute, memory, and inference latency surcharge on Ethiopian users. Byte-level modeling resolves this by treating the 256 byte values directly as vocabulary.</w:t>
      </w:r>
    </w:p>
    <w:p>
      <w:pPr>
        <w:spacing w:before="60" w:after="60" w:line="276" w:lineRule="auto"/>
      </w:pPr>
      <w:r>
        <w:rPr>
          <w:rFonts w:ascii="Arial" w:hAnsi="Arial"/>
          <w:b/>
          <w:color w:val="1B365D"/>
          <w:sz w:val="19"/>
        </w:rPr>
        <w:t xml:space="preserve">• Selective State Space Architectures (Gu &amp; Dao, Mamba, 2023; Wang et al., MambaByte, 2024): </w:t>
      </w:r>
      <w:r>
        <w:rPr>
          <w:rFonts w:ascii="Arial" w:hAnsi="Arial"/>
          <w:sz w:val="19"/>
        </w:rPr>
        <w:t>Transformers suffer from quadratic self-attention complexity O(L²). Mamba replaces attention with continuous state-space recurrence discretized via zero-order hold: h'(t) = A h(t) + B x(t), y(t) = C h(t) + D x(t). Through input-dependent selection mechanisms and Chunked Associative Parallel Scans, Mamba scales linearly O(L) with constant generation memory.</w:t>
      </w:r>
    </w:p>
    <w:p>
      <w:pPr>
        <w:spacing w:before="60" w:after="60" w:line="276" w:lineRule="auto"/>
      </w:pPr>
      <w:r>
        <w:rPr>
          <w:rFonts w:ascii="Arial" w:hAnsi="Arial"/>
          <w:b/>
          <w:color w:val="1B365D"/>
          <w:sz w:val="19"/>
        </w:rPr>
        <w:t xml:space="preserve">• Complementary Learning Systems &amp; Sleep Replay (McClelland et al., 1995; Tononi &amp; Cirelli, 2014): </w:t>
      </w:r>
      <w:r>
        <w:rPr>
          <w:rFonts w:ascii="Arial" w:hAnsi="Arial"/>
          <w:sz w:val="19"/>
        </w:rPr>
        <w:t>Biological brains avoid Catastrophic Forgetting via two coupled memory systems: a fast Hippocampus (rapid 1-shot episodic learning) and a slow Neocortex (gradual semantic generalization). During NREM sleep, Sharp-Wave Ripples replay daytime memories at 20x accelerated speed, consolidating episodic traces into neocortical circuits without disrupting prior knowledge.</w:t>
      </w:r>
    </w:p>
    <w:p>
      <w:pPr>
        <w:pStyle w:val="Heading1"/>
        <w:spacing w:before="240" w:after="80"/>
      </w:pPr>
      <w:r>
        <w:t>3. Deep Technical Glossary: Definitions &amp; Mathematical Formulations</w:t>
      </w:r>
    </w:p>
    <w:p>
      <w:pPr>
        <w:spacing w:before="60" w:after="60" w:line="276" w:lineRule="auto"/>
      </w:pPr>
      <w:r>
        <w:rPr>
          <w:rFonts w:ascii="Arial" w:hAnsi="Arial"/>
          <w:b/>
          <w:color w:val="8A3B14"/>
          <w:sz w:val="19"/>
        </w:rPr>
        <w:t xml:space="preserve">📌 Bits-Per-Byte (BPB): </w:t>
      </w:r>
      <w:r>
        <w:rPr>
          <w:rFonts w:ascii="Arial" w:hAnsi="Arial"/>
          <w:sz w:val="19"/>
        </w:rPr>
        <w:t>The universally invariant information-theoretic evaluation metric for language modeling. Perplexity is confounded by vocabulary size (a 32k-token model cannot be compared to a 256-byte model using perplexity). BPB normalizes cross-entropy loss by raw UTF-8 byte length: BPB = (Loss / ln(2)) * (N_tokens / N_bytes). Lower BPB strictly indicates superior model compression and prediction.</w:t>
      </w:r>
    </w:p>
    <w:p>
      <w:pPr>
        <w:spacing w:before="60" w:after="60" w:line="276" w:lineRule="auto"/>
      </w:pPr>
      <w:r>
        <w:rPr>
          <w:rFonts w:ascii="Arial" w:hAnsi="Arial"/>
          <w:b/>
          <w:color w:val="8A3B14"/>
          <w:sz w:val="19"/>
        </w:rPr>
        <w:t xml:space="preserve">📌 Parameter Allocation Tax (Embedding Tax): </w:t>
      </w:r>
      <w:r>
        <w:rPr>
          <w:rFonts w:ascii="Arial" w:hAnsi="Arial"/>
          <w:sz w:val="19"/>
        </w:rPr>
        <w:t>The proportion of a neural network's trainable parameters dedicated exclusively to the input/output vocabulary projection matrix (V * d_model). In a 13M Transformer with 32k vocabulary, 8.19M parameters (62.8%) are consumed by embeddings. In Byte Mamba (V=256), embeddings consume &lt;2.3%, allocating 97.7% of parameters to deep hidden layers.</w:t>
      </w:r>
    </w:p>
    <w:p>
      <w:pPr>
        <w:spacing w:before="60" w:after="60" w:line="276" w:lineRule="auto"/>
      </w:pPr>
      <w:r>
        <w:rPr>
          <w:rFonts w:ascii="Arial" w:hAnsi="Arial"/>
          <w:b/>
          <w:color w:val="8A3B14"/>
          <w:sz w:val="19"/>
        </w:rPr>
        <w:t xml:space="preserve">📌 Selective Scan Mechanism (S6): </w:t>
      </w:r>
      <w:r>
        <w:rPr>
          <w:rFonts w:ascii="Arial" w:hAnsi="Arial"/>
          <w:sz w:val="19"/>
        </w:rPr>
        <w:t>The core mathematical operator of Mamba. Unlike classical Linear Time-Invariant (LTI) state space models where matrices (A, B, C) are static, S6 projects matrices B, C, and step size Δ dynamically from the input token x_t: B_t = Linear_B(x_t), C_t = Linear_C(x_t), Δ_t = softplus(Linear_Δ(x_t)). This allows the model to selectively filter out irrelevant context and preserve salient information indefinitely.</w:t>
      </w:r>
    </w:p>
    <w:p>
      <w:pPr>
        <w:spacing w:before="60" w:after="60" w:line="276" w:lineRule="auto"/>
      </w:pPr>
      <w:r>
        <w:rPr>
          <w:rFonts w:ascii="Arial" w:hAnsi="Arial"/>
          <w:b/>
          <w:color w:val="8A3B14"/>
          <w:sz w:val="19"/>
        </w:rPr>
        <w:t xml:space="preserve">📌 Chunked Associative Parallel Scan: </w:t>
      </w:r>
      <w:r>
        <w:rPr>
          <w:rFonts w:ascii="Arial" w:hAnsi="Arial"/>
          <w:sz w:val="19"/>
        </w:rPr>
        <w:t>The parallel algorithmic realization of Mamba recurrence. Sequences of length L are divided into contiguous chunks of size C (e.g., C=32). Within each chunk, recurrence is solved in parallel via cumulative sums (torch.cumsum) in logarithmic time, combining the parallel training speed of Transformers with the O(1) inference speed of RNNs.</w:t>
      </w:r>
    </w:p>
    <w:p>
      <w:pPr>
        <w:spacing w:before="60" w:after="60" w:line="276" w:lineRule="auto"/>
      </w:pPr>
      <w:r>
        <w:rPr>
          <w:rFonts w:ascii="Arial" w:hAnsi="Arial"/>
          <w:b/>
          <w:color w:val="8A3B14"/>
          <w:sz w:val="19"/>
        </w:rPr>
        <w:t xml:space="preserve">📌 Catastrophic Forgetting &amp; Stability-Plasticity Dilemma: </w:t>
      </w:r>
      <w:r>
        <w:rPr>
          <w:rFonts w:ascii="Arial" w:hAnsi="Arial"/>
          <w:sz w:val="19"/>
        </w:rPr>
        <w:t>The fundamental failure mode of gradient-based neural networks where optimizing loss on new data (plasticity) causes large gradient steps that overwrite orthogonal parameter subspaces encoding prior tasks (stability), resulting in severe performance collapse on baseline grammar.</w:t>
      </w:r>
    </w:p>
    <w:p>
      <w:pPr>
        <w:spacing w:before="60" w:after="60" w:line="276" w:lineRule="auto"/>
      </w:pPr>
      <w:r>
        <w:rPr>
          <w:rFonts w:ascii="Arial" w:hAnsi="Arial"/>
          <w:b/>
          <w:color w:val="8A3B14"/>
          <w:sz w:val="19"/>
        </w:rPr>
        <w:t xml:space="preserve">📌 Hebbian Fast Weights &amp; Anti-Hopfield Synaptic Engrams: </w:t>
      </w:r>
      <w:r>
        <w:rPr>
          <w:rFonts w:ascii="Arial" w:hAnsi="Arial"/>
          <w:sz w:val="19"/>
        </w:rPr>
        <w:t>A biologically inspired 1-shot associative memory mechanism. A memory matrix M of dimension (mem_dim x mem_dim) is updated via outer products: ΔM = η (v_t - M k_t) k_tᵀ, where k_t and v_t are normalized neocortical projections. This allows instant learning in 0.01 seconds without gradient backpropagation.</w:t>
      </w:r>
    </w:p>
    <w:p>
      <w:pPr>
        <w:spacing w:before="60" w:after="60" w:line="276" w:lineRule="auto"/>
      </w:pPr>
      <w:r>
        <w:rPr>
          <w:rFonts w:ascii="Arial" w:hAnsi="Arial"/>
          <w:b/>
          <w:color w:val="8A3B14"/>
          <w:sz w:val="19"/>
        </w:rPr>
        <w:t xml:space="preserve">📌 Sharp-Wave Ripple (SWR) Sleep Replay: </w:t>
      </w:r>
      <w:r>
        <w:rPr>
          <w:rFonts w:ascii="Arial" w:hAnsi="Arial"/>
          <w:sz w:val="19"/>
        </w:rPr>
        <w:t>Offline memory consolidation algorithm. Episodic memory records stored in the Hebbian matrix are replayed at 20x accelerated rate alongside background anchor pairs at conservative learning rates (1e-5), permanently migrating knowledge into Mamba weights without causing mode collapse or grammatical drift.</w:t>
      </w:r>
    </w:p>
    <w:p>
      <w:pPr>
        <w:spacing w:before="60" w:after="60" w:line="276" w:lineRule="auto"/>
      </w:pPr>
      <w:r>
        <w:rPr>
          <w:rFonts w:ascii="Arial" w:hAnsi="Arial"/>
          <w:b/>
          <w:color w:val="8A3B14"/>
          <w:sz w:val="19"/>
        </w:rPr>
        <w:t xml:space="preserve">📌 Prompt-Loss Masking: </w:t>
      </w:r>
      <w:r>
        <w:rPr>
          <w:rFonts w:ascii="Arial" w:hAnsi="Arial"/>
          <w:sz w:val="19"/>
        </w:rPr>
        <w:t>In Supervised Fine-Tuning (SFT), assigning target loss indices to -100 for all bytes belonging to the user prompt: Target_i = -100 for i &lt; prefix_len. The loss is computed strictly over the model's generated response: Loss = CrossEntropy(logits[prefix:], targets[prefix:]).</w:t>
      </w:r>
    </w:p>
    <w:p>
      <w:pPr>
        <w:spacing w:before="60" w:after="60" w:line="276" w:lineRule="auto"/>
      </w:pPr>
      <w:r>
        <w:rPr>
          <w:rFonts w:ascii="Arial" w:hAnsi="Arial"/>
          <w:b/>
          <w:color w:val="8A3B14"/>
          <w:sz w:val="19"/>
        </w:rPr>
        <w:t xml:space="preserve">📌 Replay Buffer Anchoring: </w:t>
      </w:r>
      <w:r>
        <w:rPr>
          <w:rFonts w:ascii="Arial" w:hAnsi="Arial"/>
          <w:sz w:val="19"/>
        </w:rPr>
        <w:t>Regularization technique during online reinforcement learning (RLHF/RLAIF). Every policy update combines the target feedback sample with a mini-batch of foundational anchor pairs (Identity, Geography, Grammar), preventing the model from collapsing its output distribution onto a single reinforced string.</w:t>
      </w:r>
    </w:p>
    <w:p>
      <w:pPr>
        <w:pStyle w:val="Heading1"/>
        <w:spacing w:before="240" w:after="80"/>
      </w:pPr>
      <w:r>
        <w:t>4. End-to-End Engineering Methodology &amp; Data Pipeline</w:t>
      </w:r>
    </w:p>
    <w:p>
      <w:pPr>
        <w:spacing w:line="276" w:lineRule="auto"/>
      </w:pPr>
      <w:r>
        <w:rPr>
          <w:sz w:val="19"/>
        </w:rPr>
        <w:t>Our empirical pipeline was executed on an Nvidia GeForce RTX 3090 GPU (24GB VRAM) across 1.465 GB of strictly native, human-authored Amharic text:</w:t>
        <w:br/>
        <w:t>1. Data Curation: Curated from Amharic Wikipedia (21.4MB), MasakhaNews (9.5MB), XL-Sum (33.6MB), and GlotCC (1.40GB). Filtered with a strict 30% Ge'ez character ratio threshold and MD5 deduplication into train.bin (1.465 GB) and val.bin (77.1 MB).</w:t>
        <w:br/>
        <w:t>2. Architecture Implementation: Built Byte-Level Mamba with selective scan, SentencePiece 16k/32k tokenizers, and baseline Causal Transformers under identical hidden dimensions (d_model=256, 384, 512).</w:t>
        <w:br/>
        <w:t>3. Controlled Pre-Training: Pre-trained across 5,000 to 10,000 steps using AdamW optimizer with Cosine Annealing learning rate schedules and FP16 mixed precision.</w:t>
        <w:br/>
        <w:t>4. Continual Learning &amp; SFT Alignment: Evaluated 1-shot Hebbian fact acquisition against standard backpropagation, followed by 5-epoch SFT alignment on 4,359 instruction pairs.</w:t>
      </w:r>
    </w:p>
    <w:p>
      <w:pPr>
        <w:pStyle w:val="Heading1"/>
        <w:spacing w:before="240" w:after="80"/>
      </w:pPr>
      <w:r>
        <w:t>5. Empirical Benchmark Results &amp; Analysis</w:t>
      </w:r>
    </w:p>
    <w:p>
      <w:r>
        <w:rPr>
          <w:b/>
        </w:rPr>
        <w:t>Table 1: Pre-Training Architecture Benchmark on 1.465 GB Amharic Corpus</w:t>
      </w:r>
    </w:p>
    <w:tbl>
      <w:tblPr>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1B365D"/>
            <w:tcMar>
              <w:top w:w="80" w:type="dxa"/>
              <w:bottom w:w="80" w:type="dxa"/>
              <w:left w:w="100" w:type="dxa"/>
              <w:right w:w="100" w:type="dxa"/>
            </w:tcMar>
          </w:tcPr>
          <w:p>
            <w:r>
              <w:rPr>
                <w:rFonts w:ascii="Arial" w:hAnsi="Arial"/>
                <w:b/>
                <w:color w:val="FFFFFF"/>
                <w:sz w:val="17"/>
              </w:rPr>
              <w:t>Model Architecture</w:t>
            </w:r>
          </w:p>
        </w:tc>
        <w:tc>
          <w:tcPr>
            <w:tcW w:type="dxa" w:w="1704"/>
            <w:shd w:fill="1B365D"/>
            <w:tcMar>
              <w:top w:w="80" w:type="dxa"/>
              <w:bottom w:w="80" w:type="dxa"/>
              <w:left w:w="100" w:type="dxa"/>
              <w:right w:w="100" w:type="dxa"/>
            </w:tcMar>
          </w:tcPr>
          <w:p>
            <w:r>
              <w:rPr>
                <w:rFonts w:ascii="Arial" w:hAnsi="Arial"/>
                <w:b/>
                <w:color w:val="FFFFFF"/>
                <w:sz w:val="17"/>
              </w:rPr>
              <w:t>Input Modality</w:t>
            </w:r>
          </w:p>
        </w:tc>
        <w:tc>
          <w:tcPr>
            <w:tcW w:type="dxa" w:w="1704"/>
            <w:shd w:fill="1B365D"/>
            <w:tcMar>
              <w:top w:w="80" w:type="dxa"/>
              <w:bottom w:w="80" w:type="dxa"/>
              <w:left w:w="100" w:type="dxa"/>
              <w:right w:w="100" w:type="dxa"/>
            </w:tcMar>
          </w:tcPr>
          <w:p>
            <w:r>
              <w:rPr>
                <w:rFonts w:ascii="Arial" w:hAnsi="Arial"/>
                <w:b/>
                <w:color w:val="FFFFFF"/>
                <w:sz w:val="17"/>
              </w:rPr>
              <w:t>Total Params</w:t>
            </w:r>
          </w:p>
        </w:tc>
        <w:tc>
          <w:tcPr>
            <w:tcW w:type="dxa" w:w="1704"/>
            <w:shd w:fill="1B365D"/>
            <w:tcMar>
              <w:top w:w="80" w:type="dxa"/>
              <w:bottom w:w="80" w:type="dxa"/>
              <w:left w:w="100" w:type="dxa"/>
              <w:right w:w="100" w:type="dxa"/>
            </w:tcMar>
          </w:tcPr>
          <w:p>
            <w:r>
              <w:rPr>
                <w:rFonts w:ascii="Arial" w:hAnsi="Arial"/>
                <w:b/>
                <w:color w:val="FFFFFF"/>
                <w:sz w:val="17"/>
              </w:rPr>
              <w:t>Embed Tax (%)</w:t>
            </w:r>
          </w:p>
        </w:tc>
        <w:tc>
          <w:tcPr>
            <w:tcW w:type="dxa" w:w="1704"/>
            <w:shd w:fill="1B365D"/>
            <w:tcMar>
              <w:top w:w="80" w:type="dxa"/>
              <w:bottom w:w="80" w:type="dxa"/>
              <w:left w:w="100" w:type="dxa"/>
              <w:right w:w="100" w:type="dxa"/>
            </w:tcMar>
          </w:tcPr>
          <w:p>
            <w:r>
              <w:rPr>
                <w:rFonts w:ascii="Arial" w:hAnsi="Arial"/>
                <w:b/>
                <w:color w:val="FFFFFF"/>
                <w:sz w:val="17"/>
              </w:rPr>
              <w:t>Validation BPB</w:t>
            </w:r>
          </w:p>
        </w:tc>
        <w:tc>
          <w:tcPr>
            <w:tcW w:type="dxa" w:w="1704"/>
            <w:shd w:fill="1B365D"/>
            <w:tcMar>
              <w:top w:w="80" w:type="dxa"/>
              <w:bottom w:w="80" w:type="dxa"/>
              <w:left w:w="100" w:type="dxa"/>
              <w:right w:w="100" w:type="dxa"/>
            </w:tcMar>
          </w:tcPr>
          <w:p>
            <w:r>
              <w:rPr>
                <w:rFonts w:ascii="Arial" w:hAnsi="Arial"/>
                <w:b/>
                <w:color w:val="FFFFFF"/>
                <w:sz w:val="17"/>
              </w:rPr>
              <w:t>Attention Complexity</w:t>
            </w:r>
          </w:p>
        </w:tc>
      </w:tr>
      <w:tr>
        <w:tc>
          <w:tcPr>
            <w:tcW w:type="dxa" w:w="1704"/>
            <w:shd w:fill="FAFAFA"/>
            <w:tcMar>
              <w:top w:w="70" w:type="dxa"/>
              <w:bottom w:w="70" w:type="dxa"/>
              <w:left w:w="90" w:type="dxa"/>
              <w:right w:w="90" w:type="dxa"/>
            </w:tcMar>
          </w:tcPr>
          <w:p>
            <w:r>
              <w:rPr>
                <w:rFonts w:ascii="Arial" w:hAnsi="Arial"/>
                <w:sz w:val="17"/>
              </w:rPr>
              <w:t>Transformer (32k)</w:t>
            </w:r>
          </w:p>
        </w:tc>
        <w:tc>
          <w:tcPr>
            <w:tcW w:type="dxa" w:w="1704"/>
            <w:shd w:fill="FAFAFA"/>
            <w:tcMar>
              <w:top w:w="70" w:type="dxa"/>
              <w:bottom w:w="70" w:type="dxa"/>
              <w:left w:w="90" w:type="dxa"/>
              <w:right w:w="90" w:type="dxa"/>
            </w:tcMar>
          </w:tcPr>
          <w:p>
            <w:r>
              <w:rPr>
                <w:rFonts w:ascii="Arial" w:hAnsi="Arial"/>
                <w:sz w:val="17"/>
              </w:rPr>
              <w:t>SentencePiece 32k</w:t>
            </w:r>
          </w:p>
        </w:tc>
        <w:tc>
          <w:tcPr>
            <w:tcW w:type="dxa" w:w="1704"/>
            <w:shd w:fill="FAFAFA"/>
            <w:tcMar>
              <w:top w:w="70" w:type="dxa"/>
              <w:bottom w:w="70" w:type="dxa"/>
              <w:left w:w="90" w:type="dxa"/>
              <w:right w:w="90" w:type="dxa"/>
            </w:tcMar>
          </w:tcPr>
          <w:p>
            <w:r>
              <w:rPr>
                <w:rFonts w:ascii="Arial" w:hAnsi="Arial"/>
                <w:sz w:val="17"/>
              </w:rPr>
              <w:t>13.04 M</w:t>
            </w:r>
          </w:p>
        </w:tc>
        <w:tc>
          <w:tcPr>
            <w:tcW w:type="dxa" w:w="1704"/>
            <w:shd w:fill="FDF2E9"/>
            <w:tcMar>
              <w:top w:w="70" w:type="dxa"/>
              <w:bottom w:w="70" w:type="dxa"/>
              <w:left w:w="90" w:type="dxa"/>
              <w:right w:w="90" w:type="dxa"/>
            </w:tcMar>
          </w:tcPr>
          <w:p>
            <w:r>
              <w:rPr>
                <w:rFonts w:ascii="Arial" w:hAnsi="Arial"/>
                <w:sz w:val="17"/>
              </w:rPr>
              <w:t>62.8% (Wasted)</w:t>
            </w:r>
          </w:p>
        </w:tc>
        <w:tc>
          <w:tcPr>
            <w:tcW w:type="dxa" w:w="1704"/>
            <w:shd w:fill="FAFAFA"/>
            <w:tcMar>
              <w:top w:w="70" w:type="dxa"/>
              <w:bottom w:w="70" w:type="dxa"/>
              <w:left w:w="90" w:type="dxa"/>
              <w:right w:w="90" w:type="dxa"/>
            </w:tcMar>
          </w:tcPr>
          <w:p>
            <w:r>
              <w:rPr>
                <w:rFonts w:ascii="Arial" w:hAnsi="Arial"/>
                <w:sz w:val="17"/>
              </w:rPr>
              <w:t>1.5790 BPB</w:t>
            </w:r>
          </w:p>
        </w:tc>
        <w:tc>
          <w:tcPr>
            <w:tcW w:type="dxa" w:w="1704"/>
            <w:shd w:fill="FAFAFA"/>
            <w:tcMar>
              <w:top w:w="70" w:type="dxa"/>
              <w:bottom w:w="70" w:type="dxa"/>
              <w:left w:w="90" w:type="dxa"/>
              <w:right w:w="90" w:type="dxa"/>
            </w:tcMar>
          </w:tcPr>
          <w:p>
            <w:r>
              <w:rPr>
                <w:rFonts w:ascii="Arial" w:hAnsi="Arial"/>
                <w:sz w:val="17"/>
              </w:rPr>
              <w:t>Quadratic O(L²) ❌</w:t>
            </w:r>
          </w:p>
        </w:tc>
      </w:tr>
      <w:tr>
        <w:tc>
          <w:tcPr>
            <w:tcW w:type="dxa" w:w="1704"/>
            <w:shd w:fill="FFFFFF"/>
            <w:tcMar>
              <w:top w:w="70" w:type="dxa"/>
              <w:bottom w:w="70" w:type="dxa"/>
              <w:left w:w="90" w:type="dxa"/>
              <w:right w:w="90" w:type="dxa"/>
            </w:tcMar>
          </w:tcPr>
          <w:p>
            <w:r>
              <w:rPr>
                <w:rFonts w:ascii="Arial" w:hAnsi="Arial"/>
                <w:sz w:val="17"/>
              </w:rPr>
              <w:t>Transformer (16k)</w:t>
            </w:r>
          </w:p>
        </w:tc>
        <w:tc>
          <w:tcPr>
            <w:tcW w:type="dxa" w:w="1704"/>
            <w:shd w:fill="FFFFFF"/>
            <w:tcMar>
              <w:top w:w="70" w:type="dxa"/>
              <w:bottom w:w="70" w:type="dxa"/>
              <w:left w:w="90" w:type="dxa"/>
              <w:right w:w="90" w:type="dxa"/>
            </w:tcMar>
          </w:tcPr>
          <w:p>
            <w:r>
              <w:rPr>
                <w:rFonts w:ascii="Arial" w:hAnsi="Arial"/>
                <w:sz w:val="17"/>
              </w:rPr>
              <w:t>SentencePiece 16k</w:t>
            </w:r>
          </w:p>
        </w:tc>
        <w:tc>
          <w:tcPr>
            <w:tcW w:type="dxa" w:w="1704"/>
            <w:shd w:fill="FFFFFF"/>
            <w:tcMar>
              <w:top w:w="70" w:type="dxa"/>
              <w:bottom w:w="70" w:type="dxa"/>
              <w:left w:w="90" w:type="dxa"/>
              <w:right w:w="90" w:type="dxa"/>
            </w:tcMar>
          </w:tcPr>
          <w:p>
            <w:r>
              <w:rPr>
                <w:rFonts w:ascii="Arial" w:hAnsi="Arial"/>
                <w:sz w:val="17"/>
              </w:rPr>
              <w:t>8.96 M</w:t>
            </w:r>
          </w:p>
        </w:tc>
        <w:tc>
          <w:tcPr>
            <w:tcW w:type="dxa" w:w="1704"/>
            <w:shd w:fill="FFFFFF"/>
            <w:tcMar>
              <w:top w:w="70" w:type="dxa"/>
              <w:bottom w:w="70" w:type="dxa"/>
              <w:left w:w="90" w:type="dxa"/>
              <w:right w:w="90" w:type="dxa"/>
            </w:tcMar>
          </w:tcPr>
          <w:p>
            <w:r>
              <w:rPr>
                <w:rFonts w:ascii="Arial" w:hAnsi="Arial"/>
                <w:sz w:val="17"/>
              </w:rPr>
              <w:t>45.7%</w:t>
            </w:r>
          </w:p>
        </w:tc>
        <w:tc>
          <w:tcPr>
            <w:tcW w:type="dxa" w:w="1704"/>
            <w:shd w:fill="FFFFFF"/>
            <w:tcMar>
              <w:top w:w="70" w:type="dxa"/>
              <w:bottom w:w="70" w:type="dxa"/>
              <w:left w:w="90" w:type="dxa"/>
              <w:right w:w="90" w:type="dxa"/>
            </w:tcMar>
          </w:tcPr>
          <w:p>
            <w:r>
              <w:rPr>
                <w:rFonts w:ascii="Arial" w:hAnsi="Arial"/>
                <w:sz w:val="17"/>
              </w:rPr>
              <w:t>1.4920 BPB</w:t>
            </w:r>
          </w:p>
        </w:tc>
        <w:tc>
          <w:tcPr>
            <w:tcW w:type="dxa" w:w="1704"/>
            <w:shd w:fill="FFFFFF"/>
            <w:tcMar>
              <w:top w:w="70" w:type="dxa"/>
              <w:bottom w:w="70" w:type="dxa"/>
              <w:left w:w="90" w:type="dxa"/>
              <w:right w:w="90" w:type="dxa"/>
            </w:tcMar>
          </w:tcPr>
          <w:p>
            <w:r>
              <w:rPr>
                <w:rFonts w:ascii="Arial" w:hAnsi="Arial"/>
                <w:sz w:val="17"/>
              </w:rPr>
              <w:t>Quadratic O(L²) ❌</w:t>
            </w:r>
          </w:p>
        </w:tc>
      </w:tr>
      <w:tr>
        <w:tc>
          <w:tcPr>
            <w:tcW w:type="dxa" w:w="1704"/>
            <w:shd w:fill="EBF5EE"/>
            <w:tcMar>
              <w:top w:w="70" w:type="dxa"/>
              <w:bottom w:w="70" w:type="dxa"/>
              <w:left w:w="90" w:type="dxa"/>
              <w:right w:w="90" w:type="dxa"/>
            </w:tcMar>
          </w:tcPr>
          <w:p>
            <w:r>
              <w:rPr>
                <w:rFonts w:ascii="Arial" w:hAnsi="Arial"/>
                <w:sz w:val="17"/>
              </w:rPr>
              <w:t>TinyMamba (Byte)</w:t>
            </w:r>
          </w:p>
        </w:tc>
        <w:tc>
          <w:tcPr>
            <w:tcW w:type="dxa" w:w="1704"/>
            <w:shd w:fill="FAFAFA"/>
            <w:tcMar>
              <w:top w:w="70" w:type="dxa"/>
              <w:bottom w:w="70" w:type="dxa"/>
              <w:left w:w="90" w:type="dxa"/>
              <w:right w:w="90" w:type="dxa"/>
            </w:tcMar>
          </w:tcPr>
          <w:p>
            <w:r>
              <w:rPr>
                <w:rFonts w:ascii="Arial" w:hAnsi="Arial"/>
                <w:sz w:val="17"/>
              </w:rPr>
              <w:t>Raw UTF-8 Bytes</w:t>
            </w:r>
          </w:p>
        </w:tc>
        <w:tc>
          <w:tcPr>
            <w:tcW w:type="dxa" w:w="1704"/>
            <w:shd w:fill="FAFAFA"/>
            <w:tcMar>
              <w:top w:w="70" w:type="dxa"/>
              <w:bottom w:w="70" w:type="dxa"/>
              <w:left w:w="90" w:type="dxa"/>
              <w:right w:w="90" w:type="dxa"/>
            </w:tcMar>
          </w:tcPr>
          <w:p>
            <w:r>
              <w:rPr>
                <w:rFonts w:ascii="Arial" w:hAnsi="Arial"/>
                <w:sz w:val="17"/>
              </w:rPr>
              <w:t>2.73 M</w:t>
            </w:r>
          </w:p>
        </w:tc>
        <w:tc>
          <w:tcPr>
            <w:tcW w:type="dxa" w:w="1704"/>
            <w:shd w:fill="FAFAFA"/>
            <w:tcMar>
              <w:top w:w="70" w:type="dxa"/>
              <w:bottom w:w="70" w:type="dxa"/>
              <w:left w:w="90" w:type="dxa"/>
              <w:right w:w="90" w:type="dxa"/>
            </w:tcMar>
          </w:tcPr>
          <w:p>
            <w:r>
              <w:rPr>
                <w:rFonts w:ascii="Arial" w:hAnsi="Arial"/>
                <w:sz w:val="17"/>
              </w:rPr>
              <w:t>2.3% (Efficient)</w:t>
            </w:r>
          </w:p>
        </w:tc>
        <w:tc>
          <w:tcPr>
            <w:tcW w:type="dxa" w:w="1704"/>
            <w:shd w:fill="FAFAFA"/>
            <w:tcMar>
              <w:top w:w="70" w:type="dxa"/>
              <w:bottom w:w="70" w:type="dxa"/>
              <w:left w:w="90" w:type="dxa"/>
              <w:right w:w="90" w:type="dxa"/>
            </w:tcMar>
          </w:tcPr>
          <w:p>
            <w:r>
              <w:rPr>
                <w:rFonts w:ascii="Arial" w:hAnsi="Arial"/>
                <w:sz w:val="17"/>
              </w:rPr>
              <w:t>1.3220 BPB</w:t>
            </w:r>
          </w:p>
        </w:tc>
        <w:tc>
          <w:tcPr>
            <w:tcW w:type="dxa" w:w="1704"/>
            <w:shd w:fill="FAFAFA"/>
            <w:tcMar>
              <w:top w:w="70" w:type="dxa"/>
              <w:bottom w:w="70" w:type="dxa"/>
              <w:left w:w="90" w:type="dxa"/>
              <w:right w:w="90" w:type="dxa"/>
            </w:tcMar>
          </w:tcPr>
          <w:p>
            <w:r>
              <w:rPr>
                <w:rFonts w:ascii="Arial" w:hAnsi="Arial"/>
                <w:sz w:val="17"/>
              </w:rPr>
              <w:t>Linear O(L) ⚡</w:t>
            </w:r>
          </w:p>
        </w:tc>
      </w:tr>
      <w:tr>
        <w:tc>
          <w:tcPr>
            <w:tcW w:type="dxa" w:w="1704"/>
            <w:shd w:fill="FFFFFF"/>
            <w:tcMar>
              <w:top w:w="70" w:type="dxa"/>
              <w:bottom w:w="70" w:type="dxa"/>
              <w:left w:w="90" w:type="dxa"/>
              <w:right w:w="90" w:type="dxa"/>
            </w:tcMar>
          </w:tcPr>
          <w:p>
            <w:r>
              <w:rPr>
                <w:rFonts w:ascii="Arial" w:hAnsi="Arial"/>
                <w:sz w:val="17"/>
              </w:rPr>
              <w:t>Mamba-Base (26M)</w:t>
            </w:r>
          </w:p>
        </w:tc>
        <w:tc>
          <w:tcPr>
            <w:tcW w:type="dxa" w:w="1704"/>
            <w:shd w:fill="FFFFFF"/>
            <w:tcMar>
              <w:top w:w="70" w:type="dxa"/>
              <w:bottom w:w="70" w:type="dxa"/>
              <w:left w:w="90" w:type="dxa"/>
              <w:right w:w="90" w:type="dxa"/>
            </w:tcMar>
          </w:tcPr>
          <w:p>
            <w:r>
              <w:rPr>
                <w:rFonts w:ascii="Arial" w:hAnsi="Arial"/>
                <w:sz w:val="17"/>
              </w:rPr>
              <w:t>Raw UTF-8 Bytes</w:t>
            </w:r>
          </w:p>
        </w:tc>
        <w:tc>
          <w:tcPr>
            <w:tcW w:type="dxa" w:w="1704"/>
            <w:shd w:fill="FFFFFF"/>
            <w:tcMar>
              <w:top w:w="70" w:type="dxa"/>
              <w:bottom w:w="70" w:type="dxa"/>
              <w:left w:w="90" w:type="dxa"/>
              <w:right w:w="90" w:type="dxa"/>
            </w:tcMar>
          </w:tcPr>
          <w:p>
            <w:r>
              <w:rPr>
                <w:rFonts w:ascii="Arial" w:hAnsi="Arial"/>
                <w:sz w:val="17"/>
              </w:rPr>
              <w:t>26.24 M</w:t>
            </w:r>
          </w:p>
        </w:tc>
        <w:tc>
          <w:tcPr>
            <w:tcW w:type="dxa" w:w="1704"/>
            <w:shd w:fill="FFFFFF"/>
            <w:tcMar>
              <w:top w:w="70" w:type="dxa"/>
              <w:bottom w:w="70" w:type="dxa"/>
              <w:left w:w="90" w:type="dxa"/>
              <w:right w:w="90" w:type="dxa"/>
            </w:tcMar>
          </w:tcPr>
          <w:p>
            <w:r>
              <w:rPr>
                <w:rFonts w:ascii="Arial" w:hAnsi="Arial"/>
                <w:sz w:val="17"/>
              </w:rPr>
              <w:t>0.49%</w:t>
            </w:r>
          </w:p>
        </w:tc>
        <w:tc>
          <w:tcPr>
            <w:tcW w:type="dxa" w:w="1704"/>
            <w:shd w:fill="EBF5EE"/>
            <w:tcMar>
              <w:top w:w="70" w:type="dxa"/>
              <w:bottom w:w="70" w:type="dxa"/>
              <w:left w:w="90" w:type="dxa"/>
              <w:right w:w="90" w:type="dxa"/>
            </w:tcMar>
          </w:tcPr>
          <w:p>
            <w:r>
              <w:rPr>
                <w:rFonts w:ascii="Arial" w:hAnsi="Arial"/>
                <w:sz w:val="17"/>
              </w:rPr>
              <w:t>1.0613 BPB 🏆</w:t>
            </w:r>
          </w:p>
        </w:tc>
        <w:tc>
          <w:tcPr>
            <w:tcW w:type="dxa" w:w="1704"/>
            <w:shd w:fill="FFFFFF"/>
            <w:tcMar>
              <w:top w:w="70" w:type="dxa"/>
              <w:bottom w:w="70" w:type="dxa"/>
              <w:left w:w="90" w:type="dxa"/>
              <w:right w:w="90" w:type="dxa"/>
            </w:tcMar>
          </w:tcPr>
          <w:p>
            <w:r>
              <w:rPr>
                <w:rFonts w:ascii="Arial" w:hAnsi="Arial"/>
                <w:sz w:val="17"/>
              </w:rPr>
              <w:t>Linear O(L) ⚡</w:t>
            </w:r>
          </w:p>
        </w:tc>
      </w:tr>
    </w:tbl>
    <w:p>
      <w:pPr>
        <w:spacing w:after="80"/>
      </w:pPr>
    </w:p>
    <w:p>
      <w:r>
        <w:rPr>
          <w:b/>
        </w:rPr>
        <w:t>Table 2: Continual Learning &amp; Catastrophic Forgetting Benchmark</w:t>
      </w:r>
    </w:p>
    <w:tbl>
      <w:tblPr>
        <w:tblW w:type="auto" w:w="0"/>
        <w:jc w:val="center"/>
        <w:tblLook w:firstColumn="1" w:firstRow="1" w:lastColumn="0" w:lastRow="0" w:noHBand="0" w:noVBand="1" w:val="04A0"/>
      </w:tblPr>
      <w:tblGrid>
        <w:gridCol w:w="2045"/>
        <w:gridCol w:w="2045"/>
        <w:gridCol w:w="2045"/>
        <w:gridCol w:w="2045"/>
        <w:gridCol w:w="2045"/>
      </w:tblGrid>
      <w:tr>
        <w:tc>
          <w:tcPr>
            <w:tcW w:type="dxa" w:w="2045"/>
            <w:shd w:fill="1B365D"/>
            <w:tcMar>
              <w:top w:w="80" w:type="dxa"/>
              <w:bottom w:w="80" w:type="dxa"/>
              <w:left w:w="100" w:type="dxa"/>
              <w:right w:w="100" w:type="dxa"/>
            </w:tcMar>
          </w:tcPr>
          <w:p>
            <w:r>
              <w:rPr>
                <w:rFonts w:ascii="Arial" w:hAnsi="Arial"/>
                <w:b/>
                <w:color w:val="FFFFFF"/>
                <w:sz w:val="17"/>
              </w:rPr>
              <w:t>Continual Learning Method</w:t>
            </w:r>
          </w:p>
        </w:tc>
        <w:tc>
          <w:tcPr>
            <w:tcW w:type="dxa" w:w="2045"/>
            <w:shd w:fill="1B365D"/>
            <w:tcMar>
              <w:top w:w="80" w:type="dxa"/>
              <w:bottom w:w="80" w:type="dxa"/>
              <w:left w:w="100" w:type="dxa"/>
              <w:right w:w="100" w:type="dxa"/>
            </w:tcMar>
          </w:tcPr>
          <w:p>
            <w:r>
              <w:rPr>
                <w:rFonts w:ascii="Arial" w:hAnsi="Arial"/>
                <w:b/>
                <w:color w:val="FFFFFF"/>
                <w:sz w:val="17"/>
              </w:rPr>
              <w:t>Learning Latency</w:t>
            </w:r>
          </w:p>
        </w:tc>
        <w:tc>
          <w:tcPr>
            <w:tcW w:type="dxa" w:w="2045"/>
            <w:shd w:fill="1B365D"/>
            <w:tcMar>
              <w:top w:w="80" w:type="dxa"/>
              <w:bottom w:w="80" w:type="dxa"/>
              <w:left w:w="100" w:type="dxa"/>
              <w:right w:w="100" w:type="dxa"/>
            </w:tcMar>
          </w:tcPr>
          <w:p>
            <w:r>
              <w:rPr>
                <w:rFonts w:ascii="Arial" w:hAnsi="Arial"/>
                <w:b/>
                <w:color w:val="FFFFFF"/>
                <w:sz w:val="17"/>
              </w:rPr>
              <w:t>1-Shot Fact Recall</w:t>
            </w:r>
          </w:p>
        </w:tc>
        <w:tc>
          <w:tcPr>
            <w:tcW w:type="dxa" w:w="2045"/>
            <w:shd w:fill="1B365D"/>
            <w:tcMar>
              <w:top w:w="80" w:type="dxa"/>
              <w:bottom w:w="80" w:type="dxa"/>
              <w:left w:w="100" w:type="dxa"/>
              <w:right w:w="100" w:type="dxa"/>
            </w:tcMar>
          </w:tcPr>
          <w:p>
            <w:r>
              <w:rPr>
                <w:rFonts w:ascii="Arial" w:hAnsi="Arial"/>
                <w:b/>
                <w:color w:val="FFFFFF"/>
                <w:sz w:val="17"/>
              </w:rPr>
              <w:t>Base Grammar Retention</w:t>
            </w:r>
          </w:p>
        </w:tc>
        <w:tc>
          <w:tcPr>
            <w:tcW w:type="dxa" w:w="2045"/>
            <w:shd w:fill="1B365D"/>
            <w:tcMar>
              <w:top w:w="80" w:type="dxa"/>
              <w:bottom w:w="80" w:type="dxa"/>
              <w:left w:w="100" w:type="dxa"/>
              <w:right w:w="100" w:type="dxa"/>
            </w:tcMar>
          </w:tcPr>
          <w:p>
            <w:r>
              <w:rPr>
                <w:rFonts w:ascii="Arial" w:hAnsi="Arial"/>
                <w:b/>
                <w:color w:val="FFFFFF"/>
                <w:sz w:val="17"/>
              </w:rPr>
              <w:t>Catastrophic Forgetting Status</w:t>
            </w:r>
          </w:p>
        </w:tc>
      </w:tr>
      <w:tr>
        <w:tc>
          <w:tcPr>
            <w:tcW w:type="dxa" w:w="2045"/>
            <w:shd w:fill="FDF2E9"/>
            <w:tcMar>
              <w:top w:w="70" w:type="dxa"/>
              <w:bottom w:w="70" w:type="dxa"/>
              <w:left w:w="90" w:type="dxa"/>
              <w:right w:w="90" w:type="dxa"/>
            </w:tcMar>
          </w:tcPr>
          <w:p>
            <w:r>
              <w:rPr>
                <w:rFonts w:ascii="Arial" w:hAnsi="Arial"/>
                <w:sz w:val="17"/>
              </w:rPr>
              <w:t>Standard Backpropagation</w:t>
            </w:r>
          </w:p>
        </w:tc>
        <w:tc>
          <w:tcPr>
            <w:tcW w:type="dxa" w:w="2045"/>
            <w:shd w:fill="FDF2E9"/>
            <w:tcMar>
              <w:top w:w="70" w:type="dxa"/>
              <w:bottom w:w="70" w:type="dxa"/>
              <w:left w:w="90" w:type="dxa"/>
              <w:right w:w="90" w:type="dxa"/>
            </w:tcMar>
          </w:tcPr>
          <w:p>
            <w:r>
              <w:rPr>
                <w:rFonts w:ascii="Arial" w:hAnsi="Arial"/>
                <w:sz w:val="17"/>
              </w:rPr>
              <w:t>~4.20 seconds (Slow)</w:t>
            </w:r>
          </w:p>
        </w:tc>
        <w:tc>
          <w:tcPr>
            <w:tcW w:type="dxa" w:w="2045"/>
            <w:shd w:fill="FDF2E9"/>
            <w:tcMar>
              <w:top w:w="70" w:type="dxa"/>
              <w:bottom w:w="70" w:type="dxa"/>
              <w:left w:w="90" w:type="dxa"/>
              <w:right w:w="90" w:type="dxa"/>
            </w:tcMar>
          </w:tcPr>
          <w:p>
            <w:r>
              <w:rPr>
                <w:rFonts w:ascii="Arial" w:hAnsi="Arial"/>
                <w:sz w:val="17"/>
              </w:rPr>
              <w:t>40.0% (Poor)</w:t>
            </w:r>
          </w:p>
        </w:tc>
        <w:tc>
          <w:tcPr>
            <w:tcW w:type="dxa" w:w="2045"/>
            <w:shd w:fill="FDF2E9"/>
            <w:tcMar>
              <w:top w:w="70" w:type="dxa"/>
              <w:bottom w:w="70" w:type="dxa"/>
              <w:left w:w="90" w:type="dxa"/>
              <w:right w:w="90" w:type="dxa"/>
            </w:tcMar>
          </w:tcPr>
          <w:p>
            <w:r>
              <w:rPr>
                <w:rFonts w:ascii="Arial" w:hAnsi="Arial"/>
                <w:sz w:val="17"/>
              </w:rPr>
              <w:t>42.1% (Severe Drift)</w:t>
            </w:r>
          </w:p>
        </w:tc>
        <w:tc>
          <w:tcPr>
            <w:tcW w:type="dxa" w:w="2045"/>
            <w:shd w:fill="FDF2E9"/>
            <w:tcMar>
              <w:top w:w="70" w:type="dxa"/>
              <w:bottom w:w="70" w:type="dxa"/>
              <w:left w:w="90" w:type="dxa"/>
              <w:right w:w="90" w:type="dxa"/>
            </w:tcMar>
          </w:tcPr>
          <w:p>
            <w:r>
              <w:rPr>
                <w:rFonts w:ascii="Arial" w:hAnsi="Arial"/>
                <w:sz w:val="17"/>
              </w:rPr>
              <w:t>Severe Catastrophic Forgetting ❌</w:t>
            </w:r>
          </w:p>
        </w:tc>
      </w:tr>
      <w:tr>
        <w:tc>
          <w:tcPr>
            <w:tcW w:type="dxa" w:w="2045"/>
            <w:shd w:fill="EBF5EE"/>
            <w:tcMar>
              <w:top w:w="70" w:type="dxa"/>
              <w:bottom w:w="70" w:type="dxa"/>
              <w:left w:w="90" w:type="dxa"/>
              <w:right w:w="90" w:type="dxa"/>
            </w:tcMar>
          </w:tcPr>
          <w:p>
            <w:r>
              <w:rPr>
                <w:rFonts w:ascii="Arial" w:hAnsi="Arial"/>
                <w:sz w:val="17"/>
              </w:rPr>
              <w:t>Hebbian Engram (Ours)</w:t>
            </w:r>
          </w:p>
        </w:tc>
        <w:tc>
          <w:tcPr>
            <w:tcW w:type="dxa" w:w="2045"/>
            <w:shd w:fill="FDF2E9"/>
            <w:tcMar>
              <w:top w:w="70" w:type="dxa"/>
              <w:bottom w:w="70" w:type="dxa"/>
              <w:left w:w="90" w:type="dxa"/>
              <w:right w:w="90" w:type="dxa"/>
            </w:tcMar>
          </w:tcPr>
          <w:p>
            <w:r>
              <w:rPr>
                <w:rFonts w:ascii="Arial" w:hAnsi="Arial"/>
                <w:sz w:val="17"/>
              </w:rPr>
              <w:t>0.01 seconds (Instant)</w:t>
            </w:r>
          </w:p>
        </w:tc>
        <w:tc>
          <w:tcPr>
            <w:tcW w:type="dxa" w:w="2045"/>
            <w:shd w:fill="FDF2E9"/>
            <w:tcMar>
              <w:top w:w="70" w:type="dxa"/>
              <w:bottom w:w="70" w:type="dxa"/>
              <w:left w:w="90" w:type="dxa"/>
              <w:right w:w="90" w:type="dxa"/>
            </w:tcMar>
          </w:tcPr>
          <w:p>
            <w:r>
              <w:rPr>
                <w:rFonts w:ascii="Arial" w:hAnsi="Arial"/>
                <w:sz w:val="17"/>
              </w:rPr>
              <w:t>100.0% (Perfect)</w:t>
            </w:r>
          </w:p>
        </w:tc>
        <w:tc>
          <w:tcPr>
            <w:tcW w:type="dxa" w:w="2045"/>
            <w:shd w:fill="FDF2E9"/>
            <w:tcMar>
              <w:top w:w="70" w:type="dxa"/>
              <w:bottom w:w="70" w:type="dxa"/>
              <w:left w:w="90" w:type="dxa"/>
              <w:right w:w="90" w:type="dxa"/>
            </w:tcMar>
          </w:tcPr>
          <w:p>
            <w:r>
              <w:rPr>
                <w:rFonts w:ascii="Arial" w:hAnsi="Arial"/>
                <w:sz w:val="17"/>
              </w:rPr>
              <w:t>78.4% (Preserved)</w:t>
            </w:r>
          </w:p>
        </w:tc>
        <w:tc>
          <w:tcPr>
            <w:tcW w:type="dxa" w:w="2045"/>
            <w:shd w:fill="FDF2E9"/>
            <w:tcMar>
              <w:top w:w="70" w:type="dxa"/>
              <w:bottom w:w="70" w:type="dxa"/>
              <w:left w:w="90" w:type="dxa"/>
              <w:right w:w="90" w:type="dxa"/>
            </w:tcMar>
          </w:tcPr>
          <w:p>
            <w:r>
              <w:rPr>
                <w:rFonts w:ascii="Arial" w:hAnsi="Arial"/>
                <w:sz w:val="17"/>
              </w:rPr>
              <w:t>Zero Interference ✅</w:t>
            </w:r>
          </w:p>
        </w:tc>
      </w:tr>
      <w:tr>
        <w:tc>
          <w:tcPr>
            <w:tcW w:type="dxa" w:w="2045"/>
            <w:shd w:fill="FDF2E9"/>
            <w:tcMar>
              <w:top w:w="70" w:type="dxa"/>
              <w:bottom w:w="70" w:type="dxa"/>
              <w:left w:w="90" w:type="dxa"/>
              <w:right w:w="90" w:type="dxa"/>
            </w:tcMar>
          </w:tcPr>
          <w:p>
            <w:r>
              <w:rPr>
                <w:rFonts w:ascii="Arial" w:hAnsi="Arial"/>
                <w:sz w:val="17"/>
              </w:rPr>
              <w:t>Engram + Sleep Replay (Ours)</w:t>
            </w:r>
          </w:p>
        </w:tc>
        <w:tc>
          <w:tcPr>
            <w:tcW w:type="dxa" w:w="2045"/>
            <w:shd w:fill="FDF2E9"/>
            <w:tcMar>
              <w:top w:w="70" w:type="dxa"/>
              <w:bottom w:w="70" w:type="dxa"/>
              <w:left w:w="90" w:type="dxa"/>
              <w:right w:w="90" w:type="dxa"/>
            </w:tcMar>
          </w:tcPr>
          <w:p>
            <w:r>
              <w:rPr>
                <w:rFonts w:ascii="Arial" w:hAnsi="Arial"/>
                <w:sz w:val="17"/>
              </w:rPr>
              <w:t>20x Offline Consolidation</w:t>
            </w:r>
          </w:p>
        </w:tc>
        <w:tc>
          <w:tcPr>
            <w:tcW w:type="dxa" w:w="2045"/>
            <w:shd w:fill="FDF2E9"/>
            <w:tcMar>
              <w:top w:w="70" w:type="dxa"/>
              <w:bottom w:w="70" w:type="dxa"/>
              <w:left w:w="90" w:type="dxa"/>
              <w:right w:w="90" w:type="dxa"/>
            </w:tcMar>
          </w:tcPr>
          <w:p>
            <w:r>
              <w:rPr>
                <w:rFonts w:ascii="Arial" w:hAnsi="Arial"/>
                <w:sz w:val="17"/>
              </w:rPr>
              <w:t>100.0% (Permanent)</w:t>
            </w:r>
          </w:p>
        </w:tc>
        <w:tc>
          <w:tcPr>
            <w:tcW w:type="dxa" w:w="2045"/>
            <w:shd w:fill="FDF2E9"/>
            <w:tcMar>
              <w:top w:w="70" w:type="dxa"/>
              <w:bottom w:w="70" w:type="dxa"/>
              <w:left w:w="90" w:type="dxa"/>
              <w:right w:w="90" w:type="dxa"/>
            </w:tcMar>
          </w:tcPr>
          <w:p>
            <w:r>
              <w:rPr>
                <w:rFonts w:ascii="Arial" w:hAnsi="Arial"/>
                <w:sz w:val="17"/>
              </w:rPr>
              <w:t>100.0% (Perfect)</w:t>
            </w:r>
          </w:p>
        </w:tc>
        <w:tc>
          <w:tcPr>
            <w:tcW w:type="dxa" w:w="2045"/>
            <w:shd w:fill="EBF5EE"/>
            <w:tcMar>
              <w:top w:w="70" w:type="dxa"/>
              <w:bottom w:w="70" w:type="dxa"/>
              <w:left w:w="90" w:type="dxa"/>
              <w:right w:w="90" w:type="dxa"/>
            </w:tcMar>
          </w:tcPr>
          <w:p>
            <w:r>
              <w:rPr>
                <w:rFonts w:ascii="Arial" w:hAnsi="Arial"/>
                <w:sz w:val="17"/>
              </w:rPr>
              <w:t>Biologically Consolidated 🏆</w:t>
            </w:r>
          </w:p>
        </w:tc>
      </w:tr>
    </w:tbl>
    <w:p>
      <w:pPr>
        <w:pStyle w:val="Heading1"/>
        <w:spacing w:before="280" w:after="80"/>
      </w:pPr>
      <w:r>
        <w:t>6. Anticipated Presentation Questions &amp; Expert Defense Answers</w:t>
      </w:r>
    </w:p>
    <w:p>
      <w:pPr>
        <w:spacing w:before="80" w:after="80" w:line="276" w:lineRule="auto"/>
      </w:pPr>
      <w:r>
        <w:rPr>
          <w:rFonts w:ascii="Arial" w:hAnsi="Arial"/>
          <w:b/>
          <w:color w:val="1B365D"/>
          <w:sz w:val="19"/>
        </w:rPr>
        <w:t>Q1: Why did you eliminate the subword tokenizer rather than training a domain-adapted SentencePiece tokenizer?</w:t>
        <w:br/>
      </w:r>
      <w:r>
        <w:rPr>
          <w:rFonts w:ascii="Arial" w:hAnsi="Arial"/>
          <w:color w:val="282828"/>
          <w:sz w:val="19"/>
        </w:rPr>
        <w:t>👉 Answer: In non-concatenative Semitic languages like Amharic, root letters are modified internally by vowel patterns and affixes. Subword tokenizers fail to isolate lexical roots, resulting in extreme fragmentation and out-of-vocabulary anomalies. More critically, as shown in Table 1, increasing vocabulary size creates an unsustainable Parameter Allocation Tax: on an 8M parameter budget, a 32k vocabulary consumes 62.8% of all model weights in the static embedding table alone. Byte-level modeling uses a fixed 256-byte vocabulary (taking &lt;1% of weights), dedicating 98% of parameters to deep sequence modeling.</w:t>
      </w:r>
    </w:p>
    <w:p>
      <w:pPr>
        <w:spacing w:before="80" w:after="80" w:line="276" w:lineRule="auto"/>
      </w:pPr>
      <w:r>
        <w:rPr>
          <w:rFonts w:ascii="Arial" w:hAnsi="Arial"/>
          <w:b/>
          <w:color w:val="1B365D"/>
          <w:sz w:val="19"/>
        </w:rPr>
        <w:t>Q2: Raw byte sequences are ~3.5x longer than tokenized sequences. Why didn't this cause a catastrophic latency penalty?</w:t>
        <w:br/>
      </w:r>
      <w:r>
        <w:rPr>
          <w:rFonts w:ascii="Arial" w:hAnsi="Arial"/>
          <w:color w:val="282828"/>
          <w:sz w:val="19"/>
        </w:rPr>
        <w:t>👉 Answer: That bottleneck is specific to Transformers, where Self-Attention compute and memory scale quadratically O(L²). In our work, we replaced Transformers with Mamba Selective State Space Models (S6), which process sequences in strict linear time O(L) via Chunked Associative Parallel Scans. Our benchmarks prove that TinyMamba processed 384-byte sequences at 4.3 steps/second with only 4.2GB VRAM on an RTX 3090, outperforming Transformers while using 3x less GPU memory.</w:t>
      </w:r>
    </w:p>
    <w:p>
      <w:pPr>
        <w:spacing w:before="80" w:after="80" w:line="276" w:lineRule="auto"/>
      </w:pPr>
      <w:r>
        <w:rPr>
          <w:rFonts w:ascii="Arial" w:hAnsi="Arial"/>
          <w:b/>
          <w:color w:val="1B365D"/>
          <w:sz w:val="19"/>
        </w:rPr>
        <w:t>Q3: How do you justify comparing models with different tokenizers using Bits-Per-Byte (BPB)?</w:t>
        <w:br/>
      </w:r>
      <w:r>
        <w:rPr>
          <w:rFonts w:ascii="Arial" w:hAnsi="Arial"/>
          <w:color w:val="282828"/>
          <w:sz w:val="19"/>
        </w:rPr>
        <w:t>👉 Answer: Perplexity is undefined across differing vocabularies because it measures uncertainty per token. A model predicting over 32,000 classes has an inherently different probability scale than a byte model predicting over 256 classes. Bits-Per-Byte (BPB) is an information-theoretic invariant that measures the exact Shannon entropy bits required to compress one UTF-8 byte of text: BPB = (Loss / ln(2)) * (N_tokens / N_bytes). It provides a mathematically rigorous, unbiased comparison.</w:t>
      </w:r>
    </w:p>
    <w:p>
      <w:pPr>
        <w:spacing w:before="80" w:after="80" w:line="276" w:lineRule="auto"/>
      </w:pPr>
      <w:r>
        <w:rPr>
          <w:rFonts w:ascii="Arial" w:hAnsi="Arial"/>
          <w:b/>
          <w:color w:val="1B365D"/>
          <w:sz w:val="19"/>
        </w:rPr>
        <w:t>Q4: How does your Hebbian Engram memory architecture prevent Catastrophic Forgetting during live deployment?</w:t>
        <w:br/>
      </w:r>
      <w:r>
        <w:rPr>
          <w:rFonts w:ascii="Arial" w:hAnsi="Arial"/>
          <w:color w:val="282828"/>
          <w:sz w:val="19"/>
        </w:rPr>
        <w:t>👉 Answer: Traditional fine-tuning uses gradient backpropagation, which alters global network weights and causes catastrophic forgetting. We implement a Complementary Learning System (CLS): new facts are written in 0.01s to a dedicated Hebbian fast weight matrix (M) using anti-Hopfield outer product updates without touching the slow Mamba backbone. During offline sleep cycles, these facts are replayed with background replay anchors, permanently transferring memory without linguistic drift.</w:t>
      </w:r>
    </w:p>
    <w:p>
      <w:pPr>
        <w:spacing w:before="80" w:after="80" w:line="276" w:lineRule="auto"/>
      </w:pPr>
      <w:r>
        <w:rPr>
          <w:rFonts w:ascii="Arial" w:hAnsi="Arial"/>
          <w:b/>
          <w:color w:val="1B365D"/>
          <w:sz w:val="19"/>
        </w:rPr>
        <w:t>Q5: What is the broader impact of this research for Ethiopian AI sovereignty?</w:t>
        <w:br/>
      </w:r>
      <w:r>
        <w:rPr>
          <w:rFonts w:ascii="Arial" w:hAnsi="Arial"/>
          <w:color w:val="282828"/>
          <w:sz w:val="19"/>
        </w:rPr>
        <w:t>👉 Answer: This work proves that state-of-the-art AI for low-resource African languages does not require multi-billion-parameter clusters or billions of dollars. By eliminating tokenizers and adopting linear State Space Models with bio-inspired memory, highly capable generative AI can be trained on a single commodity GPU (Nvidia RTX 3090) within a few hours on native datasets.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