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B365D"/>
          <w:sz w:val="40"/>
        </w:rPr>
        <w:t>Byte-Level Mamba vs. Transformer for Amharic with Brain-Inspired Continual Learning</w:t>
      </w:r>
    </w:p>
    <w:p>
      <w:pPr>
        <w:spacing w:after="280"/>
      </w:pPr>
      <w:r>
        <w:rPr>
          <w:b/>
          <w:sz w:val="24"/>
        </w:rPr>
        <w:t>Beknan Chemeda</w:t>
        <w:br/>
      </w:r>
      <w:r>
        <w:rPr>
          <w:i/>
          <w:color w:val="555555"/>
          <w:sz w:val="20"/>
        </w:rPr>
        <w:t>Data and Compute-Efficient Generative AI Research Initiative</w:t>
        <w:br/>
        <w:t>Code &amp; Data Repository: https://github.com/BekiChemeda/ML-Research</w:t>
      </w:r>
    </w:p>
    <w:p>
      <w:pPr>
        <w:spacing w:before="80" w:after="240"/>
        <w:ind w:left="288" w:right="288"/>
      </w:pPr>
      <w:r>
        <w:rPr>
          <w:b/>
          <w:color w:val="1B365D"/>
          <w:sz w:val="23"/>
        </w:rPr>
        <w:t>Simple Summary (Abstract)</w:t>
        <w:br/>
      </w:r>
      <w:r>
        <w:t>Current large language models require vast computational budgets and billions of tokens. For Amharic, clean digital corpora total fewer than 500 million tokens globally.</w:t>
        <w:br/>
        <w:br/>
        <w:t>Standard NLP pipelines rely on subword tokenization, which severely fractures Ge'ez characters into multiple bytes, degrading Transformer efficiency through quadratic attention overhead.</w:t>
        <w:br/>
        <w:br/>
        <w:t>This paper presents a complete, reproducible, token-free methodology:</w:t>
        <w:br/>
        <w:t>1. Byte-Level Mamba vs. Transformer: Eliminating tokenizers in favor of direct UTF-8 byte inputs, TinyMamba (2.7M parameters) achieves 1.322 Bits-per-Byte (BPB), outperforming a 13.0M parameter subword Transformer (1.579 BPB) where 62.8% of weights are consumed by vocabulary embeddings.</w:t>
        <w:br/>
        <w:t>2. Brain-Inspired Continual Learning: Based on Complementary Learning Systems (CLS) theory, we implement a dual-memory system that absorbs new news facts in 0.01 seconds via Hebbian engrams and consolidates them into Mamba weights during offline sleep replay (78.4% to 100% grammar retention).</w:t>
        <w:br/>
        <w:t>3. Supervised Fine-Tuning (SFT): Aligned on 2,035 native instruction pairs, Mamba achieves clean early stopping and natural conversation tone.</w:t>
      </w:r>
    </w:p>
    <w:p>
      <w:pPr>
        <w:keepNext/>
        <w:spacing w:before="320" w:after="100"/>
      </w:pPr>
      <w:r>
        <w:rPr>
          <w:rFonts w:ascii="Calibri" w:hAnsi="Calibri"/>
          <w:b/>
          <w:color w:val="1B365D"/>
          <w:sz w:val="28"/>
        </w:rPr>
        <w:t>1. Introduction</w:t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Why Amharic is Challenging for AI</w:t>
      </w:r>
    </w:p>
    <w:p>
      <w:pPr>
        <w:spacing w:before="0" w:after="100" w:line="276" w:lineRule="auto"/>
      </w:pPr>
      <w:r>
        <w:t>Amharic is spoken by over 50 million people in Ethiopia and is written in the Ge'ez script (Unicode block U+1200 to U+137F). While mainstream models are trained on massive English web crawls, clean digital Amharic text is scarce. Training standard large models on Amharic quickly hits a data ceiling.</w:t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The Tokenizer Problem (The Token Tax)</w:t>
      </w:r>
    </w:p>
    <w:p>
      <w:pPr>
        <w:spacing w:before="0" w:after="100" w:line="276" w:lineRule="auto"/>
      </w:pPr>
      <w:r>
        <w:t>Standard tokenizers break words into numerical IDs. Because Ge'ez characters comprise 3 UTF-8 bytes each, a single Amharic word is routinely split into 7 to 10 subword fragments. This Token Tax forces Transformers to process inflated sequence lengths under quadratic self-attention complexity O(L^2). In contrast, Mamba models process long byte sequences in linear time O(L), making byte-level modeling practical and efficient.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arameter_allocation_ta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555555"/>
          <w:sz w:val="19"/>
        </w:rPr>
        <w:t>Figure 1: Parameter allocation breakdown showing 62.8% vocabulary waste in standard subword Transformers vs 95.2% core compute efficiency in Byte-Level Mamba.</w:t>
      </w:r>
    </w:p>
    <w:p>
      <w:pPr>
        <w:keepNext/>
        <w:spacing w:before="320" w:after="100"/>
      </w:pPr>
      <w:r>
        <w:rPr>
          <w:rFonts w:ascii="Calibri" w:hAnsi="Calibri"/>
          <w:b/>
          <w:color w:val="1B365D"/>
          <w:sz w:val="28"/>
        </w:rPr>
        <w:t>2. Scientific Lineage and Research Sources</w:t>
      </w:r>
    </w:p>
    <w:p>
      <w:pPr>
        <w:spacing w:before="0" w:after="100" w:line="276" w:lineRule="auto"/>
      </w:pPr>
      <w:r>
        <w:t>This work builds directly on foundational discoveries across machine learning and neuroscience:</w:t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A. Amharic Data Ceiling and Morphology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Andersland (2024) [Amharic LLaMA]: </w:t>
      </w:r>
      <w:r>
        <w:t>Established that total clean digital Amharic text is below 500 million tokens, necessitating data-efficient architectures.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Azime et al. (2024) [Walia-LLM]: </w:t>
      </w:r>
      <w:r>
        <w:t>Demonstrated that machine-translated Amharic introduces translationese and errors, proving the necessity of 100% native human curation.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Gasser (2011) [HornMorpho]: </w:t>
      </w:r>
      <w:r>
        <w:t>Analyzed the root-and-pattern morphology of Ethiopian Semitic languages, demonstrating the structural limitations of standard BPE tokenizers.</w:t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B. The Token Tax and Token-Free Models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Lundin et al. (2026) [The Token Tax]: </w:t>
      </w:r>
      <w:r>
        <w:t>Showed that tokenizers impose disproportionate compute costs on African languages, multiplying sequence lengths by up to 7x.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Xue et al. (2021) [Google ByT5]: </w:t>
      </w:r>
      <w:r>
        <w:t>Proved that operating directly on UTF-8 bytes improves noise robustness and morphological generalization in low-resource settings.</w:t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C. Linear-Time State-Space Architectures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Gu and Dao (2023) [Mamba]: </w:t>
      </w:r>
      <w:r>
        <w:t>Introduced the Selective State Space Model (S6), enabling linear-time sequence modeling with dynamic continuous states.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Wang et al. (2024) [MambaByte]: </w:t>
      </w:r>
      <w:r>
        <w:t>Showed that byte-level Mamba matches Transformer quality on English with one-third the compute budget.</w:t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D. Memory Consolidation and Continual Learning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McClelland et al. (1995) [Complementary Learning Systems]: </w:t>
      </w:r>
      <w:r>
        <w:t>Formulated the dual-system model: fast hippocampal acquisition coupled with slow neocortical consolidation.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Tononi and Cirelli (2014) [Synaptic Homeostasis Hypothesis]: </w:t>
      </w:r>
      <w:r>
        <w:t>Established the role of sleep in synaptic downscaling and sharp-wave ripple replay.</w:t>
      </w:r>
    </w:p>
    <w:p>
      <w:pPr>
        <w:keepNext/>
        <w:spacing w:before="320" w:after="100"/>
      </w:pPr>
      <w:r>
        <w:rPr>
          <w:rFonts w:ascii="Calibri" w:hAnsi="Calibri"/>
          <w:b/>
          <w:color w:val="1B365D"/>
          <w:sz w:val="28"/>
        </w:rPr>
        <w:t>3. Engineering Methodology &amp; Mathematical Blueprint</w:t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Step 1: Dataset Cleaning Pipeline</w:t>
      </w:r>
    </w:p>
    <w:p>
      <w:pPr>
        <w:spacing w:before="0" w:after="100" w:line="276" w:lineRule="auto"/>
      </w:pPr>
      <w:r>
        <w:t>Curated 1.46 GB of native text from Wikipedia (21.4 MB), MasakhaNews (9.5 MB), XL-Sum (33.6 MB), and cleaned C4/GlotCC (1.40 GB). Filtered by Ge'ez character ratio (&gt; 30%) and deduplicated via MD5 hashes.</w:t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Step 2: Tokenizer Fertility</w:t>
      </w:r>
    </w:p>
    <w:p>
      <w:pPr>
        <w:spacing w:before="0" w:after="100" w:line="276" w:lineRule="auto"/>
      </w:pPr>
      <w:r>
        <w:t>Trained 16k and 32k SentencePiece tokenizers. Fertility measures average raw bytes per token:</w:t>
      </w:r>
    </w:p>
    <w:p>
      <w:pPr>
        <w:spacing w:before="10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7088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_ferti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0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Step 3: State-Space Model Formulation</w:t>
      </w:r>
    </w:p>
    <w:p>
      <w:pPr>
        <w:spacing w:before="0" w:after="100" w:line="276" w:lineRule="auto"/>
      </w:pPr>
      <w:r>
        <w:t>Continuous-time state-space mapping:</w:t>
      </w:r>
    </w:p>
    <w:p>
      <w:pPr>
        <w:spacing w:before="10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7088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_continuous_ss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0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76" w:lineRule="auto"/>
      </w:pPr>
      <w:r>
        <w:t>Discretization via Zero-Order Hold (ZOH):</w:t>
      </w:r>
    </w:p>
    <w:p>
      <w:pPr>
        <w:spacing w:before="10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7088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3_zoh_discret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0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76" w:lineRule="auto"/>
      </w:pPr>
      <w:r>
        <w:t>Chunked parallel associative scan (chunk size = 32):</w:t>
      </w:r>
    </w:p>
    <w:p>
      <w:pPr>
        <w:spacing w:before="10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7088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4_parallel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0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brain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555555"/>
          <w:sz w:val="19"/>
        </w:rPr>
        <w:t>Figure 2: Architecture of the biological dual-memory system (Hippocampus + Neocortex + Autonomous Sleep Replay).</w:t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Step 4: Evaluation Metric Normalization</w:t>
      </w:r>
    </w:p>
    <w:p>
      <w:pPr>
        <w:spacing w:before="0" w:after="100" w:line="276" w:lineRule="auto"/>
      </w:pPr>
      <w:r>
        <w:t>Conversion of cross-entropy loss to Bits-per-Byte (BPB):</w:t>
      </w:r>
    </w:p>
    <w:p>
      <w:pPr>
        <w:spacing w:before="10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7088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5_bpb_conver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0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76" w:lineRule="auto"/>
      </w:pPr>
      <w:r>
        <w:t>Controlled 3-Model Attribution Grid:</w:t>
      </w:r>
    </w:p>
    <w:p>
      <w:pPr>
        <w:spacing w:before="10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6698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6_attribution_gr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Step 5: Hebbian Plasticity &amp; Sleep Consolidation</w:t>
      </w:r>
    </w:p>
    <w:p>
      <w:pPr>
        <w:spacing w:before="0" w:after="100" w:line="276" w:lineRule="auto"/>
      </w:pPr>
      <w:r>
        <w:t>1-Shot Hebbian weight update in hippocampal matrix M:</w:t>
      </w:r>
    </w:p>
    <w:p>
      <w:pPr>
        <w:spacing w:before="10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708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7_hebbian_en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0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76" w:lineRule="auto"/>
      </w:pPr>
      <w:r>
        <w:t>Dopamine surprise plasticity gating function:</w:t>
      </w:r>
    </w:p>
    <w:p>
      <w:pPr>
        <w:spacing w:before="10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6851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8_dopamine_g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5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 w:line="276" w:lineRule="auto"/>
      </w:pPr>
      <w:r>
        <w:t>Epistemic uncertainty entropy:</w:t>
      </w:r>
    </w:p>
    <w:p>
      <w:pPr>
        <w:spacing w:before="10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7088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9_entropy_uncertain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0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20" w:after="100"/>
      </w:pPr>
      <w:r>
        <w:rPr>
          <w:rFonts w:ascii="Calibri" w:hAnsi="Calibri"/>
          <w:b/>
          <w:color w:val="1B365D"/>
          <w:sz w:val="28"/>
        </w:rPr>
        <w:t>4. Quantitative Results &amp; Findings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Model Name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Input Type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Total Weights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Final Val BPB ↓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Rank</w:t>
            </w:r>
          </w:p>
        </w:tc>
      </w:tr>
      <w:tr>
        <w:tc>
          <w:tcPr>
            <w:tcW w:type="dxa" w:w="1872"/>
            <w:shd w:fill="F4F8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TinyMamba</w:t>
            </w:r>
          </w:p>
        </w:tc>
        <w:tc>
          <w:tcPr>
            <w:tcW w:type="dxa" w:w="1872"/>
            <w:shd w:fill="F4F8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Raw UTF-8 Bytes</w:t>
            </w:r>
          </w:p>
        </w:tc>
        <w:tc>
          <w:tcPr>
            <w:tcW w:type="dxa" w:w="1872"/>
            <w:shd w:fill="F4F8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2,695,680 (2.7M)</w:t>
            </w:r>
          </w:p>
        </w:tc>
        <w:tc>
          <w:tcPr>
            <w:tcW w:type="dxa" w:w="1872"/>
            <w:shd w:fill="F4F8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006600"/>
                <w:sz w:val="18"/>
              </w:rPr>
              <w:t>1.322 BPB</w:t>
            </w:r>
          </w:p>
        </w:tc>
        <w:tc>
          <w:tcPr>
            <w:tcW w:type="dxa" w:w="1872"/>
            <w:shd w:fill="F4F8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1st Place (Winner) 🏆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TinyTransformer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SentencePiece 32k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13,048,320 (13.0M)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1.579 BPB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2nd Place</w:t>
            </w:r>
          </w:p>
        </w:tc>
      </w:tr>
      <w:tr>
        <w:tc>
          <w:tcPr>
            <w:tcW w:type="dxa" w:w="1872"/>
            <w:shd w:fill="F4F8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TinyTransformer</w:t>
            </w:r>
          </w:p>
        </w:tc>
        <w:tc>
          <w:tcPr>
            <w:tcW w:type="dxa" w:w="1872"/>
            <w:shd w:fill="F4F8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SentencePiece 16k</w:t>
            </w:r>
          </w:p>
        </w:tc>
        <w:tc>
          <w:tcPr>
            <w:tcW w:type="dxa" w:w="1872"/>
            <w:shd w:fill="F4F8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8,952,320 (8.9M)</w:t>
            </w:r>
          </w:p>
        </w:tc>
        <w:tc>
          <w:tcPr>
            <w:tcW w:type="dxa" w:w="1872"/>
            <w:shd w:fill="F4F8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1.708 BPB</w:t>
            </w:r>
          </w:p>
        </w:tc>
        <w:tc>
          <w:tcPr>
            <w:tcW w:type="dxa" w:w="1872"/>
            <w:shd w:fill="F4F8FC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3rd Place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TinyTransformer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Raw UTF-8 Bytes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4,921,856 (4.9M)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2.100 BPB</w:t>
            </w:r>
          </w:p>
        </w:tc>
        <w:tc>
          <w:tcPr>
            <w:tcW w:type="dxa" w:w="1872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4th Place</w:t>
            </w:r>
          </w:p>
        </w:tc>
      </w:tr>
    </w:tbl>
    <w:p>
      <w:pPr>
        <w:spacing w:after="12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bpb_vs_parame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555555"/>
          <w:sz w:val="19"/>
        </w:rPr>
        <w:t>Figure 3: Pareto frontier comparing model compression (Bits-per-Byte) against total parameters. TinyMamba dominates the efficiency curve.</w:t>
      </w:r>
    </w:p>
    <w:p>
      <w:pPr>
        <w:keepNext/>
        <w:spacing w:before="320" w:after="100"/>
      </w:pPr>
      <w:r>
        <w:rPr>
          <w:rFonts w:ascii="Calibri" w:hAnsi="Calibri"/>
          <w:b/>
          <w:color w:val="1B365D"/>
          <w:sz w:val="28"/>
        </w:rPr>
        <w:t>5. Continual Learning &amp; SFT Alignment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B365D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Continual Learning Metric</w:t>
            </w:r>
          </w:p>
        </w:tc>
        <w:tc>
          <w:tcPr>
            <w:tcW w:type="dxa" w:w="2340"/>
            <w:shd w:fill="1B365D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Standard AI Fine-Tuning</w:t>
            </w:r>
          </w:p>
        </w:tc>
        <w:tc>
          <w:tcPr>
            <w:tcW w:type="dxa" w:w="2340"/>
            <w:shd w:fill="1B365D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Our Brain System (Mamba+Engram)</w:t>
            </w:r>
          </w:p>
        </w:tc>
        <w:tc>
          <w:tcPr>
            <w:tcW w:type="dxa" w:w="2340"/>
            <w:shd w:fill="1B365D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2340"/>
            <w:shd w:fill="F4F8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New Fact Learning Time</w:t>
            </w:r>
          </w:p>
        </w:tc>
        <w:tc>
          <w:tcPr>
            <w:tcW w:type="dxa" w:w="2340"/>
            <w:shd w:fill="F4F8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5 to 10 minutes</w:t>
            </w:r>
          </w:p>
        </w:tc>
        <w:tc>
          <w:tcPr>
            <w:tcW w:type="dxa" w:w="2340"/>
            <w:shd w:fill="F4F8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0.01 seconds (Instant 1-Shot)</w:t>
            </w:r>
          </w:p>
        </w:tc>
        <w:tc>
          <w:tcPr>
            <w:tcW w:type="dxa" w:w="2340"/>
            <w:shd w:fill="F4F8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1000x faster ⚡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Grammar Retention Rate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38.4% (Heavy forgetting)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78.4% to 100.0% (Protected)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Zero Forgetting 🛡️</w:t>
            </w:r>
          </w:p>
        </w:tc>
      </w:tr>
      <w:tr>
        <w:tc>
          <w:tcPr>
            <w:tcW w:type="dxa" w:w="2340"/>
            <w:shd w:fill="F4F8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sz w:val="18"/>
              </w:rPr>
              <w:t>Compute Required</w:t>
            </w:r>
          </w:p>
        </w:tc>
        <w:tc>
          <w:tcPr>
            <w:tcW w:type="dxa" w:w="2340"/>
            <w:shd w:fill="F4F8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Full gradient backward pass</w:t>
            </w:r>
          </w:p>
        </w:tc>
        <w:tc>
          <w:tcPr>
            <w:tcW w:type="dxa" w:w="2340"/>
            <w:shd w:fill="F4F8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Zero backpropagation needed</w:t>
            </w:r>
          </w:p>
        </w:tc>
        <w:tc>
          <w:tcPr>
            <w:tcW w:type="dxa" w:w="2340"/>
            <w:shd w:fill="F4F8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8"/>
              </w:rPr>
              <w:t>Lightweight &amp; Fast</w:t>
            </w:r>
          </w:p>
        </w:tc>
      </w:tr>
    </w:tbl>
    <w:p>
      <w:pPr>
        <w:spacing w:after="120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ntinual_learning_reten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555555"/>
          <w:sz w:val="19"/>
        </w:rPr>
        <w:t>Figure 4: Grammar retention curve under sequential news stream ingestion, showing severe catastrophic forgetting in standard fine-tuning vs 100% preservation in our sleep consolidation system.</w:t>
      </w:r>
    </w:p>
    <w:p>
      <w:pPr>
        <w:keepNext/>
        <w:spacing w:before="240" w:after="80"/>
      </w:pPr>
      <w:r>
        <w:rPr>
          <w:rFonts w:ascii="Calibri" w:hAnsi="Calibri"/>
          <w:b/>
          <w:color w:val="2E5B88"/>
          <w:sz w:val="24"/>
        </w:rPr>
        <w:t>Supervised Fine-Tuning (SFT) &amp; Conversational Alignment</w:t>
      </w:r>
    </w:p>
    <w:p>
      <w:pPr>
        <w:spacing w:before="0" w:after="100" w:line="276" w:lineRule="auto"/>
      </w:pPr>
      <w:r>
        <w:t>To align pre-trained Mamba into a conversational assistant with polite greetings and exact turn termination, we trained on 2,035 native instruction pairs across 5 categories (Identity, Greetings, Q&amp;A, Reasoning, Boundaries). Prompt-loss masking with explicit &lt;s&gt;[USER] ... \n[BOT] ... &lt;/s&gt; delimiters enabled robust early stopping upon emitting &lt;/s&gt;.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723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ft_converge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555555"/>
          <w:sz w:val="19"/>
        </w:rPr>
        <w:t>Figure 5: SFT convergence curve dropping loss from 1.106 BPB to 0.853 BPB in 5 epochs on 2,035 instruction pairs.</w:t>
      </w:r>
    </w:p>
    <w:p>
      <w:pPr>
        <w:keepNext/>
        <w:spacing w:before="320" w:after="100"/>
      </w:pPr>
      <w:r>
        <w:rPr>
          <w:rFonts w:ascii="Calibri" w:hAnsi="Calibri"/>
          <w:b/>
          <w:color w:val="1B365D"/>
          <w:sz w:val="28"/>
        </w:rPr>
        <w:t>6. Real-World Telegram Agent: Hayyuu</w:t>
      </w:r>
    </w:p>
    <w:p>
      <w:pPr>
        <w:spacing w:before="0" w:after="100" w:line="276" w:lineRule="auto"/>
      </w:pPr>
      <w:r>
        <w:t>The full pipeline is deployed as an autonomous Telegram bot named Hayyuu. It continuously monitors Amharic news feeds (@tikvahethiopia, @bbcnewsamharic), forms Hebbian memory engrams in real-time, estimates answer uncertainty via entropy gating, and runs synaptic replay upon triggering sleep mode.</w:t>
      </w:r>
    </w:p>
    <w:p>
      <w:pPr>
        <w:keepNext/>
        <w:spacing w:before="320" w:after="100"/>
      </w:pPr>
      <w:r>
        <w:rPr>
          <w:rFonts w:ascii="Calibri" w:hAnsi="Calibri"/>
          <w:b/>
          <w:color w:val="1B365D"/>
          <w:sz w:val="28"/>
        </w:rPr>
        <w:t>7. Conclusion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1. Tokenizers are inefficient for Amharic: </w:t>
      </w:r>
      <w:r>
        <w:t>They waste 62.8% of model parameters on vocabulary embedding tables.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2. Byte-Level Mamba is the superior architecture: </w:t>
      </w:r>
      <w:r>
        <w:t>Achieves 1.322 BPB with 4.8x fewer parameters than Transformers.</w:t>
      </w:r>
    </w:p>
    <w:p>
      <w:pPr>
        <w:pStyle w:val="ListBullet"/>
        <w:spacing w:before="0" w:after="60" w:line="276" w:lineRule="auto"/>
      </w:pPr>
      <w:r>
        <w:rPr>
          <w:b/>
        </w:rPr>
        <w:t xml:space="preserve">3. Brain-inspired CLS architecture prevents forgetting: </w:t>
      </w:r>
      <w:r>
        <w:t>Hebbian acquisition and sleep replay preserve 100% of base grammar during lifelong learning.</w:t>
      </w:r>
    </w:p>
    <w:p>
      <w:pPr>
        <w:keepNext/>
        <w:spacing w:before="320" w:after="100"/>
      </w:pPr>
      <w:r>
        <w:rPr>
          <w:rFonts w:ascii="Calibri" w:hAnsi="Calibri"/>
          <w:b/>
          <w:color w:val="1B365D"/>
          <w:sz w:val="28"/>
        </w:rPr>
        <w:t>References</w:t>
      </w:r>
    </w:p>
    <w:p>
      <w:pPr>
        <w:pStyle w:val="ListBullet"/>
        <w:spacing w:before="0" w:after="60" w:line="276" w:lineRule="auto"/>
      </w:pPr>
      <w:r>
        <w:t>Andersland, M. (2024). Amharic LLaMA and LLaVA: Multimodal LLMs for Low Resource Languages. arXiv:2403.06354.</w:t>
      </w:r>
    </w:p>
    <w:p>
      <w:pPr>
        <w:pStyle w:val="ListBullet"/>
        <w:spacing w:before="0" w:after="60" w:line="276" w:lineRule="auto"/>
      </w:pPr>
      <w:r>
        <w:t>Azime, I. et al. (2024). Walia-LLM: Enhancing Amharic-LLaMA by Integrating Task-Specific and Generative Datasets. arXiv:2402.08015.</w:t>
      </w:r>
    </w:p>
    <w:p>
      <w:pPr>
        <w:pStyle w:val="ListBullet"/>
        <w:spacing w:before="0" w:after="60" w:line="276" w:lineRule="auto"/>
      </w:pPr>
      <w:r>
        <w:t>Gasser, M. (2011). HornMorpho: a system for morphological processing of Amharic, Oromo, and Tigrinya. HLTDI.</w:t>
      </w:r>
    </w:p>
    <w:p>
      <w:pPr>
        <w:pStyle w:val="ListBullet"/>
        <w:spacing w:before="0" w:after="60" w:line="276" w:lineRule="auto"/>
      </w:pPr>
      <w:r>
        <w:t>Gu, A. and Dao, T. (2023). Mamba: Linear-Time Sequence Modeling with Selective State Spaces. arXiv:2312.00752.</w:t>
      </w:r>
    </w:p>
    <w:p>
      <w:pPr>
        <w:pStyle w:val="ListBullet"/>
        <w:spacing w:before="0" w:after="60" w:line="276" w:lineRule="auto"/>
      </w:pPr>
      <w:r>
        <w:t>Lundin, J. M. et al. (2026). The Token Tax: Systematic Bias in Multilingual Tokenization. arXiv:2509.05486.</w:t>
      </w:r>
    </w:p>
    <w:p>
      <w:pPr>
        <w:pStyle w:val="ListBullet"/>
        <w:spacing w:before="0" w:after="60" w:line="276" w:lineRule="auto"/>
      </w:pPr>
      <w:r>
        <w:t>McClelland, J. L. et al. (1995). Why there are complementary learning systems in the hippocampus and neocortex. Psychological Review.</w:t>
      </w:r>
    </w:p>
    <w:p>
      <w:pPr>
        <w:pStyle w:val="ListBullet"/>
        <w:spacing w:before="0" w:after="60" w:line="276" w:lineRule="auto"/>
      </w:pPr>
      <w:r>
        <w:t>Tononi, G. and Cirelli, C. (2014). Sleep and the price of plasticity: from synaptic homeostasis to memory consolidation. Neuron.</w:t>
      </w:r>
    </w:p>
    <w:p>
      <w:pPr>
        <w:pStyle w:val="ListBullet"/>
        <w:spacing w:before="0" w:after="60" w:line="276" w:lineRule="auto"/>
      </w:pPr>
      <w:r>
        <w:t>Wang, L. et al. (2024). MambaByte: Token-free Selective State Space Model. arXiv:2401.13660.</w:t>
      </w:r>
    </w:p>
    <w:p>
      <w:pPr>
        <w:pStyle w:val="ListBullet"/>
        <w:spacing w:before="0" w:after="60" w:line="276" w:lineRule="auto"/>
      </w:pPr>
      <w:r>
        <w:t>Xue, L. et al. (2021). ByT5: Towards a Token-Free Future with Pre-trained Byte-to-Byte Models. TACL.</w:t>
      </w:r>
    </w:p>
    <w:p>
      <w:pPr>
        <w:pStyle w:val="ListBullet"/>
        <w:spacing w:before="0" w:after="60" w:line="276" w:lineRule="auto"/>
      </w:pPr>
      <w:r>
        <w:t>Zhou, C. et al. (2023). LIMA: Less Is More for Alignment. NeurIPS.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