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ind w:firstLine="0"/>
        <w:jc w:val="center"/>
      </w:pPr>
      <w:r>
        <w:rPr>
          <w:rFonts w:ascii="Times New Roman" w:cs="Times New Roman" w:eastAsia="Times New Roman" w:hAnsi="Times New Roman"/>
          <w:b/>
          <w:bCs/>
          <w:sz w:val="22"/>
          <w:szCs w:val="22"/>
        </w:rPr>
        <w:t xml:space="preserve">O'ZBEKISTON RESPUBLIKASI RAQAMLI TEXNOLOGIYALAR VAZIRLIGI</w:t>
      </w:r>
    </w:p>
    <w:p>
      <w:pPr>
        <w:spacing w:after="80" w:before="0"/>
        <w:ind w:firstLine="0"/>
        <w:jc w:val="center"/>
      </w:pPr>
      <w:r>
        <w:rPr>
          <w:rFonts w:ascii="Times New Roman" w:cs="Times New Roman" w:eastAsia="Times New Roman" w:hAnsi="Times New Roman"/>
          <w:b/>
          <w:bCs/>
          <w:sz w:val="22"/>
          <w:szCs w:val="22"/>
        </w:rPr>
        <w:t xml:space="preserve">MUHAMMAD AL-XORAZMIY NOMIDAGI TOSHKENT AXBOROT TEXNOLOGIYALARI UNIVERSITETI</w:t>
      </w:r>
    </w:p>
    <w:p>
      <w:pPr>
        <w:spacing w:after="300" w:before="0"/>
      </w:pPr>
      <w:r>
        <w:t xml:space="preserve"/>
      </w:r>
    </w:p>
    <w:p>
      <w:pPr>
        <w:spacing w:after="120" w:before="0"/>
        <w:ind w:firstLine="0"/>
        <w:jc w:val="center"/>
      </w:pPr>
      <w:r>
        <w:rPr>
          <w:rFonts w:ascii="Times New Roman" w:cs="Times New Roman" w:eastAsia="Times New Roman" w:hAnsi="Times New Roman"/>
          <w:b/>
          <w:bCs/>
          <w:caps/>
          <w:sz w:val="24"/>
          <w:szCs w:val="24"/>
        </w:rPr>
        <w:t xml:space="preserve">BITIRUV MALAKAVIY ISHI</w:t>
      </w:r>
    </w:p>
    <w:p>
      <w:pPr>
        <w:spacing w:after="120" w:before="0"/>
      </w:pPr>
      <w:r>
        <w:t xml:space="preserve"/>
      </w:r>
    </w:p>
    <w:p>
      <w:pPr>
        <w:spacing w:after="80" w:before="0"/>
        <w:ind w:firstLine="0"/>
        <w:jc w:val="center"/>
      </w:pPr>
      <w:r>
        <w:rPr>
          <w:rFonts w:ascii="Times New Roman" w:cs="Times New Roman" w:eastAsia="Times New Roman" w:hAnsi="Times New Roman"/>
          <w:b/>
          <w:bCs/>
          <w:sz w:val="26"/>
          <w:szCs w:val="26"/>
        </w:rPr>
        <w:t xml:space="preserve">"TRANSMISSIYA HOLOGRAMMA"</w:t>
      </w:r>
    </w:p>
    <w:p>
      <w:pPr>
        <w:spacing w:after="80" w:before="0"/>
        <w:ind w:firstLine="0"/>
        <w:jc w:val="center"/>
      </w:pPr>
      <w:r>
        <w:rPr>
          <w:rFonts w:ascii="Times New Roman" w:cs="Times New Roman" w:eastAsia="Times New Roman" w:hAnsi="Times New Roman"/>
          <w:sz w:val="22"/>
          <w:szCs w:val="22"/>
        </w:rPr>
        <w:t xml:space="preserve">Holografik tasvirni qayta ishlash va chuqur o'rganish uchun</w:t>
      </w:r>
    </w:p>
    <w:p>
      <w:pPr>
        <w:spacing w:after="240" w:before="0"/>
        <w:ind w:firstLine="0"/>
        <w:jc w:val="center"/>
      </w:pPr>
      <w:r>
        <w:rPr>
          <w:rFonts w:ascii="Times New Roman" w:cs="Times New Roman" w:eastAsia="Times New Roman" w:hAnsi="Times New Roman"/>
          <w:sz w:val="22"/>
          <w:szCs w:val="22"/>
        </w:rPr>
        <w:t xml:space="preserve">interaktiv web-platforma</w:t>
      </w:r>
    </w:p>
    <w:p>
      <w:pPr>
        <w:spacing w:after="400" w:before="0"/>
      </w:pPr>
      <w:r>
        <w:t xml:space="preserve"/>
      </w:r>
    </w:p>
    <w:p>
      <w:pPr>
        <w:spacing w:after="60" w:before="0"/>
        <w:ind w:firstLine="0"/>
        <w:jc w:val="right"/>
      </w:pPr>
      <w:r>
        <w:rPr>
          <w:rFonts w:ascii="Times New Roman" w:cs="Times New Roman" w:eastAsia="Times New Roman" w:hAnsi="Times New Roman"/>
          <w:sz w:val="22"/>
          <w:szCs w:val="22"/>
        </w:rPr>
        <w:t xml:space="preserve">Bajardi: Genius</w:t>
      </w:r>
    </w:p>
    <w:p>
      <w:pPr>
        <w:spacing w:after="60" w:before="0"/>
        <w:ind w:firstLine="0"/>
        <w:jc w:val="right"/>
      </w:pPr>
      <w:r>
        <w:rPr>
          <w:rFonts w:ascii="Times New Roman" w:cs="Times New Roman" w:eastAsia="Times New Roman" w:hAnsi="Times New Roman"/>
          <w:sz w:val="22"/>
          <w:szCs w:val="22"/>
        </w:rPr>
        <w:t xml:space="preserve">Ilmiy rahbar: _______________</w:t>
      </w:r>
    </w:p>
    <w:p>
      <w:pPr>
        <w:spacing w:after="60" w:before="0"/>
        <w:ind w:firstLine="0"/>
        <w:jc w:val="right"/>
      </w:pPr>
      <w:r>
        <w:rPr>
          <w:rFonts w:ascii="Times New Roman" w:cs="Times New Roman" w:eastAsia="Times New Roman" w:hAnsi="Times New Roman"/>
          <w:sz w:val="22"/>
          <w:szCs w:val="22"/>
        </w:rPr>
        <w:t xml:space="preserve">Kafedra: Axborot texnologiyalari</w:t>
      </w:r>
    </w:p>
    <w:p>
      <w:pPr>
        <w:spacing w:after="500" w:before="0"/>
      </w:pPr>
      <w:r>
        <w:t xml:space="preserve"/>
      </w:r>
    </w:p>
    <w:p>
      <w:pPr>
        <w:spacing w:after="0" w:before="0"/>
        <w:ind w:firstLine="0"/>
        <w:jc w:val="center"/>
      </w:pPr>
      <w:r>
        <w:rPr>
          <w:rFonts w:ascii="Times New Roman" w:cs="Times New Roman" w:eastAsia="Times New Roman" w:hAnsi="Times New Roman"/>
          <w:sz w:val="22"/>
          <w:szCs w:val="22"/>
        </w:rPr>
        <w:t xml:space="preserve">Toshkent — 2026</w:t>
      </w:r>
    </w:p>
    <w:p>
      <w:r>
        <w:br w:type="page"/>
      </w:r>
    </w:p>
    <w:p>
      <w:pPr>
        <w:pStyle w:val="Heading1"/>
        <w:spacing w:after="240" w:before="0"/>
        <w:jc w:val="center"/>
      </w:pPr>
      <w:r>
        <w:rPr>
          <w:rFonts w:ascii="Times New Roman" w:cs="Times New Roman" w:eastAsia="Times New Roman" w:hAnsi="Times New Roman"/>
          <w:b/>
          <w:bCs/>
          <w:caps/>
          <w:sz w:val="26"/>
          <w:szCs w:val="26"/>
        </w:rPr>
        <w:t xml:space="preserve">IV-BOB. "TRANSMISSIYA HOLOGRAMMA" PLATFORMASINING DASTURIY VOSIТASI VA NATIJALAR TAHLILI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Mazkur bob yuqoridagi boblarda ko'rib chiqilgan algoritmlar va matematik asoslar negizida ishlab chiqilgan "Transmissiya Hologramma" web-platformasining to'liq funksional tavsifi, dasturiy amalga oshirish tafsilotlari, olingan natijalar va ularning tahlilini o'z ichiga oladi. Platform 12 ta interaktiv moduldan iborat bo'lib, har biri holografik jarayonning muayyan bosqichini qamrab oladi [1, 2, 3].</w:t>
      </w:r>
    </w:p>
    <w:p>
      <w:pPr>
        <w:spacing w:after="80" w:before="0"/>
      </w:pPr>
      <w:r>
        <w:t xml:space="preserve"/>
      </w:r>
    </w:p>
    <w:p>
      <w:pPr>
        <w:pStyle w:val="Heading2"/>
        <w:spacing w:after="120" w:before="240" w:line="360" w:lineRule="auto"/>
        <w:ind w:left="0"/>
      </w:pPr>
      <w:r>
        <w:rPr>
          <w:rFonts w:ascii="Times New Roman" w:cs="Times New Roman" w:eastAsia="Times New Roman" w:hAnsi="Times New Roman"/>
          <w:b/>
          <w:bCs/>
          <w:sz w:val="24"/>
          <w:szCs w:val="24"/>
        </w:rPr>
        <w:t xml:space="preserve">§4.1. Platforma tuzilmasi va umumiy arxitektura</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"Transmissiya Hologramma" platformasi uch qatlamli arxitektura asosida qurilgan: foydalanuvchi interfeysi (Next.js 14 App Router, React 18, TypeScript), so'rov-javob qatlami (REST API) va ma'lumotlar qayta ishlash qatlami (Python 3.10+, FastAPI, PyTorch). Tizimning umumiy tuzilmasi 4.1-rasmda keltirilgan.</w:t>
      </w:r>
    </w:p>
    <w:p>
      <w:pPr>
        <w:spacing w:after="60" w:before="0"/>
      </w:pPr>
      <w:r>
        <w:t xml:space="preserve"/>
      </w:r>
    </w:p>
    <w:p>
      <w:pPr>
        <w:spacing w:after="60" w:before="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67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4.1-rasm. Platformaning umumiy arxitekturasi: Frontend ↔ REST API ↔ Backend</w:t>
      </w:r>
    </w:p>
    <w:p>
      <w:pPr>
        <w:spacing w:after="60" w:before="160"/>
        <w:jc w:val="center"/>
      </w:pPr>
      <w:r>
        <w:rPr>
          <w:rFonts w:ascii="Times New Roman" w:cs="Times New Roman" w:eastAsia="Times New Roman" w:hAnsi="Times New Roman"/>
          <w:b/>
          <w:bCs/>
          <w:sz w:val="20"/>
          <w:szCs w:val="20"/>
        </w:rPr>
        <w:t xml:space="preserve">4.1-jadval. Platformaning 12 ta tab-moduli va ularning texnologik tarkibi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4113"/>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w:t>
            </w:r>
          </w:p>
        </w:tc>
        <w:tc>
          <w:tcPr>
            <w:tcW w:type="dxa" w:w="2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Modul nomi</w:t>
            </w:r>
          </w:p>
        </w:tc>
        <w:tc>
          <w:tcPr>
            <w:tcW w:type="dxa" w:w="2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Texnologiya</w:t>
            </w:r>
          </w:p>
        </w:tc>
        <w:tc>
          <w:tcPr>
            <w:tcW w:type="dxa" w:w="41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Asosiy funksiya</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Оборудование</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React + CSS Grid</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Holografik uskunalar katalogu va tavsiflari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Оптическая схема</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Canvas API + SVG</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Optik sxema interaktiv diagrammasi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Запись</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Canvas (interference)</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Animatsiyali interferentsiya ko'rinishi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Математика</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KaTeX / MathJax</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Formulalar, kalkulyatorlar, hisoblar</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Восстановление</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Canvas (diffraction)</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Diffraktsiya buyrug'lari simulyatsiyasi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Кусочек = Целое</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Canvas + WebGL</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Holografik bo'laklanish xususiyati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Сравнение</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FastAPI + PIL</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Hologrammalar sifatini taqqoslash</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Оптический стол</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BFS + Canvas drag&amp;drop</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Interaktiv optik stol simulyatori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Симулятор</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Three.js WebGL</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Real vaqt 3D hologramma simulyatori</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2D → 3D</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FastAPI + Fractal CNN</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2D tasvirdan 3D holografik model</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Depth (DCNF-CRF)</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FastAPI + PyTorch</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Neyron tarmoq chuqurlik baholash</w:t>
            </w:r>
          </w:p>
        </w:tc>
      </w:tr>
      <w:tr>
        <w:trPr>
          <w:tblHeader w:val="false"/>
        </w:trP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PDF-расширение</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chrome://extensions API</w:t>
            </w:r>
          </w:p>
        </w:tc>
        <w:tc>
          <w:tcPr>
            <w:tcW w:type="dxa" w:w="41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Hujjatlar va hisobotlar eksporti</w:t>
            </w:r>
          </w:p>
        </w:tc>
      </w:tr>
    </w:tbl>
    <w:p>
      <w:pPr>
        <w:spacing w:after="160" w:before="0"/>
      </w:pPr>
      <w: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4.1-jadvalda keltirilganidek, platforma turli texnologiyalar kombinatsiyasidan foydalanadi. Frontend qismi TypeScript qat'iy tipizatsiyasi bilan ishlab chiqilgan. Ikki tilli qo'llab-quvvatlash (o'zbek va rus tillari) React Context API — LanguageContext orqali amalga oshirilgan.</w:t>
      </w:r>
    </w:p>
    <w:p>
      <w:pPr>
        <w:spacing w:after="80" w:before="0"/>
      </w:pPr>
      <w:r>
        <w:t xml:space="preserve"/>
      </w:r>
    </w:p>
    <w:p>
      <w:pPr>
        <w:pStyle w:val="Heading2"/>
        <w:spacing w:after="120" w:before="240" w:line="360" w:lineRule="auto"/>
        <w:ind w:left="0"/>
      </w:pPr>
      <w:r>
        <w:rPr>
          <w:rFonts w:ascii="Times New Roman" w:cs="Times New Roman" w:eastAsia="Times New Roman" w:hAnsi="Times New Roman"/>
          <w:b/>
          <w:bCs/>
          <w:sz w:val="24"/>
          <w:szCs w:val="24"/>
        </w:rPr>
        <w:t xml:space="preserve">§4.2. Holografik yozib olish modullari interfeysi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Platforma ishga tushirilganda foydalanuvchiga asosiy boshqaruv paneli ko'rsatiladi (4.2-rasm). "Оборудование" bo'limi holografik yozib olish uchun zarur bo'lgan barcha uskunalar (lazer, ko'zgu, linza, bo'lgich, plyonka, vibroizolyatsion stol) haqida batafsil ma'lumotlar beradi.</w:t>
      </w:r>
    </w:p>
    <w:p>
      <w:pPr>
        <w:spacing w:after="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4.2-rasm. Platformaning asosiy ekrani — "Оборудование" bo'limi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4.3-rasm. Optik sxema moduli — Canvas API asosida qurilgan interaktiv diagramma</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Optik sxema moduli (4.3-rasm) foydalanuvchiga holografik o'rnatmaning to'liq diagrammasini ko'rsatadi. "Запись" moduli (4.4-rasm) interferentsiya naqshlarini real vaqtda animatsiyali ko'rinishda namoyish etadi. Canvas API requestAnimationFrame sikli yordamida har kadrda interferentsiya intensivligi qayta hisoblanadi.</w:t>
      </w:r>
    </w:p>
    <w:p>
      <w:pPr>
        <w:spacing w:after="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4.4-rasm. Yozib olish moduli — interferentsiya animatsiyasi real vaqtda</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4.5-rasm. Matematik modul — formulalar va kalkulyatorlar bo'limi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Matematik modul (4.5-rasm) holografiyaning asosiy formulalarini va interaktiv kalkulyatorlarni o'z ichiga oladi. Foydalanuvchi lazer to'lqin uzunligi, nurlar burchagi va boshqa parametrlarni kiritib, diffraktsiya panjarasi qadami, kogerentlik uzunligi va boshqa kattaliklar hisobini amalga oshira oladi.</w:t>
      </w:r>
    </w:p>
    <w:p>
      <w:pPr>
        <w:spacing w:after="80" w:before="0"/>
      </w:pPr>
      <w:r>
        <w:t xml:space="preserve"/>
      </w:r>
    </w:p>
    <w:p>
      <w:pPr>
        <w:pStyle w:val="Heading2"/>
        <w:spacing w:after="120" w:before="240" w:line="360" w:lineRule="auto"/>
        <w:ind w:left="0"/>
      </w:pPr>
      <w:r>
        <w:rPr>
          <w:rFonts w:ascii="Times New Roman" w:cs="Times New Roman" w:eastAsia="Times New Roman" w:hAnsi="Times New Roman"/>
          <w:b/>
          <w:bCs/>
          <w:sz w:val="24"/>
          <w:szCs w:val="24"/>
        </w:rPr>
        <w:t xml:space="preserve">§4.3. Matematik va fizik asoslar dasturiy amalga oshirilishi</w:t>
      </w:r>
    </w:p>
    <w:p>
      <w:pPr>
        <w:pStyle w:val="Heading3"/>
        <w:spacing w:after="80" w:before="180" w:line="360" w:lineRule="auto"/>
        <w:ind w:left="0"/>
      </w:pPr>
      <w:r>
        <w:rPr>
          <w:rFonts w:ascii="Times New Roman" w:cs="Times New Roman" w:eastAsia="Times New Roman" w:hAnsi="Times New Roman"/>
          <w:b/>
          <w:bCs/>
          <w:sz w:val="22"/>
          <w:szCs w:val="22"/>
        </w:rPr>
        <w:t xml:space="preserve">§4.3.1. Interferentsiya formulasi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Holografik interferentsiya natijasida hosil bo'ladigan intensivlik quyidagi ifoda bilan beriladi [4, 5]:</w:t>
      </w:r>
    </w:p>
    <w:p>
      <w:pPr>
        <w:spacing w:after="100" w:before="100"/>
        <w:jc w:val="center"/>
      </w:pPr>
      <w:r>
        <w:rPr>
          <w:rFonts w:ascii="Times New Roman" w:cs="Times New Roman" w:eastAsia="Times New Roman" w:hAnsi="Times New Roman"/>
          <w:b/>
          <w:bCs/>
          <w:sz w:val="22"/>
          <w:szCs w:val="22"/>
        </w:rPr>
        <w:t xml:space="preserve">I(x, y) = Aᵣ² + A₀² + 2·Aᵣ·A₀·cos(φᵣ − φ₀)</w:t>
      </w:r>
      <w:r>
        <w:rPr>
          <w:rFonts w:ascii="Times New Roman" w:cs="Times New Roman" w:eastAsia="Times New Roman" w:hAnsi="Times New Roman"/>
          <w:sz w:val="22"/>
          <w:szCs w:val="22"/>
        </w:rPr>
        <w:t xml:space="preserve">					(4.1)</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bu yerda Aᵣ — mos yozuvlar to'lqinining amplitudasi, A₀ — ob'ekt to'lqinining amplitudasi, φᵣ − φ₀ — ikki to'lqin o'rtasidagi faza farqi. (4.1) formulasi Canvas API da piksel bosqichida hisoblanadi va natija RGB intensivligi sifatida ko'rsatiladi.</w:t>
      </w:r>
    </w:p>
    <w:p>
      <w:pPr>
        <w:pStyle w:val="Heading3"/>
        <w:spacing w:after="80" w:before="180" w:line="360" w:lineRule="auto"/>
        <w:ind w:left="0"/>
      </w:pPr>
      <w:r>
        <w:rPr>
          <w:rFonts w:ascii="Times New Roman" w:cs="Times New Roman" w:eastAsia="Times New Roman" w:hAnsi="Times New Roman"/>
          <w:b/>
          <w:bCs/>
          <w:sz w:val="22"/>
          <w:szCs w:val="22"/>
        </w:rPr>
        <w:t xml:space="preserve">§4.3.2. Diffraktsiya panjarasi va kogerentlik hisobi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Hologramma yozib olinuvchi plyonkaning fazoviy chastotasi (diffraktsiya panjarasi qadami) quyidagi formula orqali aniqlanadi:</w:t>
      </w:r>
    </w:p>
    <w:p>
      <w:pPr>
        <w:spacing w:after="100" w:before="100"/>
        <w:jc w:val="center"/>
      </w:pPr>
      <w:r>
        <w:rPr>
          <w:rFonts w:ascii="Times New Roman" w:cs="Times New Roman" w:eastAsia="Times New Roman" w:hAnsi="Times New Roman"/>
          <w:b/>
          <w:bCs/>
          <w:sz w:val="22"/>
          <w:szCs w:val="22"/>
        </w:rPr>
        <w:t xml:space="preserve">d = λ / (2·sin(θ/2))</w:t>
      </w:r>
      <w:r>
        <w:rPr>
          <w:rFonts w:ascii="Times New Roman" w:cs="Times New Roman" w:eastAsia="Times New Roman" w:hAnsi="Times New Roman"/>
          <w:sz w:val="22"/>
          <w:szCs w:val="22"/>
        </w:rPr>
        <w:t xml:space="preserve">					(4.2)</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Chiziqlar soni esa N = 10⁶/d (chiziq/mm). Kogerentlik uzunligi Lc = λ²/Δλ formula bilan hisoblanadi. Diffraktsiya burchagi α = arcsin(λ/d). 4.2-jadvalda asosiy holografik parametrlarning odatiy qiymatlari keltirilgan.</w:t>
      </w:r>
    </w:p>
    <w:p>
      <w:pPr>
        <w:spacing w:after="40" w:before="0"/>
      </w:pPr>
      <w:r>
        <w:t xml:space="preserve"/>
      </w:r>
    </w:p>
    <w:p>
      <w:pPr>
        <w:spacing w:after="60" w:before="160"/>
        <w:jc w:val="center"/>
      </w:pPr>
      <w:r>
        <w:rPr>
          <w:rFonts w:ascii="Times New Roman" w:cs="Times New Roman" w:eastAsia="Times New Roman" w:hAnsi="Times New Roman"/>
          <w:b/>
          <w:bCs/>
          <w:sz w:val="20"/>
          <w:szCs w:val="20"/>
        </w:rPr>
        <w:t xml:space="preserve">4.2-jadval. Holografik yozib olish parametrlarining odatiy qiymatlari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500"/>
        <w:gridCol w:w="3513"/>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Parametr</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Belgi</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35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Odatiy qiymat</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Lazer to'lqin uzunligi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λ</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633 nm (He-Ne) / 532 nm (Nd:YAG)</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Panjarа qadami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λ/(2·sin(θ/2))</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 – 1.0 μm</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Chiziqlar soni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10⁶/d</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1000 – 3300 chiziq/mm</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Kogerentlik uzunligi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λ²/Δλ</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&gt; 10 sm (He-Ne uchun)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Diffraktsiya burchagi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α</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arcsin(λ/d)</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20° – 45°</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Ekspozitsiya vaqti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I·E = const</w:t>
            </w:r>
          </w:p>
        </w:tc>
        <w:tc>
          <w:tcPr>
            <w:tcW w:type="dxa" w:w="35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 – 30 soniya</w:t>
            </w:r>
          </w:p>
        </w:tc>
      </w:tr>
    </w:tbl>
    <w:p>
      <w:pPr>
        <w:spacing w:after="1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4.6-rasm. Qayta tiklash moduli — diffraktsiya buyrug'lari vizualizatsiyasi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4.7-rasm. Bo'laklash moduli — holografik bo'linuvchanlik namoyishi</w:t>
      </w:r>
    </w:p>
    <w:p>
      <w:pPr>
        <w:spacing w:after="60" w:before="8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4.8-rasm. Optik o'rnatma sxemasi: lazer → bo'lgich → ko'zgular → ob'ekt → plyonka</w:t>
      </w:r>
    </w:p>
    <w:p>
      <w:pPr>
        <w:spacing w:after="60" w:before="8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67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4.9-rasm. Diffraktsiya buyrug'lari diagrammasi: 0-tartib, +1-tartib, −1-tartib</w:t>
      </w:r>
    </w:p>
    <w:p>
      <w:pPr>
        <w:spacing w:after="80" w:before="0"/>
      </w:pPr>
      <w:r>
        <w:t xml:space="preserve"/>
      </w:r>
    </w:p>
    <w:p>
      <w:r>
        <w:br w:type="page"/>
      </w:r>
    </w:p>
    <w:p>
      <w:pPr>
        <w:pStyle w:val="Heading2"/>
        <w:spacing w:after="120" w:before="240" w:line="360" w:lineRule="auto"/>
        <w:ind w:left="0"/>
      </w:pPr>
      <w:r>
        <w:rPr>
          <w:rFonts w:ascii="Times New Roman" w:cs="Times New Roman" w:eastAsia="Times New Roman" w:hAnsi="Times New Roman"/>
          <w:b/>
          <w:bCs/>
          <w:sz w:val="24"/>
          <w:szCs w:val="24"/>
        </w:rPr>
        <w:t xml:space="preserve">§4.4. Interaktiv optik stol moduli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Optik stol moduli holografik yozib olish uchun zarur bo'lgan barcha uskunalarni sürüklе-bırak (drag &amp; drop) interfeysi orqali virtual optik stol ustiga joylashtirish imkonini beradi. Uskunalar: lazer, nur bo'lgich, ko'zgu, kengaytiruvchi linza, ob'ekt, holografik plyonka, vibroizolyatsion stol. Nurlar izi BFS (Breadth-First Search) algoritmidan foydalangan holda real vaqtda hisoblanadi (4.10–4.11-rasmlar).</w:t>
      </w:r>
    </w:p>
    <w:p>
      <w:pPr>
        <w:spacing w:after="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4.10-rasm. Optik stol moduli — uskunalarni joylashtirish interfeysi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4.11-rasm. Optik stol — to'liq o'rnatma bilan nur izi ko'rinishi</w:t>
      </w:r>
    </w:p>
    <w:p>
      <w:pPr>
        <w:pStyle w:val="Heading3"/>
        <w:spacing w:after="80" w:before="180" w:line="360" w:lineRule="auto"/>
        <w:ind w:left="0"/>
      </w:pPr>
      <w:r>
        <w:rPr>
          <w:rFonts w:ascii="Times New Roman" w:cs="Times New Roman" w:eastAsia="Times New Roman" w:hAnsi="Times New Roman"/>
          <w:b/>
          <w:bCs/>
          <w:sz w:val="22"/>
          <w:szCs w:val="22"/>
        </w:rPr>
        <w:t xml:space="preserve">§4.4.1. Nurlar izi BFS algoritmi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BFS algoritmi quyidagi tartibda ishlaydi [6]:</w:t>
      </w:r>
    </w:p>
    <w:p>
      <w:pPr>
        <w:pStyle w:val="ListParagraph"/>
        <w:numPr>
          <w:ilvl w:val="0"/>
          <w:numId w:val="2"/>
        </w:numPr>
        <w:spacing w:line="360"/>
        <w:ind w:left="709"/>
      </w:pPr>
      <w:r>
        <w:rPr>
          <w:rFonts w:ascii="Times New Roman" w:cs="Times New Roman" w:eastAsia="Times New Roman" w:hAnsi="Times New Roman"/>
          <w:sz w:val="22"/>
          <w:szCs w:val="22"/>
        </w:rPr>
        <w:t xml:space="preserve">Lazer nuri boshlang'ich nuqtasidan yo'nalish vektori (dx, dy) bilan chiqariladi;</w:t>
      </w:r>
    </w:p>
    <w:p>
      <w:pPr>
        <w:pStyle w:val="ListParagraph"/>
        <w:numPr>
          <w:ilvl w:val="0"/>
          <w:numId w:val="2"/>
        </w:numPr>
        <w:spacing w:line="360"/>
        <w:ind w:left="709"/>
      </w:pPr>
      <w:r>
        <w:rPr>
          <w:rFonts w:ascii="Times New Roman" w:cs="Times New Roman" w:eastAsia="Times New Roman" w:hAnsi="Times New Roman"/>
          <w:sz w:val="22"/>
          <w:szCs w:val="22"/>
        </w:rPr>
        <w:t xml:space="preserve">Har bir uskuna bilan kesishish nuqtasi AABB (Axis-Aligned Bounding Box) usuli yordamida hisoblanadi;</w:t>
      </w:r>
    </w:p>
    <w:p>
      <w:pPr>
        <w:pStyle w:val="ListParagraph"/>
        <w:numPr>
          <w:ilvl w:val="0"/>
          <w:numId w:val="2"/>
        </w:numPr>
        <w:spacing w:line="360"/>
        <w:ind w:left="709"/>
      </w:pPr>
      <w:r>
        <w:rPr>
          <w:rFonts w:ascii="Times New Roman" w:cs="Times New Roman" w:eastAsia="Times New Roman" w:hAnsi="Times New Roman"/>
          <w:sz w:val="22"/>
          <w:szCs w:val="22"/>
        </w:rPr>
        <w:t xml:space="preserve">Ko'zguda nur qaytariladi: θ_kirish = θ_chiqish (Snell qonuni);</w:t>
      </w:r>
    </w:p>
    <w:p>
      <w:pPr>
        <w:pStyle w:val="ListParagraph"/>
        <w:numPr>
          <w:ilvl w:val="0"/>
          <w:numId w:val="2"/>
        </w:numPr>
        <w:spacing w:line="360"/>
        <w:ind w:left="709"/>
      </w:pPr>
      <w:r>
        <w:rPr>
          <w:rFonts w:ascii="Times New Roman" w:cs="Times New Roman" w:eastAsia="Times New Roman" w:hAnsi="Times New Roman"/>
          <w:sz w:val="22"/>
          <w:szCs w:val="22"/>
        </w:rPr>
        <w:t xml:space="preserve">Nur bo'lgichda ikki tarmoq hosil bo'ladi (50:50 yoki 1:3 nisbat);</w:t>
      </w:r>
    </w:p>
    <w:p>
      <w:pPr>
        <w:pStyle w:val="ListParagraph"/>
        <w:numPr>
          <w:ilvl w:val="0"/>
          <w:numId w:val="2"/>
        </w:numPr>
        <w:spacing w:line="360"/>
        <w:ind w:left="709"/>
      </w:pPr>
      <w:r>
        <w:rPr>
          <w:rFonts w:ascii="Times New Roman" w:cs="Times New Roman" w:eastAsia="Times New Roman" w:hAnsi="Times New Roman"/>
          <w:sz w:val="22"/>
          <w:szCs w:val="22"/>
        </w:rPr>
        <w:t xml:space="preserve">Linzada nur kengayadi yoki torayadi (fokus masofa f parametriga qarab);</w:t>
      </w:r>
    </w:p>
    <w:p>
      <w:pPr>
        <w:pStyle w:val="ListParagraph"/>
        <w:numPr>
          <w:ilvl w:val="0"/>
          <w:numId w:val="2"/>
        </w:numPr>
        <w:spacing w:line="360"/>
        <w:ind w:left="709"/>
      </w:pPr>
      <w:r>
        <w:rPr>
          <w:rFonts w:ascii="Times New Roman" w:cs="Times New Roman" w:eastAsia="Times New Roman" w:hAnsi="Times New Roman"/>
          <w:sz w:val="22"/>
          <w:szCs w:val="22"/>
        </w:rPr>
        <w:t xml:space="preserve">Plyonkaga yetganda interferentsiya naqshi (4.1) formula asosida hisoblanadi.</w:t>
      </w:r>
    </w:p>
    <w:p>
      <w:pPr>
        <w:spacing w:after="80" w:before="0"/>
      </w:pPr>
      <w:r>
        <w:t xml:space="preserve"/>
      </w:r>
    </w:p>
    <w:p>
      <w:pPr>
        <w:pStyle w:val="Heading2"/>
        <w:spacing w:after="120" w:before="240" w:line="360" w:lineRule="auto"/>
        <w:ind w:left="0"/>
      </w:pPr>
      <w:r>
        <w:rPr>
          <w:rFonts w:ascii="Times New Roman" w:cs="Times New Roman" w:eastAsia="Times New Roman" w:hAnsi="Times New Roman"/>
          <w:b/>
          <w:bCs/>
          <w:sz w:val="24"/>
          <w:szCs w:val="24"/>
        </w:rPr>
        <w:t xml:space="preserve">§4.5. Three.js asosidagi 3D hologramma simulyatori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Simulyator Three.js WebGL renderer yordamida real vaqtda 3D holografik interferentsiyani vizualizatsiya qiladi (4.12–4.13-rasmlar). PlaneGeometry (512×512 to'r) va maxsus GLSL shader yordamida har bir piksel uchun interferentsiya intensivligi GPU da parallel hisoblanadi.</w:t>
      </w:r>
    </w:p>
    <w:p>
      <w:pPr>
        <w:spacing w:after="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4.12-rasm. Three.js 3D simulyator — holografik interferentsiya vizualizatsiyasi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4.13-rasm. Simulyator boshqaruv paneli — parametrlarni sozlash</w:t>
      </w:r>
    </w:p>
    <w:p>
      <w:pPr>
        <w:spacing w:after="60" w:before="160"/>
        <w:jc w:val="center"/>
      </w:pPr>
      <w:r>
        <w:rPr>
          <w:rFonts w:ascii="Times New Roman" w:cs="Times New Roman" w:eastAsia="Times New Roman" w:hAnsi="Times New Roman"/>
          <w:b/>
          <w:bCs/>
          <w:sz w:val="20"/>
          <w:szCs w:val="20"/>
        </w:rPr>
        <w:t xml:space="preserve">4.3-jadval. Three.js render parametrlari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913"/>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Parametr</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Qiymat</w:t>
            </w:r>
          </w:p>
        </w:tc>
        <w:tc>
          <w:tcPr>
            <w:tcW w:type="dxa" w:w="39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Tavsif</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Renderer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WebGLRenderer</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GPU asosida real vaqt rendering</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Material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MeshStandardMaterial</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Fizik asosli material modeli (PBR)</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Kamera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PerspectiveCamera</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FOV=75°, near=0.1, far=1000</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Geometriya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PlaneGeometry (512×512)</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To'liq piksel nazorati uchun</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Shader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Custom GLSL Fragment</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Interferentsiya naqshlari GPU da</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Animatsiya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requestAnimationFrame</w:t>
            </w:r>
          </w:p>
        </w:tc>
        <w:tc>
          <w:tcPr>
            <w:tcW w:type="dxa" w:w="39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Uzluksiz real vaqt rendering</w:t>
            </w:r>
          </w:p>
        </w:tc>
      </w:tr>
    </w:tbl>
    <w:p>
      <w:pPr>
        <w:spacing w:after="80" w:before="0"/>
      </w:pPr>
      <w:r>
        <w:t xml:space="preserve"/>
      </w:r>
    </w:p>
    <w:p>
      <w:r>
        <w:br w:type="page"/>
      </w:r>
    </w:p>
    <w:p>
      <w:pPr>
        <w:pStyle w:val="Heading2"/>
        <w:spacing w:after="120" w:before="240" w:line="360" w:lineRule="auto"/>
        <w:ind w:left="0"/>
      </w:pPr>
      <w:r>
        <w:rPr>
          <w:rFonts w:ascii="Times New Roman" w:cs="Times New Roman" w:eastAsia="Times New Roman" w:hAnsi="Times New Roman"/>
          <w:b/>
          <w:bCs/>
          <w:sz w:val="24"/>
          <w:szCs w:val="24"/>
        </w:rPr>
        <w:t xml:space="preserve">§4.6. 2D → 3D transformatsiya: Fraktal CNN arxitekturasi</w:t>
      </w:r>
    </w:p>
    <w:p>
      <w:pPr>
        <w:pStyle w:val="Heading3"/>
        <w:spacing w:after="80" w:before="180" w:line="360" w:lineRule="auto"/>
        <w:ind w:left="0"/>
      </w:pPr>
      <w:r>
        <w:rPr>
          <w:rFonts w:ascii="Times New Roman" w:cs="Times New Roman" w:eastAsia="Times New Roman" w:hAnsi="Times New Roman"/>
          <w:b/>
          <w:bCs/>
          <w:sz w:val="22"/>
          <w:szCs w:val="22"/>
        </w:rPr>
        <w:t xml:space="preserve">§4.6.1. To'rt qavatli Fraktal CNN ensembl</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2D tasvirdan 3D holografik model yaratish uchun to'rt qavatli Fraktal CNN ensembl arxitekturasi ishlab chiqilgan [7, 8]. Ensembl har bir qavati alohida tahlil usulini qo'llaydi va natijalar weighted voting orqali birlashtiriladi. Arxitektura 4.14-rasmda keltirilgan.</w:t>
      </w:r>
    </w:p>
    <w:p>
      <w:pPr>
        <w:spacing w:after="60" w:before="0"/>
      </w:pPr>
      <w:r>
        <w:t xml:space="preserve"/>
      </w:r>
    </w:p>
    <w:p>
      <w:pPr>
        <w:spacing w:after="60" w:before="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667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4.14-rasm. To'rt qavatli Fraktal CNN ensembl pipeline: Layer1→Layer2→Layer3→Layer4</w:t>
      </w:r>
    </w:p>
    <w:p>
      <w:pPr>
        <w:spacing w:after="60" w:before="160"/>
        <w:jc w:val="center"/>
      </w:pPr>
      <w:r>
        <w:rPr>
          <w:rFonts w:ascii="Times New Roman" w:cs="Times New Roman" w:eastAsia="Times New Roman" w:hAnsi="Times New Roman"/>
          <w:b/>
          <w:bCs/>
          <w:sz w:val="20"/>
          <w:szCs w:val="20"/>
        </w:rPr>
        <w:t xml:space="preserve">4.4-jadval. To'rt qavatli Fraktal CNN ensembl tarkibi va funksiyalari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713"/>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Qavat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Nomi</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Tahlil usuli</w:t>
            </w:r>
          </w:p>
        </w:tc>
        <w:tc>
          <w:tcPr>
            <w:tcW w:type="dxa" w:w="27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Chiqish natijasi</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 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layer1_math</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Box-counting, IFS tiklash, Fourier tahlili, lakunarlik, multifraktal spektr</w:t>
            </w:r>
          </w:p>
        </w:tc>
        <w:tc>
          <w:tcPr>
            <w:tcW w:type="dxa" w:w="27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Fraktal o'lchov D, lakunarlik Λ</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 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layer2_cnn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ResNet backbone + 15 sinf klassifikatsiya (CNN)</w:t>
            </w:r>
          </w:p>
        </w:tc>
        <w:tc>
          <w:tcPr>
            <w:tcW w:type="dxa" w:w="27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15 sinf bo'yicha ehtimollik vektori</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 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layer3_fusion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Weighted voting — Layer1 va Layer2 natijalarini birlashtirish</w:t>
            </w:r>
          </w:p>
        </w:tc>
        <w:tc>
          <w:tcPr>
            <w:tcW w:type="dxa" w:w="27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Birlashtirilgan karar</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 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layer4_verify</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Tahlil-sintez (analysis-by-synthesis) tekshiruvi</w:t>
            </w:r>
          </w:p>
        </w:tc>
        <w:tc>
          <w:tcPr>
            <w:tcW w:type="dxa" w:w="27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Tasdiqlangan va tozalangan natija</w:t>
            </w:r>
          </w:p>
        </w:tc>
      </w:tr>
    </w:tbl>
    <w:p>
      <w:pPr>
        <w:spacing w:after="160" w:before="0"/>
      </w:pPr>
      <w:r>
        <w:t xml:space="preserve"/>
      </w:r>
    </w:p>
    <w:p>
      <w:pPr>
        <w:spacing w:after="60" w:before="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667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4.15-rasm. Fraktal CNN — 15 ta sinf bo'yicha aniqligi (%)</w:t>
      </w:r>
    </w:p>
    <w:p>
      <w:pPr>
        <w:pStyle w:val="Heading3"/>
        <w:spacing w:after="80" w:before="180" w:line="360" w:lineRule="auto"/>
        <w:ind w:left="0"/>
      </w:pPr>
      <w:r>
        <w:rPr>
          <w:rFonts w:ascii="Times New Roman" w:cs="Times New Roman" w:eastAsia="Times New Roman" w:hAnsi="Times New Roman"/>
          <w:b/>
          <w:bCs/>
          <w:sz w:val="22"/>
          <w:szCs w:val="22"/>
        </w:rPr>
        <w:t xml:space="preserve">§4.6.2. Geometriya-aware Fraktal CNN</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3D hologramma generatsiyasi uchun Geometriya-aware Fraktal CNN ishlatiladi. Geometrik indicator funksiya voksel maskasini hosil qiladi:</w:t>
      </w:r>
    </w:p>
    <w:p>
      <w:pPr>
        <w:spacing w:after="100" w:before="100"/>
        <w:jc w:val="center"/>
      </w:pPr>
      <w:r>
        <w:rPr>
          <w:rFonts w:ascii="Times New Roman" w:cs="Times New Roman" w:eastAsia="Times New Roman" w:hAnsi="Times New Roman"/>
          <w:b/>
          <w:bCs/>
          <w:sz w:val="22"/>
          <w:szCs w:val="22"/>
        </w:rPr>
        <w:t xml:space="preserve">F(x, y, z) = ∏ᵢ σ(aᵢx + bᵢy + cᵢz + dᵢ)</w:t>
      </w:r>
      <w:r>
        <w:rPr>
          <w:rFonts w:ascii="Times New Roman" w:cs="Times New Roman" w:eastAsia="Times New Roman" w:hAnsi="Times New Roman"/>
          <w:sz w:val="22"/>
          <w:szCs w:val="22"/>
        </w:rPr>
        <w:t xml:space="preserve">					(4.3)</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bu yerda σ — sigmoid funksiyasi, (aᵢ, bᵢ, cᵢ, dᵢ) — i-chi tekislikning parametrlari. Maskalangan voksellar Fraktal konvolyutsiya (3 masshtab), e'tibor mexanizmi (attention) va Residual 3D bloklar ketma-ketligidan o'tkaziladi (4.16-rasm).</w:t>
      </w:r>
    </w:p>
    <w:p>
      <w:pPr>
        <w:spacing w:after="60" w:before="0"/>
      </w:pPr>
      <w:r>
        <w:t xml:space="preserve"/>
      </w:r>
    </w:p>
    <w:p>
      <w:pPr>
        <w:spacing w:after="60" w:before="8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762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4.16-rasm. Geometriya-aware CNN pipeline: Voksel → Indicator → Maskalash → Fraktal konv. → E'tibor → Residual 3D → FC</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4.17-rasm. 2D → 3D moduli — tasvir yuklash va CNN tahlil bosqichi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4.18-rasm. 2D → 3D — CNN tahlil natijalari va 3D model ko'rinishi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4.19-rasm. 2D → 3D — OBJ/STL/PLY formatida eksport imkoniyati</w:t>
      </w:r>
    </w:p>
    <w:p>
      <w:pPr>
        <w:spacing w:after="80" w:before="0"/>
      </w:pPr>
      <w:r>
        <w:t xml:space="preserve"/>
      </w:r>
    </w:p>
    <w:p>
      <w:r>
        <w:br w:type="page"/>
      </w:r>
    </w:p>
    <w:p>
      <w:pPr>
        <w:pStyle w:val="Heading2"/>
        <w:spacing w:after="120" w:before="240" w:line="360" w:lineRule="auto"/>
        <w:ind w:left="0"/>
      </w:pPr>
      <w:r>
        <w:rPr>
          <w:rFonts w:ascii="Times New Roman" w:cs="Times New Roman" w:eastAsia="Times New Roman" w:hAnsi="Times New Roman"/>
          <w:b/>
          <w:bCs/>
          <w:sz w:val="24"/>
          <w:szCs w:val="24"/>
        </w:rPr>
        <w:t xml:space="preserve">§4.7. DCNF-CRF chuqurlik baholash moduli</w:t>
      </w:r>
    </w:p>
    <w:p>
      <w:pPr>
        <w:pStyle w:val="Heading3"/>
        <w:spacing w:after="80" w:before="180" w:line="360" w:lineRule="auto"/>
        <w:ind w:left="0"/>
      </w:pPr>
      <w:r>
        <w:rPr>
          <w:rFonts w:ascii="Times New Roman" w:cs="Times New Roman" w:eastAsia="Times New Roman" w:hAnsi="Times New Roman"/>
          <w:b/>
          <w:bCs/>
          <w:sz w:val="22"/>
          <w:szCs w:val="22"/>
        </w:rPr>
        <w:t xml:space="preserve">§4.7.1. Algoritm tavsifi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DCNF-CRF (Deep Convolutional Neural Fields + Conditional Random Fields) — holografik tasvirlar uchun moslashtirilgan chuqurlik baholash tizimi. Algoritm Liu va boshq. (CVPR 2015) ishiga asoslanadi [9]. Tizimning to'liq flowchart'i 4.20-rasmda keltirilgan.</w:t>
      </w:r>
    </w:p>
    <w:p>
      <w:pPr>
        <w:spacing w:after="60" w:before="0"/>
      </w:pPr>
      <w:r>
        <w:t xml:space="preserve"/>
      </w:r>
    </w:p>
    <w:p>
      <w:pPr>
        <w:spacing w:after="60" w:before="8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3048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4.20-rasm. DCNF-CRF chuqurlik baholash algoritmi blok-sxemasi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Algoritmning asosiy bosqichlari:</w:t>
      </w:r>
    </w:p>
    <w:p>
      <w:pPr>
        <w:pStyle w:val="ListParagraph"/>
        <w:numPr>
          <w:ilvl w:val="0"/>
          <w:numId w:val="2"/>
        </w:numPr>
        <w:spacing w:line="360"/>
        <w:ind w:left="709"/>
      </w:pPr>
      <w:r>
        <w:rPr>
          <w:rFonts w:ascii="Times New Roman" w:cs="Times New Roman" w:eastAsia="Times New Roman" w:hAnsi="Times New Roman"/>
          <w:sz w:val="22"/>
          <w:szCs w:val="22"/>
        </w:rPr>
        <w:t xml:space="preserve">SLIC superpiksel segmentatsiyasi (~500 ta region, kompaktlik parametri m=10);</w:t>
      </w:r>
    </w:p>
    <w:p>
      <w:pPr>
        <w:pStyle w:val="ListParagraph"/>
        <w:numPr>
          <w:ilvl w:val="0"/>
          <w:numId w:val="2"/>
        </w:numPr>
        <w:spacing w:line="360"/>
        <w:ind w:left="709"/>
      </w:pPr>
      <w:r>
        <w:rPr>
          <w:rFonts w:ascii="Times New Roman" w:cs="Times New Roman" w:eastAsia="Times New Roman" w:hAnsi="Times New Roman"/>
          <w:sz w:val="22"/>
          <w:szCs w:val="22"/>
        </w:rPr>
        <w:t xml:space="preserve">Unary potential: DCNF CNN + Depth Anything V2 (DA V2) pseudo-GT sifatida;</w:t>
      </w:r>
    </w:p>
    <w:p>
      <w:pPr>
        <w:pStyle w:val="ListParagraph"/>
        <w:numPr>
          <w:ilvl w:val="0"/>
          <w:numId w:val="2"/>
        </w:numPr>
        <w:spacing w:line="360"/>
        <w:ind w:left="709"/>
      </w:pPr>
      <w:r>
        <w:rPr>
          <w:rFonts w:ascii="Times New Roman" w:cs="Times New Roman" w:eastAsia="Times New Roman" w:hAnsi="Times New Roman"/>
          <w:sz w:val="22"/>
          <w:szCs w:val="22"/>
        </w:rPr>
        <w:t xml:space="preserve">Pairwise potential: LAB rang masofa, rang gistogramma (32-bin), LBP tekstura;</w:t>
      </w:r>
    </w:p>
    <w:p>
      <w:pPr>
        <w:pStyle w:val="ListParagraph"/>
        <w:numPr>
          <w:ilvl w:val="0"/>
          <w:numId w:val="2"/>
        </w:numPr>
        <w:spacing w:line="360"/>
        <w:ind w:left="709"/>
      </w:pPr>
      <w:r>
        <w:rPr>
          <w:rFonts w:ascii="Times New Roman" w:cs="Times New Roman" w:eastAsia="Times New Roman" w:hAnsi="Times New Roman"/>
          <w:sz w:val="22"/>
          <w:szCs w:val="22"/>
        </w:rPr>
        <w:t xml:space="preserve">CRF energiya funksiyasi minimizatsiyasi: E(d) = Σ Eᵤ(dᵢ) + Σ Eₚ(dᵢ, dⱼ);</w:t>
      </w:r>
    </w:p>
    <w:p>
      <w:pPr>
        <w:pStyle w:val="ListParagraph"/>
        <w:numPr>
          <w:ilvl w:val="0"/>
          <w:numId w:val="2"/>
        </w:numPr>
        <w:spacing w:line="360"/>
        <w:ind w:left="709"/>
      </w:pPr>
      <w:r>
        <w:rPr>
          <w:rFonts w:ascii="Times New Roman" w:cs="Times New Roman" w:eastAsia="Times New Roman" w:hAnsi="Times New Roman"/>
          <w:sz w:val="22"/>
          <w:szCs w:val="22"/>
        </w:rPr>
        <w:t xml:space="preserve">MAP muammosini hal etish: A matritsasi invertibel bo'lsa bevosita, aks holda SGD;</w:t>
      </w:r>
    </w:p>
    <w:p>
      <w:pPr>
        <w:pStyle w:val="ListParagraph"/>
        <w:numPr>
          <w:ilvl w:val="0"/>
          <w:numId w:val="2"/>
        </w:numPr>
        <w:spacing w:line="360"/>
        <w:ind w:left="709"/>
      </w:pPr>
      <w:r>
        <w:rPr>
          <w:rFonts w:ascii="Times New Roman" w:cs="Times New Roman" w:eastAsia="Times New Roman" w:hAnsi="Times New Roman"/>
          <w:sz w:val="22"/>
          <w:szCs w:val="22"/>
        </w:rPr>
        <w:t xml:space="preserve">Guided Filter post-processing (r=8, ε=0.0001) — chegara saqlovchi silliqlik;</w:t>
      </w:r>
    </w:p>
    <w:p>
      <w:pPr>
        <w:pStyle w:val="ListParagraph"/>
        <w:numPr>
          <w:ilvl w:val="0"/>
          <w:numId w:val="2"/>
        </w:numPr>
        <w:spacing w:line="360"/>
        <w:ind w:left="709"/>
      </w:pPr>
      <w:r>
        <w:rPr>
          <w:rFonts w:ascii="Times New Roman" w:cs="Times New Roman" w:eastAsia="Times New Roman" w:hAnsi="Times New Roman"/>
          <w:sz w:val="22"/>
          <w:szCs w:val="22"/>
        </w:rPr>
        <w:t xml:space="preserve">Chuqurlik xaritasi chiqarish va ko'rsatkichlar hisobi (AbsRel, SqRel, RMSE, δ&lt;1.25).</w:t>
      </w:r>
    </w:p>
    <w:p>
      <w:pPr>
        <w:spacing w:after="80" w:before="0"/>
      </w:pPr>
      <w:r>
        <w:t xml:space="preserve"/>
      </w:r>
    </w:p>
    <w:p>
      <w:pPr>
        <w:pStyle w:val="Heading3"/>
        <w:spacing w:after="80" w:before="180" w:line="360" w:lineRule="auto"/>
        <w:ind w:left="0"/>
      </w:pPr>
      <w:r>
        <w:rPr>
          <w:rFonts w:ascii="Times New Roman" w:cs="Times New Roman" w:eastAsia="Times New Roman" w:hAnsi="Times New Roman"/>
          <w:b/>
          <w:bCs/>
          <w:sz w:val="22"/>
          <w:szCs w:val="22"/>
        </w:rPr>
        <w:t xml:space="preserve">§4.7.2. Natijalar taqqoslash va ablatsiya tadqiqoti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4.5-jadvalda DCNF-CRF tizimining NYU Depth v2 dataset'idagi ko'rsatkichlari DA V2 baseline bilan taqqoslab ko'rsatilgan. Ablatsiya tadqiqoti (4.6-jadval) har bir komponentning hissasini alohida baholash imkonini beradi.</w:t>
      </w:r>
    </w:p>
    <w:p>
      <w:pPr>
        <w:spacing w:after="60" w:before="0"/>
      </w:pPr>
      <w:r>
        <w:t xml:space="preserve"/>
      </w:r>
    </w:p>
    <w:p>
      <w:pPr>
        <w:spacing w:after="60" w:before="8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286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4.21-rasm. DCNF-CRF chuqurlik ko'rsatkichlari taqqoslash: AbsRel, RMSE, δ&lt;1.25</w:t>
      </w:r>
    </w:p>
    <w:p>
      <w:pPr>
        <w:spacing w:after="60" w:before="160"/>
        <w:jc w:val="center"/>
      </w:pPr>
      <w:r>
        <w:rPr>
          <w:rFonts w:ascii="Times New Roman" w:cs="Times New Roman" w:eastAsia="Times New Roman" w:hAnsi="Times New Roman"/>
          <w:b/>
          <w:bCs/>
          <w:sz w:val="20"/>
          <w:szCs w:val="20"/>
        </w:rPr>
        <w:t xml:space="preserve">4.5-jadval. Chuqurlik baholash ko'rsatkichlari (NYU Depth v2 dataset)</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613"/>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Usul</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AbsRel ↓</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SqRel ↓</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 ↓</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RMSE-log ↓</w:t>
            </w:r>
          </w:p>
        </w:tc>
        <w:tc>
          <w:tcPr>
            <w:tcW w:type="dxa" w:w="16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δ&lt;1.25 ↑</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DA V2 (baseline) [9]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0.089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0.412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3.21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0.127</w:t>
            </w:r>
          </w:p>
        </w:tc>
        <w:tc>
          <w:tcPr>
            <w:tcW w:type="dxa" w:w="16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0.891</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DCNF-CRF (bizniki)</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2.87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0.109</w:t>
            </w:r>
          </w:p>
        </w:tc>
        <w:tc>
          <w:tcPr>
            <w:tcW w:type="dxa" w:w="16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0.923</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DCNF-CRF + GF</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0.321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2.74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0.102</w:t>
            </w:r>
          </w:p>
        </w:tc>
        <w:tc>
          <w:tcPr>
            <w:tcW w:type="dxa" w:w="16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0.941</w:t>
            </w:r>
          </w:p>
        </w:tc>
      </w:tr>
    </w:tbl>
    <w:p>
      <w:pPr>
        <w:spacing w:after="120" w:before="0"/>
      </w:pPr>
      <w:r>
        <w:t xml:space="preserve"/>
      </w:r>
    </w:p>
    <w:p>
      <w:pPr>
        <w:spacing w:after="60" w:before="8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286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4.22-rasm. Ablatsiya tadqiqoti — har bir komponentning AbsRel ko'rsatkichiga ta'siri</w:t>
      </w:r>
    </w:p>
    <w:p>
      <w:pPr>
        <w:spacing w:after="60" w:before="160"/>
        <w:jc w:val="center"/>
      </w:pPr>
      <w:r>
        <w:rPr>
          <w:rFonts w:ascii="Times New Roman" w:cs="Times New Roman" w:eastAsia="Times New Roman" w:hAnsi="Times New Roman"/>
          <w:b/>
          <w:bCs/>
          <w:sz w:val="20"/>
          <w:szCs w:val="20"/>
        </w:rPr>
        <w:t xml:space="preserve">4.6-jadval. Ablatsiya tadqiqoti — komponentlar ta'siri</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300"/>
        <w:gridCol w:w="1300"/>
        <w:gridCol w:w="2213"/>
      </w:tblGrid>
      <w:tr>
        <w:trPr>
          <w:tblHeader/>
        </w:trPr>
        <w:tc>
          <w:tcPr>
            <w:tcW w:type="dxa" w:w="3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Konfiguratsiya</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AbsRel ↓</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 ↓</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δ&lt;1.25 ↑</w:t>
            </w:r>
          </w:p>
        </w:tc>
        <w:tc>
          <w:tcPr>
            <w:tcW w:type="dxa" w:w="22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Yaxshilanish</w:t>
            </w:r>
          </w:p>
        </w:tc>
      </w:tr>
      <w:tr>
        <w:trPr>
          <w:tblHeader w:val="false"/>
        </w:trPr>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Faqat DA V2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0.089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3.21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0.891</w:t>
            </w:r>
          </w:p>
        </w:tc>
        <w:tc>
          <w:tcPr>
            <w:tcW w:type="dxa" w:w="2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rPr>
          <w:tblHeader w:val="false"/>
        </w:trPr>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 SLIC segmentatsiya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0.083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3.05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0.904</w:t>
            </w:r>
          </w:p>
        </w:tc>
        <w:tc>
          <w:tcPr>
            <w:tcW w:type="dxa" w:w="2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+6.7%</w:t>
            </w:r>
          </w:p>
        </w:tc>
      </w:tr>
      <w:tr>
        <w:trPr>
          <w:tblHeader w:val="false"/>
        </w:trPr>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 Pairwise potential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2.93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0.912</w:t>
            </w:r>
          </w:p>
        </w:tc>
        <w:tc>
          <w:tcPr>
            <w:tcW w:type="dxa" w:w="2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+11.2%</w:t>
            </w:r>
          </w:p>
        </w:tc>
      </w:tr>
      <w:tr>
        <w:trPr>
          <w:tblHeader w:val="false"/>
        </w:trPr>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 CRF energiya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2.87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0.923</w:t>
            </w:r>
          </w:p>
        </w:tc>
        <w:tc>
          <w:tcPr>
            <w:tcW w:type="dxa" w:w="2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+14.6%</w:t>
            </w:r>
          </w:p>
        </w:tc>
      </w:tr>
      <w:tr>
        <w:trPr>
          <w:tblHeader w:val="false"/>
        </w:trPr>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 Guided Filter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2.74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0.941</w:t>
            </w:r>
          </w:p>
        </w:tc>
        <w:tc>
          <w:tcPr>
            <w:tcW w:type="dxa" w:w="2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+20.2%</w:t>
            </w:r>
          </w:p>
        </w:tc>
      </w:tr>
    </w:tbl>
    <w:p>
      <w:pPr>
        <w:spacing w:after="1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4.23-rasm. Depth moduli — DCNF-CRF natijasi va chuqurlik xaritasi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4.24-rasm. Depth moduli — ablatsiya tadqiqoti ko'rinishi</w:t>
      </w:r>
    </w:p>
    <w:p>
      <w:pPr>
        <w:spacing w:after="80" w:before="0"/>
      </w:pPr>
      <w:r>
        <w:t xml:space="preserve"/>
      </w:r>
    </w:p>
    <w:p>
      <w:r>
        <w:br w:type="page"/>
      </w:r>
    </w:p>
    <w:p>
      <w:pPr>
        <w:pStyle w:val="Heading2"/>
        <w:spacing w:after="120" w:before="240" w:line="360" w:lineRule="auto"/>
        <w:ind w:left="0"/>
      </w:pPr>
      <w:r>
        <w:rPr>
          <w:rFonts w:ascii="Times New Roman" w:cs="Times New Roman" w:eastAsia="Times New Roman" w:hAnsi="Times New Roman"/>
          <w:b/>
          <w:bCs/>
          <w:sz w:val="24"/>
          <w:szCs w:val="24"/>
        </w:rPr>
        <w:t xml:space="preserve">§4.8. Hologramma sifatini taqqoslash moduli</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Taqqoslash moduli ikki holografik tasvirni solishtiruvchi to'rtta ko'rsatkichni hisoblaydi: PSNR (dB), SSIM (strukturaviy o'xshashlik), MSE (o'rtacha kvadratik xato) va gistogramma korrelatsiyasi. Bu ko'rsatkichlar holografik yozib olish sifatini raqamli baholash uchun qo'llaniladi [10].</w:t>
      </w:r>
    </w:p>
    <w:p>
      <w:pPr>
        <w:spacing w:after="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4.25-rasm. Taqqoslash moduli — ikki hologramma solishtirish interfeysi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4.26-rasm. Taqqoslash moduli — PSNR va SSIM ko'rsatkichlari natijalari</w:t>
      </w:r>
    </w:p>
    <w:p>
      <w:pPr>
        <w:spacing w:after="60" w:before="8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2286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4.27-rasm. Hologramma sifat ko'rsatkichlari: PSNR va SSIM turli scenariylarda</w:t>
      </w:r>
    </w:p>
    <w:p>
      <w:pPr>
        <w:spacing w:after="60" w:before="160"/>
        <w:jc w:val="center"/>
      </w:pPr>
      <w:r>
        <w:rPr>
          <w:rFonts w:ascii="Times New Roman" w:cs="Times New Roman" w:eastAsia="Times New Roman" w:hAnsi="Times New Roman"/>
          <w:b/>
          <w:bCs/>
          <w:sz w:val="20"/>
          <w:szCs w:val="20"/>
        </w:rPr>
        <w:t xml:space="preserve">4.7-jadval. Hologramma sifat ko'rsatkichlari va maqbul qiymatlar</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413"/>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Ko'rsatkich</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Maqbul qiymat</w:t>
            </w:r>
          </w:p>
        </w:tc>
        <w:tc>
          <w:tcPr>
            <w:tcW w:type="dxa" w:w="24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Baholash mezoni</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PSNR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10·log₁₀(MAX²/MSE)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&gt; 30 dB</w:t>
            </w:r>
          </w:p>
        </w:tc>
        <w:tc>
          <w:tcPr>
            <w:tcW w:type="dxa" w:w="24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Yuqori sifatli hologramma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SSIM</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Strukturaviy o'xshashlik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0.80 – 1.00</w:t>
            </w:r>
          </w:p>
        </w:tc>
        <w:tc>
          <w:tcPr>
            <w:tcW w:type="dxa" w:w="24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Ideal 1.0 ga yaqin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MSE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(1/N)·Σ(I₁ − I₂)²</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Imkon qadar kichik</w:t>
            </w:r>
          </w:p>
        </w:tc>
        <w:tc>
          <w:tcPr>
            <w:tcW w:type="dxa" w:w="24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&lt; 100 maqbul sanaladi</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Hist. Korrelatsiya</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Pearson 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&gt; 0.90</w:t>
            </w:r>
          </w:p>
        </w:tc>
        <w:tc>
          <w:tcPr>
            <w:tcW w:type="dxa" w:w="24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Rang taqsimotining mos kelishi</w:t>
            </w:r>
          </w:p>
        </w:tc>
      </w:tr>
    </w:tbl>
    <w:p>
      <w:pPr>
        <w:spacing w:after="80" w:before="0"/>
      </w:pPr>
      <w:r>
        <w:t xml:space="preserve"/>
      </w:r>
    </w:p>
    <w:p>
      <w:pPr>
        <w:pStyle w:val="Heading2"/>
        <w:spacing w:after="120" w:before="240" w:line="360" w:lineRule="auto"/>
        <w:ind w:left="0"/>
      </w:pPr>
      <w:r>
        <w:rPr>
          <w:rFonts w:ascii="Times New Roman" w:cs="Times New Roman" w:eastAsia="Times New Roman" w:hAnsi="Times New Roman"/>
          <w:b/>
          <w:bCs/>
          <w:sz w:val="24"/>
          <w:szCs w:val="24"/>
        </w:rPr>
        <w:t xml:space="preserve">§4.9. Tizim ish samaradorligi va qo'shimcha ko'rinishlar</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Tizim ish samaradorligi CPU va GPU (CUDA) rejimlarida o'lchandi (4.28-rasm). DCNF-CRF baholash — eng ko'p vaqt talab etuvchi amaliyot (CPU da 820 ms, GPU da 145 ms). Fraktal CNN 2-qavat GPU da 95 ms da bajariladi.</w:t>
      </w:r>
    </w:p>
    <w:p>
      <w:pPr>
        <w:spacing w:after="60" w:before="0"/>
      </w:pPr>
      <w:r>
        <w:t xml:space="preserve"/>
      </w:r>
    </w:p>
    <w:p>
      <w:pPr>
        <w:spacing w:after="60" w:before="8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3812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4.28-rasm. Tizim amaliyotlari bajarish tezligi — CPU va GPU taqqoslash (ms)</w:t>
      </w:r>
    </w:p>
    <w:p>
      <w:pPr>
        <w:spacing w:after="60" w:before="160"/>
        <w:jc w:val="center"/>
      </w:pPr>
      <w:r>
        <w:rPr>
          <w:rFonts w:ascii="Times New Roman" w:cs="Times New Roman" w:eastAsia="Times New Roman" w:hAnsi="Times New Roman"/>
          <w:b/>
          <w:bCs/>
          <w:sz w:val="20"/>
          <w:szCs w:val="20"/>
        </w:rPr>
        <w:t xml:space="preserve">4.8-jadval. Asosiy amaliyotlar bajarish vaqti (ms, o'rtacha 100 o'lchov)</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600"/>
        <w:gridCol w:w="1300"/>
        <w:gridCol w:w="3213"/>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Amaliyot</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CPU (ms)</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GPU CUDA (ms)</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Tezlanish</w:t>
            </w:r>
          </w:p>
        </w:tc>
        <w:tc>
          <w:tcPr>
            <w:tcW w:type="dxa" w:w="3213"/>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Cheklov</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SLIC segmentatsiya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3.75×</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Tasvir o'lchami</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DCNF-CRF baholash</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145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5.66×</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CRF iteratsiyalar</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Guided Filter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3.50×</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Radius r</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Fraktal CNN Layer1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4.29×</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Box soni</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Fraktal CNN Layer2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680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7.16×</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Batch size</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CNN fusion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3.18×</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Sinflar soni</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Marching Cubes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210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3.82×</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Voksel resolutsiya</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Three.js render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2.00×</w:t>
            </w:r>
          </w:p>
        </w:tc>
        <w:tc>
          <w:tcPr>
            <w:tcW w:type="dxa" w:w="3213"/>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FPS maqsad 60</w:t>
            </w:r>
          </w:p>
        </w:tc>
      </w:tr>
    </w:tbl>
    <w:p>
      <w:pPr>
        <w:spacing w:after="160" w:before="0"/>
      </w:pPr>
      <w:r>
        <w:t xml:space="preserv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4.29-rasm. Platforma interfeysi — lazerlar texnik xususiyatlari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4.30-rasm. Holografik plyonka parametrlari moduli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4.31-rasm. Canvas real-time interferentsiya animatsiyasi — ko'proq batafsil ko'rinish</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4.32-rasm. Diffraktsiya buyrug'lari ko'rinishi — to'liq ekran holati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4.33-rasm. Bo'laklash moduli — holografik qismlarning alohida ko'rinishi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4.34-rasm. Optik sxema — to'liq diagramma ko'rinishi yaqin masofadan</w:t>
      </w:r>
    </w:p>
    <w:p>
      <w:r>
        <w:br w:type="page"/>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4.35-rasm. Matematik interfeysi — interferentsiya tenglamasi batafsil</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4.36-rasm. Kalkulyator — diffraktsiya parametrlarini hisoblash natijalari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4.37-rasm. Platforma — to'liq interfeys ko'rinishi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4.38-rasm. Chuqurlik xaritasi natijasi — DCNF-CRF chiqishi</w:t>
      </w:r>
    </w:p>
    <w:p>
      <w:pPr>
        <w:spacing w:after="60" w:before="80"/>
        <w:jc w:val="center"/>
      </w:pPr>
      <w:r>
        <w:drawing>
          <wp:inline distT="0" distB="0" distL="0" distR="0">
            <wp:extent cx="39338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933825" cy="2952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4.39-rasm. 3D hologramma modeli — Three.js WebGL render natijasi</w:t>
      </w:r>
    </w:p>
    <w:p>
      <w:r>
        <w:br w:type="page"/>
      </w:r>
    </w:p>
    <w:p>
      <w:pPr>
        <w:pStyle w:val="Heading2"/>
        <w:spacing w:after="120" w:before="240" w:line="360" w:lineRule="auto"/>
        <w:ind w:left="0"/>
      </w:pPr>
      <w:r>
        <w:rPr>
          <w:rFonts w:ascii="Times New Roman" w:cs="Times New Roman" w:eastAsia="Times New Roman" w:hAnsi="Times New Roman"/>
          <w:b/>
          <w:bCs/>
          <w:sz w:val="24"/>
          <w:szCs w:val="24"/>
        </w:rPr>
        <w:t xml:space="preserve">§4.10. IV bob bo'yicha xulosalar</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2"/>
          <w:szCs w:val="22"/>
        </w:rPr>
        <w:t xml:space="preserve">Mazkur bobda "Transmissiya Hologramma" web-platformasining to'liq dasturiy vosiтasi taqdim etildi. Asosiy erishilgan natijalar quyidagilardan iborat:</w:t>
      </w:r>
    </w:p>
    <w:p>
      <w:pPr>
        <w:pStyle w:val="ListParagraph"/>
        <w:numPr>
          <w:ilvl w:val="0"/>
          <w:numId w:val="3"/>
        </w:numPr>
        <w:spacing w:line="360"/>
        <w:ind w:left="709"/>
      </w:pPr>
      <w:r>
        <w:rPr>
          <w:rFonts w:ascii="Times New Roman" w:cs="Times New Roman" w:eastAsia="Times New Roman" w:hAnsi="Times New Roman"/>
          <w:sz w:val="22"/>
          <w:szCs w:val="22"/>
        </w:rPr>
        <w:t xml:space="preserve">12 ta interaktiv moduldan iborat platforma holografiyaning yozib olishdan tortib 3D model generatsiyasigacha bo'lgan to'liq jarayonni qamrab oladi;</w:t>
      </w:r>
    </w:p>
    <w:p>
      <w:pPr>
        <w:pStyle w:val="ListParagraph"/>
        <w:numPr>
          <w:ilvl w:val="0"/>
          <w:numId w:val="3"/>
        </w:numPr>
        <w:spacing w:line="360"/>
        <w:ind w:left="709"/>
      </w:pPr>
      <w:r>
        <w:rPr>
          <w:rFonts w:ascii="Times New Roman" w:cs="Times New Roman" w:eastAsia="Times New Roman" w:hAnsi="Times New Roman"/>
          <w:sz w:val="22"/>
          <w:szCs w:val="22"/>
        </w:rPr>
        <w:t xml:space="preserve">DCNF-CRF + Guided Filter kombinatsiyasi DA V2 baseline'ga nisbatan AbsRel ko'rsatkichini 20.2% yaxshiladi (0.089 dan 0.071 ga);</w:t>
      </w:r>
    </w:p>
    <w:p>
      <w:pPr>
        <w:pStyle w:val="ListParagraph"/>
        <w:numPr>
          <w:ilvl w:val="0"/>
          <w:numId w:val="3"/>
        </w:numPr>
        <w:spacing w:line="360"/>
        <w:ind w:left="709"/>
      </w:pPr>
      <w:r>
        <w:rPr>
          <w:rFonts w:ascii="Times New Roman" w:cs="Times New Roman" w:eastAsia="Times New Roman" w:hAnsi="Times New Roman"/>
          <w:sz w:val="22"/>
          <w:szCs w:val="22"/>
        </w:rPr>
        <w:t xml:space="preserve">To'rt qavatli Fraktal CNN ensembl 15 sinf bo'yicha o'rtacha 94.6% aniqligi ko'rsatdi, GPU rejimida esa 7.16× tezlanish erishildi;</w:t>
      </w:r>
    </w:p>
    <w:p>
      <w:pPr>
        <w:pStyle w:val="ListParagraph"/>
        <w:numPr>
          <w:ilvl w:val="0"/>
          <w:numId w:val="3"/>
        </w:numPr>
        <w:spacing w:line="360"/>
        <w:ind w:left="709"/>
      </w:pPr>
      <w:r>
        <w:rPr>
          <w:rFonts w:ascii="Times New Roman" w:cs="Times New Roman" w:eastAsia="Times New Roman" w:hAnsi="Times New Roman"/>
          <w:sz w:val="22"/>
          <w:szCs w:val="22"/>
        </w:rPr>
        <w:t xml:space="preserve">BFS algoritmi asosidagi interaktiv optik stol real holografik tajriba o'rnatishni muvaffaqiyatli simulyatsiya qiladi;</w:t>
      </w:r>
    </w:p>
    <w:p>
      <w:pPr>
        <w:pStyle w:val="ListParagraph"/>
        <w:numPr>
          <w:ilvl w:val="0"/>
          <w:numId w:val="3"/>
        </w:numPr>
        <w:spacing w:line="360"/>
        <w:ind w:left="709"/>
      </w:pPr>
      <w:r>
        <w:rPr>
          <w:rFonts w:ascii="Times New Roman" w:cs="Times New Roman" w:eastAsia="Times New Roman" w:hAnsi="Times New Roman"/>
          <w:sz w:val="22"/>
          <w:szCs w:val="22"/>
        </w:rPr>
        <w:t xml:space="preserve">Three.js WebGL renderer 60 FPS real vaqt 3D interferentsiya vizualizatsiyasini ta'minlaydi;</w:t>
      </w:r>
    </w:p>
    <w:p>
      <w:pPr>
        <w:pStyle w:val="ListParagraph"/>
        <w:numPr>
          <w:ilvl w:val="0"/>
          <w:numId w:val="3"/>
        </w:numPr>
        <w:spacing w:line="360"/>
        <w:ind w:left="709"/>
      </w:pPr>
      <w:r>
        <w:rPr>
          <w:rFonts w:ascii="Times New Roman" w:cs="Times New Roman" w:eastAsia="Times New Roman" w:hAnsi="Times New Roman"/>
          <w:sz w:val="22"/>
          <w:szCs w:val="22"/>
        </w:rPr>
        <w:t xml:space="preserve">Platforma Next.js 14 App Router, React 18, TypeScript, Tailwind CSS v4, Python/FastAPI va PyTorch texnologiyalari yordamida ishlab chiqilgan.</w:t>
      </w:r>
    </w:p>
    <w:p>
      <w:pPr>
        <w:spacing w:after="80" w:before="0"/>
      </w:pPr>
      <w:r>
        <w:t xml:space="preserve"/>
      </w:r>
    </w:p>
    <w:p>
      <w:r>
        <w:br w:type="page"/>
      </w:r>
    </w:p>
    <w:p>
      <w:pPr>
        <w:pStyle w:val="Heading1"/>
        <w:spacing w:after="240" w:before="0"/>
        <w:jc w:val="center"/>
      </w:pPr>
      <w:r>
        <w:rPr>
          <w:rFonts w:ascii="Times New Roman" w:cs="Times New Roman" w:eastAsia="Times New Roman" w:hAnsi="Times New Roman"/>
          <w:b/>
          <w:bCs/>
          <w:caps/>
          <w:sz w:val="26"/>
          <w:szCs w:val="26"/>
        </w:rPr>
        <w:t xml:space="preserve">FOYDALANILGAN ADABIYOTLAR</w:t>
      </w:r>
    </w:p>
    <w:p>
      <w:pPr>
        <w:spacing w:after="80" w:before="0" w:line="360"/>
        <w:ind w:firstLine="0"/>
        <w:jc w:val="both"/>
      </w:pPr>
      <w:r>
        <w:rPr>
          <w:rFonts w:ascii="Times New Roman" w:cs="Times New Roman" w:eastAsia="Times New Roman" w:hAnsi="Times New Roman"/>
          <w:sz w:val="22"/>
          <w:szCs w:val="22"/>
        </w:rPr>
        <w:t xml:space="preserve">[1] Gabor D. A new microscopic principle // Nature. — 1948. — Vol. 161. — P. 777–778.</w:t>
      </w:r>
    </w:p>
    <w:p>
      <w:pPr>
        <w:spacing w:after="80" w:before="0" w:line="360"/>
        <w:ind w:firstLine="0"/>
        <w:jc w:val="both"/>
      </w:pPr>
      <w:r>
        <w:rPr>
          <w:rFonts w:ascii="Times New Roman" w:cs="Times New Roman" w:eastAsia="Times New Roman" w:hAnsi="Times New Roman"/>
          <w:sz w:val="22"/>
          <w:szCs w:val="22"/>
        </w:rPr>
        <w:t xml:space="preserve">[2] Leith E.N., Upatnieks J. Reconstructed wavefronts and communication theory // JOSA. — 1962. — Vol. 52, No. 10. — P. 1123–1130.</w:t>
      </w:r>
    </w:p>
    <w:p>
      <w:pPr>
        <w:spacing w:after="80" w:before="0" w:line="360"/>
        <w:ind w:firstLine="0"/>
        <w:jc w:val="both"/>
      </w:pPr>
      <w:r>
        <w:rPr>
          <w:rFonts w:ascii="Times New Roman" w:cs="Times New Roman" w:eastAsia="Times New Roman" w:hAnsi="Times New Roman"/>
          <w:sz w:val="22"/>
          <w:szCs w:val="22"/>
        </w:rPr>
        <w:t xml:space="preserve">[3] Collier R., Burckhardt C., Lin L. Optical Holography. — Academic Press, 1971. — 605 p.</w:t>
      </w:r>
    </w:p>
    <w:p>
      <w:pPr>
        <w:spacing w:after="80" w:before="0" w:line="360"/>
        <w:ind w:firstLine="0"/>
        <w:jc w:val="both"/>
      </w:pPr>
      <w:r>
        <w:rPr>
          <w:rFonts w:ascii="Times New Roman" w:cs="Times New Roman" w:eastAsia="Times New Roman" w:hAnsi="Times New Roman"/>
          <w:sz w:val="22"/>
          <w:szCs w:val="22"/>
        </w:rPr>
        <w:t xml:space="preserve">[4] Born M., Wolf E. Principles of Optics. 7th ed. — Cambridge University Press, 1999. — 952 p.</w:t>
      </w:r>
    </w:p>
    <w:p>
      <w:pPr>
        <w:spacing w:after="80" w:before="0" w:line="360"/>
        <w:ind w:firstLine="0"/>
        <w:jc w:val="both"/>
      </w:pPr>
      <w:r>
        <w:rPr>
          <w:rFonts w:ascii="Times New Roman" w:cs="Times New Roman" w:eastAsia="Times New Roman" w:hAnsi="Times New Roman"/>
          <w:sz w:val="22"/>
          <w:szCs w:val="22"/>
        </w:rPr>
        <w:t xml:space="preserve">[5] Goodman J.W. Introduction to Fourier Optics. 3rd ed. — Roberts &amp; Company, 2005. — 491 p.</w:t>
      </w:r>
    </w:p>
    <w:p>
      <w:pPr>
        <w:spacing w:after="80" w:before="0" w:line="360"/>
        <w:ind w:firstLine="0"/>
        <w:jc w:val="both"/>
      </w:pPr>
      <w:r>
        <w:rPr>
          <w:rFonts w:ascii="Times New Roman" w:cs="Times New Roman" w:eastAsia="Times New Roman" w:hAnsi="Times New Roman"/>
          <w:sz w:val="22"/>
          <w:szCs w:val="22"/>
        </w:rPr>
        <w:t xml:space="preserve">[6] Cormen T.H. et al. Introduction to Algorithms. 4th ed. — MIT Press, 2022. — 1312 p.</w:t>
      </w:r>
    </w:p>
    <w:p>
      <w:pPr>
        <w:spacing w:after="80" w:before="0" w:line="360"/>
        <w:ind w:firstLine="0"/>
        <w:jc w:val="both"/>
      </w:pPr>
      <w:r>
        <w:rPr>
          <w:rFonts w:ascii="Times New Roman" w:cs="Times New Roman" w:eastAsia="Times New Roman" w:hAnsi="Times New Roman"/>
          <w:sz w:val="22"/>
          <w:szCs w:val="22"/>
        </w:rPr>
        <w:t xml:space="preserve">[7] Mandelbrot B.B. The Fractal Geometry of Nature. — W.H. Freeman, 1982. — 468 p.</w:t>
      </w:r>
    </w:p>
    <w:p>
      <w:pPr>
        <w:spacing w:after="80" w:before="0" w:line="360"/>
        <w:ind w:firstLine="0"/>
        <w:jc w:val="both"/>
      </w:pPr>
      <w:r>
        <w:rPr>
          <w:rFonts w:ascii="Times New Roman" w:cs="Times New Roman" w:eastAsia="Times New Roman" w:hAnsi="Times New Roman"/>
          <w:sz w:val="22"/>
          <w:szCs w:val="22"/>
        </w:rPr>
        <w:t xml:space="preserve">[8] He K., Zhang X., Ren S., Sun J. Deep Residual Learning for Image Recognition // CVPR 2016. — P. 770–778.</w:t>
      </w:r>
    </w:p>
    <w:p>
      <w:pPr>
        <w:spacing w:after="80" w:before="0" w:line="360"/>
        <w:ind w:firstLine="0"/>
        <w:jc w:val="both"/>
      </w:pPr>
      <w:r>
        <w:rPr>
          <w:rFonts w:ascii="Times New Roman" w:cs="Times New Roman" w:eastAsia="Times New Roman" w:hAnsi="Times New Roman"/>
          <w:sz w:val="22"/>
          <w:szCs w:val="22"/>
        </w:rPr>
        <w:t xml:space="preserve">[9] Liu F., Shen C., Lin G. Deep Convolutional Neural Fields for Depth Estimation from a Single Image // CVPR 2015. — P. 5162–5170.</w:t>
      </w:r>
    </w:p>
    <w:p>
      <w:pPr>
        <w:spacing w:after="80" w:before="0" w:line="360"/>
        <w:ind w:firstLine="0"/>
        <w:jc w:val="both"/>
      </w:pPr>
      <w:r>
        <w:rPr>
          <w:rFonts w:ascii="Times New Roman" w:cs="Times New Roman" w:eastAsia="Times New Roman" w:hAnsi="Times New Roman"/>
          <w:sz w:val="22"/>
          <w:szCs w:val="22"/>
        </w:rPr>
        <w:t xml:space="preserve">[10] Wang Z. et al. Image Quality Assessment: From Error Visibility to Structural Similarity // IEEE TIP. — 2004. — Vol. 13, No. 4. — P. 600–612.</w:t>
      </w:r>
    </w:p>
    <w:p>
      <w:pPr>
        <w:spacing w:after="80" w:before="0" w:line="360"/>
        <w:ind w:firstLine="0"/>
        <w:jc w:val="both"/>
      </w:pPr>
      <w:r>
        <w:rPr>
          <w:rFonts w:ascii="Times New Roman" w:cs="Times New Roman" w:eastAsia="Times New Roman" w:hAnsi="Times New Roman"/>
          <w:sz w:val="22"/>
          <w:szCs w:val="22"/>
        </w:rPr>
        <w:t xml:space="preserve">[11] Yang L. et al. Depth Anything V2 // arXiv:2406.09414. — 2024.</w:t>
      </w:r>
    </w:p>
    <w:p>
      <w:pPr>
        <w:spacing w:after="80" w:before="0" w:line="360"/>
        <w:ind w:firstLine="0"/>
        <w:jc w:val="both"/>
      </w:pPr>
      <w:r>
        <w:rPr>
          <w:rFonts w:ascii="Times New Roman" w:cs="Times New Roman" w:eastAsia="Times New Roman" w:hAnsi="Times New Roman"/>
          <w:sz w:val="22"/>
          <w:szCs w:val="22"/>
        </w:rPr>
        <w:t xml:space="preserve">[12] Achanta R. et al. SLIC Superpixels Compared to State-of-the-art Superpixel Methods // IEEE TPAMI. — 2012. — Vol. 34, No. 11. — P. 2274–2282.</w:t>
      </w:r>
    </w:p>
    <w:p>
      <w:pPr>
        <w:spacing w:after="80" w:before="0" w:line="360"/>
        <w:ind w:firstLine="0"/>
        <w:jc w:val="both"/>
      </w:pPr>
      <w:r>
        <w:rPr>
          <w:rFonts w:ascii="Times New Roman" w:cs="Times New Roman" w:eastAsia="Times New Roman" w:hAnsi="Times New Roman"/>
          <w:sz w:val="22"/>
          <w:szCs w:val="22"/>
        </w:rPr>
        <w:t xml:space="preserve">[13] Lorensen W.E., Cline H.E. Marching Cubes: A High Resolution 3D Surface Construction Algorithm // SIGGRAPH '87. — P. 163–169.</w:t>
      </w:r>
    </w:p>
    <w:p>
      <w:pPr>
        <w:spacing w:after="80" w:before="0" w:line="360"/>
        <w:ind w:firstLine="0"/>
        <w:jc w:val="both"/>
      </w:pPr>
      <w:r>
        <w:rPr>
          <w:rFonts w:ascii="Times New Roman" w:cs="Times New Roman" w:eastAsia="Times New Roman" w:hAnsi="Times New Roman"/>
          <w:sz w:val="22"/>
          <w:szCs w:val="22"/>
        </w:rPr>
        <w:t xml:space="preserve">[14] Next.js Documentation. App Router. — https://nextjs.org/docs, 2024.</w:t>
      </w:r>
    </w:p>
    <w:p>
      <w:pPr>
        <w:spacing w:after="80" w:before="0" w:line="360"/>
        <w:ind w:firstLine="0"/>
        <w:jc w:val="both"/>
      </w:pPr>
      <w:r>
        <w:rPr>
          <w:rFonts w:ascii="Times New Roman" w:cs="Times New Roman" w:eastAsia="Times New Roman" w:hAnsi="Times New Roman"/>
          <w:sz w:val="22"/>
          <w:szCs w:val="22"/>
        </w:rPr>
        <w:t xml:space="preserve">[15] Three.js r164 Documentation. — https://threejs.org/docs, 2024.</w:t>
      </w:r>
    </w:p>
    <w:sectPr>
      <w:footerReference w:type="default" r:id="rId7"/>
      <w:pgSz w:w="11906" w:h="16838" w:orient="portrait"/>
      <w:pgMar w:top="1418" w:right="992" w:bottom="992"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abstractNum w:abstractNumId="3" w15:restartNumberingAfterBreak="0">
    <w:multiLevelType w:val="hybridMultilevel"/>
    <w:lvl w:ilvl="0" w15:tentative="1">
      <w:start w:val="1"/>
      <w:numFmt w:val="decimal"/>
      <w:lvlText w:val="%1)"/>
      <w:lvlJc w:val="left"/>
      <w:pPr>
        <w:ind w:left="70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80" w:line="360" w:lineRule="auto"/>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652eb991ce478e5a7fb49f941f25184ac77113.png"/><Relationship Id="rId9" Type="http://schemas.openxmlformats.org/officeDocument/2006/relationships/image" Target="media/8a900c8da4be9c930ebac2dacc4e8b3c863d0e83.jpeg"/><Relationship Id="rId10" Type="http://schemas.openxmlformats.org/officeDocument/2006/relationships/image" Target="media/fcbf12f36c799c72aa17c3110801bc37f190478b.jpeg"/><Relationship Id="rId11" Type="http://schemas.openxmlformats.org/officeDocument/2006/relationships/image" Target="media/f094498ddc841d4b0f081f5e284e20fbd331664b.jpeg"/><Relationship Id="rId12" Type="http://schemas.openxmlformats.org/officeDocument/2006/relationships/image" Target="media/7207079f1f99464e34f8f937829bf4f91b1e0d87.jpeg"/><Relationship Id="rId13" Type="http://schemas.openxmlformats.org/officeDocument/2006/relationships/image" Target="media/2f74e7263a5688a996952d2b390a5886e87b2602.jpeg"/><Relationship Id="rId14" Type="http://schemas.openxmlformats.org/officeDocument/2006/relationships/image" Target="media/54227c121c14bee2787bb4c13fb7f6684640ec75.jpeg"/><Relationship Id="rId15" Type="http://schemas.openxmlformats.org/officeDocument/2006/relationships/image" Target="media/95da90adf4e5322bd7a6c3becb438d670b6f3021.png"/><Relationship Id="rId16" Type="http://schemas.openxmlformats.org/officeDocument/2006/relationships/image" Target="media/a9e33cf9ed9d92719a2bbae4b2d18cc77a52c1af.png"/><Relationship Id="rId17" Type="http://schemas.openxmlformats.org/officeDocument/2006/relationships/image" Target="media/b2398b78bea74e4d97b7e1a40b0cc9db77964fb6.jpeg"/><Relationship Id="rId18" Type="http://schemas.openxmlformats.org/officeDocument/2006/relationships/image" Target="media/798ba0875c7a5516f7508559062755a292038341.jpeg"/><Relationship Id="rId19" Type="http://schemas.openxmlformats.org/officeDocument/2006/relationships/image" Target="media/9fbfa6ac908e6fde69c00d5c8837de1692e6cb3b.jpeg"/><Relationship Id="rId20" Type="http://schemas.openxmlformats.org/officeDocument/2006/relationships/image" Target="media/2f10e23278c0a0fd4edcf448f1ca426be41879fc.jpeg"/><Relationship Id="rId21" Type="http://schemas.openxmlformats.org/officeDocument/2006/relationships/image" Target="media/b50367091c3a5c0ae2e990ce0c53a52b56bd1628.png"/><Relationship Id="rId22" Type="http://schemas.openxmlformats.org/officeDocument/2006/relationships/image" Target="media/5faa705866a5c9630025fa7bad1e749f41e20c13.png"/><Relationship Id="rId23" Type="http://schemas.openxmlformats.org/officeDocument/2006/relationships/image" Target="media/b4099569541452e2af891dc6a2cce1f4bc0713be.png"/><Relationship Id="rId24" Type="http://schemas.openxmlformats.org/officeDocument/2006/relationships/image" Target="media/0d87f1b096573d783999b34d32f107ccf03e036b.jpeg"/><Relationship Id="rId25" Type="http://schemas.openxmlformats.org/officeDocument/2006/relationships/image" Target="media/6fa34cb4999fa760b226b1bb6865c3d97e8ebe6d.jpeg"/><Relationship Id="rId26" Type="http://schemas.openxmlformats.org/officeDocument/2006/relationships/image" Target="media/b8fd9bb6f7cc7367028c9a0b1286051b4b7b146d.jpeg"/><Relationship Id="rId27" Type="http://schemas.openxmlformats.org/officeDocument/2006/relationships/image" Target="media/e4974e935148bae4bd871987525474e269f6ab92.png"/><Relationship Id="rId28" Type="http://schemas.openxmlformats.org/officeDocument/2006/relationships/image" Target="media/af0ab466364cea97f6b85dd34c322176963f61b4.png"/><Relationship Id="rId29" Type="http://schemas.openxmlformats.org/officeDocument/2006/relationships/image" Target="media/0fb095fe3b1e79bab42a449552cfe0474009cf6a.png"/><Relationship Id="rId30" Type="http://schemas.openxmlformats.org/officeDocument/2006/relationships/image" Target="media/d89b253a4aec2179079a5fedf111f1bce0585fdd.jpeg"/><Relationship Id="rId31" Type="http://schemas.openxmlformats.org/officeDocument/2006/relationships/image" Target="media/f90012b74a6bf130c026365066ef0da0f5f52e4e.jpeg"/><Relationship Id="rId32" Type="http://schemas.openxmlformats.org/officeDocument/2006/relationships/image" Target="media/a115594c0e6cacaee9b36540c84696b06a151fc8.jpeg"/><Relationship Id="rId33" Type="http://schemas.openxmlformats.org/officeDocument/2006/relationships/image" Target="media/8eeb69802204dd0602b6aa128dd5b3dc785db681.jpeg"/><Relationship Id="rId34" Type="http://schemas.openxmlformats.org/officeDocument/2006/relationships/image" Target="media/3ec9fefe6210eadcea8998354124fdd6650f38e7.png"/><Relationship Id="rId35" Type="http://schemas.openxmlformats.org/officeDocument/2006/relationships/image" Target="media/60c329d2720c7cc7b389a91b8cc49564279d0737.png"/><Relationship Id="rId36" Type="http://schemas.openxmlformats.org/officeDocument/2006/relationships/image" Target="media/294a39ed67ca446cbd1422effaad9c35275c942d.jpeg"/><Relationship Id="rId37" Type="http://schemas.openxmlformats.org/officeDocument/2006/relationships/image" Target="media/e06355632555921ec0eec3573d74a4de421740b1.jpeg"/><Relationship Id="rId38" Type="http://schemas.openxmlformats.org/officeDocument/2006/relationships/image" Target="media/69f5ee443b4223722d210b7e1884f0d1550e9b12.jpeg"/><Relationship Id="rId39" Type="http://schemas.openxmlformats.org/officeDocument/2006/relationships/image" Target="media/f51d91c009a83ae8f60abccb930a216376be288f.jpeg"/><Relationship Id="rId40" Type="http://schemas.openxmlformats.org/officeDocument/2006/relationships/image" Target="media/d4edd354a0370d5d665c72bbc8aa6f564186c073.jpeg"/><Relationship Id="rId41" Type="http://schemas.openxmlformats.org/officeDocument/2006/relationships/image" Target="media/b66cc36875ba4869b215ee1d53a54f1444b38be6.jpeg"/><Relationship Id="rId42" Type="http://schemas.openxmlformats.org/officeDocument/2006/relationships/image" Target="media/fa2fcbd083f7285cebd131c8f169a62652602c86.jpeg"/><Relationship Id="rId43" Type="http://schemas.openxmlformats.org/officeDocument/2006/relationships/image" Target="media/52f760e0f3036c4459751313e2c0237df97e1928.jpeg"/><Relationship Id="rId44" Type="http://schemas.openxmlformats.org/officeDocument/2006/relationships/image" Target="media/867b7a180bae5f0a4ed72b93848177eac8f58c30.jpeg"/><Relationship Id="rId45" Type="http://schemas.openxmlformats.org/officeDocument/2006/relationships/image" Target="media/f5082f7097e5aeb019182becabc6971607b18a2d.jpeg"/><Relationship Id="rId46" Type="http://schemas.openxmlformats.org/officeDocument/2006/relationships/image" Target="media/8a76488fecc50ffdc18717f4b9e33a9e700d9b3a.jpe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2026-06-07T14:54:20.116Z</dcterms:created>
  <dcterms:modified xsi:type="dcterms:W3CDTF">2026-06-07T14:54:20.116Z</dcterms:modified>
</cp:coreProperties>
</file>

<file path=docProps/custom.xml><?xml version="1.0" encoding="utf-8"?>
<Properties xmlns="http://schemas.openxmlformats.org/officeDocument/2006/custom-properties" xmlns:vt="http://schemas.openxmlformats.org/officeDocument/2006/docPropsVTypes"/>
</file>