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52"/>
          <w:shd w:fill="auto" w:val="clear"/>
        </w:rPr>
        <w:t xml:space="preserve">Matriz de Rastreabilidade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(Necessidades x Características)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Necessidades: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N01: Sistema de pedidos online;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N02: Cadastro de matéria-prima;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N03: Maior controle de estoque;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N04: Controle de entrada e saída de produtos;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N05: Maior alcance na internet através do website;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N06: Website com anúncios dos produtos.</w:t>
      </w:r>
    </w:p>
    <w:tbl>
      <w:tblPr/>
      <w:tblGrid>
        <w:gridCol w:w="960"/>
        <w:gridCol w:w="4820"/>
        <w:gridCol w:w="960"/>
        <w:gridCol w:w="960"/>
        <w:gridCol w:w="960"/>
        <w:gridCol w:w="960"/>
        <w:gridCol w:w="960"/>
        <w:gridCol w:w="960"/>
      </w:tblGrid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48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Característica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N01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N02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N03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N04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N05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N06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Controle de Matéria-Prima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Controle de Cópias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Entrada e Saída de Produtos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Sistemas para Clientes Acompanhar os Pedidos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Orçamento Automático Online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Sistema de Pedidos de Clientes Online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Pedidos Via Redes Sociais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Anúncios em Redes Sociais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300" w:hRule="auto"/>
          <w:jc w:val="left"/>
        </w:trPr>
        <w:tc>
          <w:tcPr>
            <w:tcW w:w="96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8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Marketing para Produtos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6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70" w:type="dxa"/>
              <w:right w:w="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