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BB2B" w14:textId="77777777" w:rsidR="00066BDD" w:rsidRDefault="00000000">
      <w:pPr>
        <w:spacing w:before="400"/>
      </w:pPr>
      <w:r>
        <w:rPr>
          <w:b/>
          <w:bCs/>
          <w:color w:val="2E5AAC"/>
          <w:sz w:val="30"/>
          <w:szCs w:val="30"/>
        </w:rPr>
        <w:t>ТОО «Нуса»</w:t>
      </w:r>
    </w:p>
    <w:p w14:paraId="108A1FF0" w14:textId="77777777" w:rsidR="00066BDD" w:rsidRDefault="00000000">
      <w:pPr>
        <w:spacing w:after="40"/>
      </w:pPr>
      <w:r>
        <w:rPr>
          <w:color w:val="6B7280"/>
          <w:sz w:val="20"/>
          <w:szCs w:val="20"/>
        </w:rPr>
        <w:t>Разработка и внедрение программного обеспечения</w:t>
      </w:r>
    </w:p>
    <w:p w14:paraId="1DF80053" w14:textId="77777777" w:rsidR="00066BDD" w:rsidRDefault="00066BDD">
      <w:pPr>
        <w:pBdr>
          <w:bottom w:val="single" w:sz="12" w:space="4" w:color="2E5AAC"/>
        </w:pBdr>
        <w:spacing w:after="2400"/>
      </w:pPr>
    </w:p>
    <w:p w14:paraId="4E31243A" w14:textId="77777777" w:rsidR="00066BDD" w:rsidRDefault="00000000">
      <w:pPr>
        <w:spacing w:after="120"/>
        <w:jc w:val="center"/>
      </w:pPr>
      <w:r>
        <w:rPr>
          <w:b/>
          <w:bCs/>
          <w:sz w:val="40"/>
          <w:szCs w:val="40"/>
        </w:rPr>
        <w:t>ТЕХНИЧЕСКОЕ ЗАДАНИЕ</w:t>
      </w:r>
    </w:p>
    <w:p w14:paraId="4E47A820" w14:textId="77777777" w:rsidR="00066BDD" w:rsidRDefault="00000000">
      <w:pPr>
        <w:spacing w:after="80"/>
        <w:jc w:val="center"/>
      </w:pPr>
      <w:r>
        <w:rPr>
          <w:b/>
          <w:bCs/>
          <w:color w:val="2E5AAC"/>
          <w:sz w:val="30"/>
          <w:szCs w:val="30"/>
        </w:rPr>
        <w:t>на доработку функционала CRM-системы KUB</w:t>
      </w:r>
    </w:p>
    <w:p w14:paraId="2E09B269" w14:textId="77777777" w:rsidR="00066BDD" w:rsidRDefault="00000000">
      <w:pPr>
        <w:spacing w:after="2600"/>
        <w:jc w:val="center"/>
      </w:pPr>
      <w:r>
        <w:rPr>
          <w:i/>
          <w:iCs/>
          <w:color w:val="6B7280"/>
        </w:rPr>
        <w:t>Тарификация и учёт хранилища · Пробный период · Раздел обучающих видеоматериалов</w:t>
      </w:r>
    </w:p>
    <w:p w14:paraId="0FDE8FD9" w14:textId="77777777" w:rsidR="00FB351B" w:rsidRDefault="00FB351B">
      <w:pPr>
        <w:spacing w:after="40"/>
        <w:jc w:val="center"/>
        <w:rPr>
          <w:sz w:val="22"/>
          <w:szCs w:val="22"/>
          <w:lang w:val="ru-RU"/>
        </w:rPr>
      </w:pPr>
    </w:p>
    <w:p w14:paraId="4D6EE717" w14:textId="6C72EC42" w:rsidR="00066BDD" w:rsidRDefault="00000000">
      <w:pPr>
        <w:spacing w:after="40"/>
        <w:jc w:val="center"/>
      </w:pPr>
      <w:r>
        <w:rPr>
          <w:sz w:val="22"/>
          <w:szCs w:val="22"/>
        </w:rPr>
        <w:t>Версия: 1.0</w:t>
      </w:r>
    </w:p>
    <w:p w14:paraId="32A4444F" w14:textId="77777777" w:rsidR="00066BDD" w:rsidRDefault="00000000">
      <w:pPr>
        <w:spacing w:after="40"/>
        <w:jc w:val="center"/>
      </w:pPr>
      <w:r>
        <w:rPr>
          <w:sz w:val="22"/>
          <w:szCs w:val="22"/>
        </w:rPr>
        <w:t>Статус: на согласование с Заказчиком</w:t>
      </w:r>
    </w:p>
    <w:p w14:paraId="5FF42FFF" w14:textId="77777777" w:rsidR="00066BDD" w:rsidRDefault="00000000">
      <w:r>
        <w:br w:type="page"/>
      </w:r>
    </w:p>
    <w:p w14:paraId="35E23310" w14:textId="77777777" w:rsidR="00066BDD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lastRenderedPageBreak/>
        <w:t>1. Общие сведения</w:t>
      </w:r>
    </w:p>
    <w:tbl>
      <w:tblPr>
        <w:tblW w:w="9360" w:type="dxa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066BDD" w14:paraId="32DE6729" w14:textId="77777777">
        <w:trPr>
          <w:tblHeader/>
        </w:trPr>
        <w:tc>
          <w:tcPr>
            <w:tcW w:w="31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DB618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26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82ED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066BDD" w14:paraId="52F9BF49" w14:textId="77777777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580E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Заказчик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C17D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____________________ (далее — «Заказчик»)</w:t>
            </w:r>
          </w:p>
        </w:tc>
      </w:tr>
      <w:tr w:rsidR="00066BDD" w14:paraId="30EE3A22" w14:textId="77777777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3C6B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Исполнитель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BA1A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ТОО «Нуса» (далее — «Исполнитель»)</w:t>
            </w:r>
          </w:p>
        </w:tc>
      </w:tr>
      <w:tr w:rsidR="00066BDD" w14:paraId="6A640B5E" w14:textId="77777777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F727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Основание для выполнения работ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73FA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Договор на доработку/разработку ПО; заявка Заказчика на развитие функционала</w:t>
            </w:r>
          </w:p>
        </w:tc>
      </w:tr>
      <w:tr w:rsidR="00066BDD" w14:paraId="6C0558A5" w14:textId="77777777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1547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Наименование системы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0F80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KUB CRM — корпоративная CRM-платформа Заказчика</w:t>
            </w:r>
          </w:p>
        </w:tc>
      </w:tr>
      <w:tr w:rsidR="00066BDD" w14:paraId="00576E4B" w14:textId="77777777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A628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Дата подготовки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1BE1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03.09.2026</w:t>
            </w:r>
          </w:p>
        </w:tc>
      </w:tr>
      <w:tr w:rsidR="00066BDD" w14:paraId="5D6BF5C3" w14:textId="77777777"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E7EC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Язык интерфейса и документации</w:t>
            </w:r>
          </w:p>
        </w:tc>
        <w:tc>
          <w:tcPr>
            <w:tcW w:w="6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16CF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Русский (казахский/английский — по согласованию)</w:t>
            </w:r>
          </w:p>
        </w:tc>
      </w:tr>
    </w:tbl>
    <w:p w14:paraId="11C02FA1" w14:textId="77777777" w:rsidR="00066BDD" w:rsidRDefault="00066BDD">
      <w:pPr>
        <w:spacing w:after="80"/>
      </w:pPr>
    </w:p>
    <w:p w14:paraId="14EFFBA6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1.1. Назначение документа</w:t>
      </w:r>
    </w:p>
    <w:p w14:paraId="5595BFB5" w14:textId="77777777" w:rsidR="00066BDD" w:rsidRDefault="00000000">
      <w:pPr>
        <w:spacing w:after="120" w:line="276" w:lineRule="auto"/>
        <w:jc w:val="both"/>
      </w:pPr>
      <w:r>
        <w:t>Настоящее Техническое задание (далее — ТЗ) определяет требования к доработке действующей CRM-системы KUB в части трёх функциональных блоков: (1) система тарификации с учётом используемого дискового пространства для хранения данных (документы, фотографии, вложения) и наглядным отображением заполненности; (2) пробный (бесплатный) период использования системы сроком на одну неделю; (3) отдельный раздел с обучающими видеоматериалами по работе с системой.</w:t>
      </w:r>
    </w:p>
    <w:p w14:paraId="6CE869A1" w14:textId="77777777" w:rsidR="00066BDD" w:rsidRDefault="00000000">
      <w:pPr>
        <w:spacing w:after="120" w:line="276" w:lineRule="auto"/>
        <w:jc w:val="both"/>
      </w:pPr>
      <w:r>
        <w:t>ТЗ предназначено для согласования объёма и порядка работ между Заказчиком и Исполнителем (ТОО «Нуса») и является основанием для разработки, тестирования и приёмки доработок.</w:t>
      </w:r>
    </w:p>
    <w:p w14:paraId="2B292E64" w14:textId="77777777" w:rsidR="00066BDD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2. Термины и сокращения</w:t>
      </w:r>
    </w:p>
    <w:tbl>
      <w:tblPr>
        <w:tblW w:w="9360" w:type="dxa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66BDD" w14:paraId="279B7100" w14:textId="77777777">
        <w:trPr>
          <w:tblHeader/>
        </w:trPr>
        <w:tc>
          <w:tcPr>
            <w:tcW w:w="26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7131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76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4DDA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Определение</w:t>
            </w:r>
          </w:p>
        </w:tc>
      </w:tr>
      <w:tr w:rsidR="00066BDD" w14:paraId="263A367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C772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Тариф (тарифный план)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2DF6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Набор ограничений и возможностей, предоставляемых компании-пользователю: объём хранилища, число пользователей, доступные модули, срок действия.</w:t>
            </w:r>
          </w:p>
        </w:tc>
      </w:tr>
      <w:tr w:rsidR="00066BDD" w14:paraId="3B88E00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70FE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Хранилище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855B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Дисковое пространство, занятое файлами компании: сгенерированные документы (DOCX/PDF/XLSX), загруженные фотографии, вложения чатов и карточек.</w:t>
            </w:r>
          </w:p>
        </w:tc>
      </w:tr>
      <w:tr w:rsidR="00066BDD" w14:paraId="69B12C0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6302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Квота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FDDE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Максимально допустимый объём хранилища в рамках тарифа (в ГБ).</w:t>
            </w:r>
          </w:p>
        </w:tc>
      </w:tr>
      <w:tr w:rsidR="00066BDD" w14:paraId="744255E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D90C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Заполненность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7188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Отношение занятого объёма хранилища к квоте тарифа, выраженное в процентах.</w:t>
            </w:r>
          </w:p>
        </w:tc>
      </w:tr>
      <w:tr w:rsidR="00066BDD" w14:paraId="3C17E1B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9306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Пробный период (Trial)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61171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Ограниченный по времени бесплатный доступ к системе для новой компании.</w:t>
            </w:r>
          </w:p>
        </w:tc>
      </w:tr>
      <w:tr w:rsidR="00066BDD" w14:paraId="1E7AE28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C049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Компания (аккаунт)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CAC4D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Организация-пользователь системы, в рамках которой работают филиалы и сотрудники.</w:t>
            </w:r>
          </w:p>
        </w:tc>
      </w:tr>
      <w:tr w:rsidR="00066BDD" w14:paraId="1C99620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7B94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S3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BB41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Объектное хранилище, используемое системой в production-среде для хранения файлов.</w:t>
            </w:r>
          </w:p>
        </w:tc>
      </w:tr>
    </w:tbl>
    <w:p w14:paraId="4352E0AA" w14:textId="77777777" w:rsidR="00066BDD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lastRenderedPageBreak/>
        <w:t>3. Блок 1. Тарификация и учёт хранилища</w:t>
      </w:r>
    </w:p>
    <w:p w14:paraId="5D81BB17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3.1. Цель</w:t>
      </w:r>
    </w:p>
    <w:p w14:paraId="54F33952" w14:textId="77777777" w:rsidR="00066BDD" w:rsidRDefault="00000000">
      <w:pPr>
        <w:spacing w:after="120" w:line="276" w:lineRule="auto"/>
        <w:jc w:val="both"/>
      </w:pPr>
      <w:r>
        <w:t>Реализовать в системе управление тарифными планами с ограничением по объёму хранимых данных (по аналогии с механикой хранилища в Битрикс24), а также наглядное отображение занятого и доступного объёма для контроля заполненности.</w:t>
      </w:r>
    </w:p>
    <w:p w14:paraId="11EAE212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3.2. Функциональные требования</w:t>
      </w:r>
    </w:p>
    <w:p w14:paraId="7AEF99DD" w14:textId="77777777" w:rsidR="00066BDD" w:rsidRDefault="00000000">
      <w:pPr>
        <w:pStyle w:val="3"/>
        <w:spacing w:before="160" w:after="80"/>
      </w:pPr>
      <w:r>
        <w:rPr>
          <w:b/>
          <w:bCs/>
          <w:i/>
          <w:iCs/>
          <w:color w:val="1F2937"/>
        </w:rPr>
        <w:t>3.2.1. Тарифные планы</w:t>
      </w:r>
    </w:p>
    <w:p w14:paraId="54EE9E82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Система поддерживает несколько тарифных планов. Каждый план задаёт квоту хранилища (в ГБ) и может дополнительно ограничивать число активных пользователей, число филиалов и набор доступных модулей.</w:t>
      </w:r>
    </w:p>
    <w:p w14:paraId="6143B85E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Тарифные планы и их параметры настраиваются администратором (роль System Admin) без изменения программного кода.</w:t>
      </w:r>
    </w:p>
    <w:p w14:paraId="7E04D180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Для каждой компании хранится: текущий тариф, дата начала и дата окончания действия тарифа, статус (активен / приостановлен / истёк).</w:t>
      </w:r>
    </w:p>
    <w:p w14:paraId="19E61629" w14:textId="77777777" w:rsidR="00066BDD" w:rsidRDefault="00000000">
      <w:pPr>
        <w:spacing w:after="120" w:line="276" w:lineRule="auto"/>
        <w:jc w:val="both"/>
      </w:pPr>
      <w:r>
        <w:rPr>
          <w:i/>
          <w:iCs/>
        </w:rPr>
        <w:t>Примерная линейка тарифов (значения — предварительные, уточняются Заказчиком):</w:t>
      </w:r>
    </w:p>
    <w:tbl>
      <w:tblPr>
        <w:tblW w:w="9360" w:type="dxa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2060"/>
      </w:tblGrid>
      <w:tr w:rsidR="00066BDD" w14:paraId="32B8B44D" w14:textId="77777777">
        <w:trPr>
          <w:tblHeader/>
        </w:trPr>
        <w:tc>
          <w:tcPr>
            <w:tcW w:w="22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E3B6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7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752A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Старт</w:t>
            </w:r>
          </w:p>
        </w:tc>
        <w:tc>
          <w:tcPr>
            <w:tcW w:w="17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A100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Бизнес</w:t>
            </w:r>
          </w:p>
        </w:tc>
        <w:tc>
          <w:tcPr>
            <w:tcW w:w="17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678D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Премиум</w:t>
            </w:r>
          </w:p>
        </w:tc>
        <w:tc>
          <w:tcPr>
            <w:tcW w:w="206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4AEF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Индивид.</w:t>
            </w:r>
          </w:p>
        </w:tc>
      </w:tr>
      <w:tr w:rsidR="00066BDD" w14:paraId="7AEE96F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C303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Объём хранилища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5084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5 ГБ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8656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50 ГБ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556D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200 ГБ</w:t>
            </w:r>
          </w:p>
        </w:tc>
        <w:tc>
          <w:tcPr>
            <w:tcW w:w="2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C1BAE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 договору</w:t>
            </w:r>
          </w:p>
        </w:tc>
      </w:tr>
      <w:tr w:rsidR="00066BDD" w14:paraId="1ABFF41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2306A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Пользователи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80C46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до 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DB5A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до 25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0AB2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до 100</w:t>
            </w:r>
          </w:p>
        </w:tc>
        <w:tc>
          <w:tcPr>
            <w:tcW w:w="2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4A5F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 договору</w:t>
            </w:r>
          </w:p>
        </w:tc>
      </w:tr>
      <w:tr w:rsidR="00066BDD" w14:paraId="197EA03C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8DBD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Филиалы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69C6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89CE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до 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5224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без лимита</w:t>
            </w:r>
          </w:p>
        </w:tc>
        <w:tc>
          <w:tcPr>
            <w:tcW w:w="2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12A9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 договору</w:t>
            </w:r>
          </w:p>
        </w:tc>
      </w:tr>
      <w:tr w:rsidR="00066BDD" w14:paraId="065D3DB1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5D22C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Модули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CBA8E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базовые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8186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все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EC467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все</w:t>
            </w:r>
          </w:p>
        </w:tc>
        <w:tc>
          <w:tcPr>
            <w:tcW w:w="2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6B45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все + доработки</w:t>
            </w:r>
          </w:p>
        </w:tc>
      </w:tr>
    </w:tbl>
    <w:p w14:paraId="42145A16" w14:textId="77777777" w:rsidR="00066BDD" w:rsidRDefault="00000000">
      <w:pPr>
        <w:pStyle w:val="3"/>
        <w:spacing w:before="160" w:after="80"/>
      </w:pPr>
      <w:r>
        <w:rPr>
          <w:b/>
          <w:bCs/>
          <w:i/>
          <w:iCs/>
          <w:color w:val="1F2937"/>
        </w:rPr>
        <w:t>3.2.2. Учёт занятого места</w:t>
      </w:r>
    </w:p>
    <w:p w14:paraId="21D0CCF8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Система рассчитывает суммарный объём хранилища компании, учитывая: сгенерированные документы (DOCX, PDF, XLSX), загруженные фотографии и изображения, вложения во внутренних чатах, файлы в карточках клиентов, лидов и сделок.</w:t>
      </w:r>
    </w:p>
    <w:p w14:paraId="62540ACD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Учёт ведётся в разрезе компании (аккаунта). Дополнительно может отображаться разбивка по типам данных (документы / фото / вложения) — по согласованию.</w:t>
      </w:r>
    </w:p>
    <w:p w14:paraId="4D2F49F7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Расчёт корректно работает в production-среде с объектным хранилищем S3 и в dev-среде с локальным диском.</w:t>
      </w:r>
    </w:p>
    <w:p w14:paraId="2A356D5C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Предусматривается фоновый пересчёт использованного объёма (по расписанию и/или при событиях загрузки/удаления файлов) для поддержания актуальности показателя без нагрузки на интерфейс.</w:t>
      </w:r>
    </w:p>
    <w:p w14:paraId="5EB13A16" w14:textId="77777777" w:rsidR="00066BDD" w:rsidRDefault="00000000">
      <w:pPr>
        <w:pStyle w:val="3"/>
        <w:spacing w:before="160" w:after="80"/>
      </w:pPr>
      <w:r>
        <w:rPr>
          <w:b/>
          <w:bCs/>
          <w:i/>
          <w:iCs/>
          <w:color w:val="1F2937"/>
        </w:rPr>
        <w:t>3.2.3. Отображение заполненности</w:t>
      </w:r>
    </w:p>
    <w:p w14:paraId="500E4BC3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 интерфейсе выводится индикатор заполненности хранилища: «Занято X ГБ из Y ГБ» с прогресс-баром и процентом заполнения.</w:t>
      </w:r>
    </w:p>
    <w:p w14:paraId="4F7D55A6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Цветовая индикация состояния: нормальное (до 80%), предупреждение (80–99%), критическое (100% — квота исчерпана).</w:t>
      </w:r>
    </w:p>
    <w:p w14:paraId="164BAB08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Индикатор доступен в разделе управления тарифом; краткий индикатор может выводиться в шапке/настройках для ролей руководства и администратора.</w:t>
      </w:r>
    </w:p>
    <w:p w14:paraId="6FED10B2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lastRenderedPageBreak/>
        <w:t>Отображение разбивки занятого объёма по категориям данных (по согласованию).</w:t>
      </w:r>
    </w:p>
    <w:p w14:paraId="74A65EBE" w14:textId="77777777" w:rsidR="00066BDD" w:rsidRDefault="00000000">
      <w:pPr>
        <w:pStyle w:val="3"/>
        <w:spacing w:before="160" w:after="80"/>
      </w:pPr>
      <w:r>
        <w:rPr>
          <w:b/>
          <w:bCs/>
          <w:i/>
          <w:iCs/>
          <w:color w:val="1F2937"/>
        </w:rPr>
        <w:t>3.2.4. Поведение при достижении лимита</w:t>
      </w:r>
    </w:p>
    <w:p w14:paraId="2D8D9663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При достижении 80% квоты сотрудникам с правами управления показывается предупреждение о приближении к лимиту.</w:t>
      </w:r>
    </w:p>
    <w:p w14:paraId="2BCF1514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При достижении 100% квоты загрузка новых файлов и генерация новых документов блокируются с понятным сообщением и предложением перейти на старший тариф или очистить хранилище. Работа с существующими данными (просмотр, редактирование) сохраняется.</w:t>
      </w:r>
    </w:p>
    <w:p w14:paraId="4268742F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Действия при исчерпании квоты (жёсткая блокировка или «мягкий» лимит с перерасходом) согласуются с Заказчиком на этапе проектирования.</w:t>
      </w:r>
    </w:p>
    <w:p w14:paraId="3C3E19B3" w14:textId="77777777" w:rsidR="00066BDD" w:rsidRDefault="00000000">
      <w:pPr>
        <w:pStyle w:val="3"/>
        <w:spacing w:before="160" w:after="80"/>
      </w:pPr>
      <w:r>
        <w:rPr>
          <w:b/>
          <w:bCs/>
          <w:i/>
          <w:iCs/>
          <w:color w:val="1F2937"/>
        </w:rPr>
        <w:t>3.2.5. Управление тарифом</w:t>
      </w:r>
    </w:p>
    <w:p w14:paraId="356CADB6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Раздел «Тариф и хранилище» с информацией: текущий план, квота, занятый объём, дата окончания, статус.</w:t>
      </w:r>
    </w:p>
    <w:p w14:paraId="2550F61C" w14:textId="7D541033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Возможность смены тарифа (запрос на повышение/понижение). Порядок оплаты и её приём — по согласованию (может быть связан с сайтом продаж).</w:t>
      </w:r>
    </w:p>
    <w:p w14:paraId="2DFE6597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История изменений тарифа компании (дата, старый и новый план, инициатор).</w:t>
      </w:r>
    </w:p>
    <w:p w14:paraId="138C2E65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3.3. Требования к доступам</w:t>
      </w:r>
    </w:p>
    <w:p w14:paraId="03DC98AF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Просмотр тарифа и заполненности хранилища доступен ролям Leadership (руководство) и System Admin.</w:t>
      </w:r>
    </w:p>
    <w:p w14:paraId="40DA29B2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Управление тарифными планами (создание/редактирование параметров) — только System Admin.</w:t>
      </w:r>
    </w:p>
    <w:p w14:paraId="0C7E6D61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Разграничение доступа выполняется в соответствии с действующей ролевой моделью и филиальной изоляцией системы.</w:t>
      </w:r>
    </w:p>
    <w:p w14:paraId="6936E24D" w14:textId="77777777" w:rsidR="00066BDD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4. Блок 2. Пробный период (Trial)</w:t>
      </w:r>
    </w:p>
    <w:p w14:paraId="7994896C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4.1. Цель</w:t>
      </w:r>
    </w:p>
    <w:p w14:paraId="5268F230" w14:textId="77777777" w:rsidR="00066BDD" w:rsidRDefault="00000000">
      <w:pPr>
        <w:spacing w:after="120" w:line="276" w:lineRule="auto"/>
        <w:jc w:val="both"/>
      </w:pPr>
      <w:r>
        <w:t>Предоставить новым компаниям возможность бесплатно пользоваться системой в течение ограниченного срока (по умолчанию — 7 календарных дней) для ознакомления с функционалом перед покупкой тарифа.</w:t>
      </w:r>
    </w:p>
    <w:p w14:paraId="1F200251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4.2. Функциональные требования</w:t>
      </w:r>
    </w:p>
    <w:p w14:paraId="2A059FF7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При регистрации новой компании автоматически активируется пробный период сроком 7 календарных дней (длительность настраивается администратором).</w:t>
      </w:r>
    </w:p>
    <w:p w14:paraId="34D68599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 течение пробного периода компании доступен предусмотренный функционал (полный или ограниченный набор модулей — по согласованию с Заказчиком).</w:t>
      </w:r>
    </w:p>
    <w:p w14:paraId="24D00145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Система хранит дату начала и дату окончания пробного периода и рассчитывает количество оставшихся дней.</w:t>
      </w:r>
    </w:p>
    <w:p w14:paraId="5ACD80DE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 интерфейсе отображается информационный баннер: «До окончания пробного периода осталось N дней» с призывом перейти на платный тариф.</w:t>
      </w:r>
    </w:p>
    <w:p w14:paraId="18D5A575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Уведомления о завершении пробного периода направляются заранее (например, за 3 дня, за 1 день и в день окончания) по доступным каналам: e-mail и/или Telegram.</w:t>
      </w:r>
    </w:p>
    <w:p w14:paraId="5739470E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lastRenderedPageBreak/>
        <w:t>По истечении пробного периода без оплаты доступ ограничивается: перевод аккаунта в режим «только чтение» либо блокировка входа с предложением оплатить тариф (конкретное поведение согласуется с Заказчиком). Данные компании сохраняются.</w:t>
      </w:r>
    </w:p>
    <w:p w14:paraId="4B67BDDA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Предусматривается защита от повторной активации пробного периода одной и той же компанией.</w:t>
      </w:r>
    </w:p>
    <w:p w14:paraId="65EB1EE6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Администратор (System Admin) может вручную активировать, продлить или завершить пробный период для компании.</w:t>
      </w:r>
    </w:p>
    <w:p w14:paraId="080D3B12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4.3. Связанные сценарии</w:t>
      </w:r>
    </w:p>
    <w:p w14:paraId="7E9FC906" w14:textId="1CFE7DF3" w:rsidR="00066BDD" w:rsidRDefault="00000000">
      <w:pPr>
        <w:spacing w:after="120" w:line="276" w:lineRule="auto"/>
        <w:jc w:val="both"/>
      </w:pPr>
      <w:r>
        <w:t>Пробный период тесно связан с автоматическим приобретением системы через информационный сайт: при онлайн-регистрации компании на сайте должен автоматически создаваться аккаунт с активированным пробным периодом.</w:t>
      </w:r>
    </w:p>
    <w:p w14:paraId="52EFE0D1" w14:textId="77777777" w:rsidR="00066BDD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5. Блок 3. Раздел обучающих видеоматериалов</w:t>
      </w:r>
    </w:p>
    <w:p w14:paraId="579092A8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5.1. Цель</w:t>
      </w:r>
    </w:p>
    <w:p w14:paraId="605723FA" w14:textId="77777777" w:rsidR="00066BDD" w:rsidRDefault="00000000">
      <w:pPr>
        <w:spacing w:after="120" w:line="276" w:lineRule="auto"/>
        <w:jc w:val="both"/>
      </w:pPr>
      <w:r>
        <w:t>Добавить в систему отдельный раздел с обучающими видеоматериалами, помогающий сотрудникам быстро освоить работу с CRM и снижающий нагрузку на поддержку.</w:t>
      </w:r>
    </w:p>
    <w:p w14:paraId="0A0C0BB6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5.2. Функциональные требования</w:t>
      </w:r>
    </w:p>
    <w:p w14:paraId="0B29E916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 главном меню системы добавляется отдельный раздел «Обучение» (рабочее название) с каталогом видеоматериалов.</w:t>
      </w:r>
    </w:p>
    <w:p w14:paraId="61DFABA9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Видеоматериалы группируются по категориям/темам (например: начало работы, клиенты, лиды и сделки, документы, отчёты, чаты).</w:t>
      </w:r>
    </w:p>
    <w:p w14:paraId="5CC954D9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Каждый видеоматериал содержит: заголовок, краткое описание, превью (обложку), встроенный видеоплеер и длительность.</w:t>
      </w:r>
    </w:p>
    <w:p w14:paraId="32C8FC99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Поддерживается воспроизведение через встроенный плеер: видео размещаются как ссылки на внешние сервисы (YouTube/Vimeo) и/или загружаются в систему — способ размещения согласуется с Заказчиком.</w:t>
      </w:r>
    </w:p>
    <w:p w14:paraId="638F4568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Реализуются поиск по названию и фильтрация по категориям.</w:t>
      </w:r>
    </w:p>
    <w:p w14:paraId="0A66A018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Управление контентом (добавление, редактирование, удаление видео, назначение категории и порядка вывода) выполняет System Admin через интерфейс, без правки кода.</w:t>
      </w:r>
    </w:p>
    <w:p w14:paraId="1E186F1E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Раздел доступен всем ролям пользователей системы.</w:t>
      </w:r>
    </w:p>
    <w:p w14:paraId="2A6BA6CB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Опционально (по согласованию): отметка «просмотрено» и индикатор прогресса обучения сотрудника.</w:t>
      </w:r>
    </w:p>
    <w:p w14:paraId="7EEA8BDD" w14:textId="77777777" w:rsidR="00066BDD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6. Нефункциональные требования</w:t>
      </w:r>
    </w:p>
    <w:p w14:paraId="0704A07D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Совместимость: доработки не должны нарушать действующую ролевую модель, филиальную изоляцию данных и текущие бизнес-процессы системы.</w:t>
      </w:r>
    </w:p>
    <w:p w14:paraId="578D90FC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Производительность: расчёт заполненности хранилища не должен заметно замедлять интерфейс; тяжёлые вычисления выполняются в фоне.</w:t>
      </w:r>
    </w:p>
    <w:p w14:paraId="6CFFE883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Надёжность: миграции базы данных выполняются идемпотентно и безопасно применяются при обновлении системы.</w:t>
      </w:r>
    </w:p>
    <w:p w14:paraId="3087E90B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lastRenderedPageBreak/>
        <w:t>Безопасность: доступ к управлению тарифами, пробным периодом и учебным контентом ограничивается согласно ролям.</w:t>
      </w:r>
    </w:p>
    <w:p w14:paraId="690423C9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Интерфейс: новые элементы выполняются в едином стиле с текущим интерфейсом системы, адаптивно, на русском языке.</w:t>
      </w:r>
    </w:p>
    <w:p w14:paraId="5EDDB939" w14:textId="77777777" w:rsidR="00066BDD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t>7. Этапы, приёмка и границы работ</w:t>
      </w:r>
    </w:p>
    <w:p w14:paraId="7B17AC6D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7.1. Ориентировочные этапы</w:t>
      </w:r>
    </w:p>
    <w:tbl>
      <w:tblPr>
        <w:tblW w:w="9360" w:type="dxa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100"/>
        <w:gridCol w:w="3560"/>
      </w:tblGrid>
      <w:tr w:rsidR="00066BDD" w14:paraId="17C0D2C4" w14:textId="77777777">
        <w:trPr>
          <w:tblHeader/>
        </w:trPr>
        <w:tc>
          <w:tcPr>
            <w:tcW w:w="7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EC0F1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10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B465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356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4E2D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066BDD" w14:paraId="08B82AD6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6871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9C94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Проектирование и согласование деталей (модель тарифов, поведение при лимите, длительность и правила Trial, способ размещения видео)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B853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Утверждённые решения по спорным пунктам</w:t>
            </w:r>
          </w:p>
        </w:tc>
      </w:tr>
      <w:tr w:rsidR="00066BDD" w14:paraId="7138869B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0FB0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9267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Реализация блока тарификации и учёта хранилища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4D7D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Работающий учёт объёма и индикатор заполненности</w:t>
            </w:r>
          </w:p>
        </w:tc>
      </w:tr>
      <w:tr w:rsidR="00066BDD" w14:paraId="14A66177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CC1E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4C46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Реализация пробного периода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0E2B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Активация, уведомления, ограничение по истечении</w:t>
            </w:r>
          </w:p>
        </w:tc>
      </w:tr>
      <w:tr w:rsidR="00066BDD" w14:paraId="67205A08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BD8A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3085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Реализация раздела обучающих видео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52E8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Каталог видео с управлением контентом</w:t>
            </w:r>
          </w:p>
        </w:tc>
      </w:tr>
      <w:tr w:rsidR="00066BDD" w14:paraId="78EF9FA2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D73F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6CC6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Тестирование, приёмка, ввод в эксплуатацию</w:t>
            </w:r>
          </w:p>
        </w:tc>
        <w:tc>
          <w:tcPr>
            <w:tcW w:w="3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9617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Подписанный акт приёмки</w:t>
            </w:r>
          </w:p>
        </w:tc>
      </w:tr>
    </w:tbl>
    <w:p w14:paraId="1BCBFB4C" w14:textId="77777777" w:rsidR="00066BDD" w:rsidRDefault="00000000">
      <w:pPr>
        <w:spacing w:after="120" w:line="276" w:lineRule="auto"/>
        <w:jc w:val="both"/>
      </w:pPr>
      <w:r>
        <w:rPr>
          <w:i/>
          <w:iCs/>
        </w:rPr>
        <w:t>Точные сроки и стоимость определяются после согласования деталей проектирования (Этап 1) и фиксируются в договоре/приложении к нему.</w:t>
      </w:r>
    </w:p>
    <w:p w14:paraId="7B744662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7.2. Порядок приёмки</w:t>
      </w:r>
    </w:p>
    <w:p w14:paraId="36BD0B26" w14:textId="77777777" w:rsidR="00066BDD" w:rsidRDefault="00000000">
      <w:pPr>
        <w:pStyle w:val="a4"/>
        <w:numPr>
          <w:ilvl w:val="0"/>
          <w:numId w:val="3"/>
        </w:numPr>
        <w:spacing w:after="60" w:line="264" w:lineRule="auto"/>
        <w:jc w:val="both"/>
      </w:pPr>
      <w:r>
        <w:t>Исполнитель уведомляет Заказчика о готовности доработок к приёмке.</w:t>
      </w:r>
    </w:p>
    <w:p w14:paraId="0D6179DD" w14:textId="77777777" w:rsidR="00066BDD" w:rsidRDefault="00000000">
      <w:pPr>
        <w:pStyle w:val="a4"/>
        <w:numPr>
          <w:ilvl w:val="0"/>
          <w:numId w:val="3"/>
        </w:numPr>
        <w:spacing w:after="60" w:line="264" w:lineRule="auto"/>
        <w:jc w:val="both"/>
      </w:pPr>
      <w:r>
        <w:t>Заказчик проверяет соответствие реализованного функционала пунктам настоящего ТЗ на тестовом стенде.</w:t>
      </w:r>
    </w:p>
    <w:p w14:paraId="6F8CCA94" w14:textId="77777777" w:rsidR="00066BDD" w:rsidRDefault="00000000">
      <w:pPr>
        <w:pStyle w:val="a4"/>
        <w:numPr>
          <w:ilvl w:val="0"/>
          <w:numId w:val="3"/>
        </w:numPr>
        <w:spacing w:after="60" w:line="264" w:lineRule="auto"/>
        <w:jc w:val="both"/>
      </w:pPr>
      <w:r>
        <w:t>Выявленные несоответствия фиксируются и устраняются Исполнителем в согласованные сроки.</w:t>
      </w:r>
    </w:p>
    <w:p w14:paraId="074491EB" w14:textId="77777777" w:rsidR="00066BDD" w:rsidRDefault="00000000">
      <w:pPr>
        <w:pStyle w:val="a4"/>
        <w:numPr>
          <w:ilvl w:val="0"/>
          <w:numId w:val="3"/>
        </w:numPr>
        <w:spacing w:after="60" w:line="264" w:lineRule="auto"/>
        <w:jc w:val="both"/>
      </w:pPr>
      <w:r>
        <w:t>По результатам успешной проверки стороны подписывают акт приёмки выполненных работ.</w:t>
      </w:r>
    </w:p>
    <w:p w14:paraId="6C9EAB7A" w14:textId="77777777" w:rsidR="00066BDD" w:rsidRDefault="00000000">
      <w:pPr>
        <w:pStyle w:val="2"/>
        <w:spacing w:before="220" w:after="100"/>
      </w:pPr>
      <w:r>
        <w:rPr>
          <w:b/>
          <w:bCs/>
          <w:color w:val="1F2937"/>
        </w:rPr>
        <w:t>7.3. Границы работ (не входит в объём)</w:t>
      </w:r>
    </w:p>
    <w:p w14:paraId="1E254F9F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Реализация онлайн-оплаты и эквайринга (рассматривается в рамках ТЗ-KUB-002/2026 либо отдельным соглашением).</w:t>
      </w:r>
    </w:p>
    <w:p w14:paraId="186C5A9C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Производство (съёмка и монтаж) самих обучающих видеороликов — материалы предоставляет Заказчик.</w:t>
      </w:r>
    </w:p>
    <w:p w14:paraId="0FDCCFF7" w14:textId="77777777" w:rsidR="00066BD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t>Изменения, не указанные в настоящем ТЗ, оформляются отдельными заявками.</w:t>
      </w:r>
    </w:p>
    <w:p w14:paraId="25230089" w14:textId="77777777" w:rsidR="00066BDD" w:rsidRDefault="00000000">
      <w:r>
        <w:br w:type="page"/>
      </w:r>
    </w:p>
    <w:p w14:paraId="4AD85E63" w14:textId="77777777" w:rsidR="00066BDD" w:rsidRDefault="00000000">
      <w:pPr>
        <w:pStyle w:val="1"/>
        <w:spacing w:before="320" w:after="140"/>
      </w:pPr>
      <w:r>
        <w:rPr>
          <w:b/>
          <w:bCs/>
          <w:color w:val="2E5AAC"/>
          <w:sz w:val="30"/>
          <w:szCs w:val="30"/>
        </w:rPr>
        <w:lastRenderedPageBreak/>
        <w:t>Лист согласования</w:t>
      </w:r>
    </w:p>
    <w:p w14:paraId="69A9D4E7" w14:textId="77777777" w:rsidR="00066BDD" w:rsidRDefault="00000000">
      <w:pPr>
        <w:spacing w:after="120" w:line="276" w:lineRule="auto"/>
        <w:jc w:val="both"/>
      </w:pPr>
      <w:r>
        <w:t>Настоящее Техническое задание согласовано сторонами и является неотъемлемой частью договора на выполнение работ по доработке (разработке) программного обеспечения.</w:t>
      </w:r>
    </w:p>
    <w:p w14:paraId="33599310" w14:textId="77777777" w:rsidR="00066BDD" w:rsidRDefault="00066BDD">
      <w:pPr>
        <w:spacing w:after="80"/>
      </w:pPr>
    </w:p>
    <w:tbl>
      <w:tblPr>
        <w:tblW w:w="9360" w:type="dxa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66BDD" w14:paraId="5A37A573" w14:textId="77777777">
        <w:trPr>
          <w:tblHeader/>
        </w:trPr>
        <w:tc>
          <w:tcPr>
            <w:tcW w:w="468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8AEE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ЗАКАЗЧИК</w:t>
            </w:r>
          </w:p>
        </w:tc>
        <w:tc>
          <w:tcPr>
            <w:tcW w:w="4680" w:type="dxa"/>
            <w:shd w:val="clear" w:color="auto" w:fill="EE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9631" w14:textId="77777777" w:rsidR="00066BDD" w:rsidRDefault="00000000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ИСПОЛНИТЕЛЬ</w:t>
            </w:r>
          </w:p>
        </w:tc>
      </w:tr>
      <w:tr w:rsidR="00066BDD" w14:paraId="4E1D2E3A" w14:textId="77777777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09D7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_______________________________ (наименование организации)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D4782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ТОО «Нуса»</w:t>
            </w:r>
          </w:p>
        </w:tc>
      </w:tr>
      <w:tr w:rsidR="00066BDD" w14:paraId="47265A41" w14:textId="77777777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4568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Ф.И.О.: _______________________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748E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Ф.И.О.: _______________________</w:t>
            </w:r>
          </w:p>
        </w:tc>
      </w:tr>
      <w:tr w:rsidR="00066BDD" w14:paraId="09DFD71A" w14:textId="77777777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5452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Должность: ____________________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8610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Должность: ____________________</w:t>
            </w:r>
          </w:p>
        </w:tc>
      </w:tr>
      <w:tr w:rsidR="00066BDD" w14:paraId="4D220AD4" w14:textId="77777777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B844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Подпись: ______________________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EEE8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Подпись: ______________________</w:t>
            </w:r>
          </w:p>
        </w:tc>
      </w:tr>
      <w:tr w:rsidR="00066BDD" w14:paraId="6825FF0F" w14:textId="77777777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4AF9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М.П.               «___» __________ 2026 г.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F1C6" w14:textId="77777777" w:rsidR="00066BDD" w:rsidRDefault="00000000">
            <w:pPr>
              <w:spacing w:line="260" w:lineRule="auto"/>
            </w:pPr>
            <w:r>
              <w:rPr>
                <w:sz w:val="22"/>
                <w:szCs w:val="22"/>
              </w:rPr>
              <w:t>М.П.               «___» __________ 2026 г.</w:t>
            </w:r>
          </w:p>
        </w:tc>
      </w:tr>
    </w:tbl>
    <w:p w14:paraId="14B6E341" w14:textId="77777777" w:rsidR="00BA538B" w:rsidRDefault="00BA538B"/>
    <w:sectPr w:rsidR="00BA538B">
      <w:headerReference w:type="default" r:id="rId7"/>
      <w:footerReference w:type="default" r:id="rId8"/>
      <w:pgSz w:w="11906" w:h="16838"/>
      <w:pgMar w:top="1200" w:right="1000" w:bottom="12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4D376" w14:textId="77777777" w:rsidR="007E2ABD" w:rsidRDefault="007E2ABD">
      <w:r>
        <w:separator/>
      </w:r>
    </w:p>
  </w:endnote>
  <w:endnote w:type="continuationSeparator" w:id="0">
    <w:p w14:paraId="2EFA1306" w14:textId="77777777" w:rsidR="007E2ABD" w:rsidRDefault="007E2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F75B4" w14:textId="77777777" w:rsidR="00066BDD" w:rsidRDefault="00000000">
    <w:pPr>
      <w:pBdr>
        <w:top w:val="single" w:sz="4" w:space="4" w:color="C9D3E6"/>
      </w:pBdr>
      <w:jc w:val="center"/>
    </w:pPr>
    <w:r>
      <w:rPr>
        <w:color w:val="6B7280"/>
        <w:sz w:val="16"/>
        <w:szCs w:val="16"/>
      </w:rPr>
      <w:t xml:space="preserve">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E50E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из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7E50E4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  · 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2C714" w14:textId="77777777" w:rsidR="007E2ABD" w:rsidRDefault="007E2ABD">
      <w:r>
        <w:separator/>
      </w:r>
    </w:p>
  </w:footnote>
  <w:footnote w:type="continuationSeparator" w:id="0">
    <w:p w14:paraId="053FD475" w14:textId="77777777" w:rsidR="007E2ABD" w:rsidRDefault="007E2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8E62" w14:textId="77777777" w:rsidR="00066BDD" w:rsidRDefault="00000000">
    <w:pPr>
      <w:pBdr>
        <w:bottom w:val="single" w:sz="4" w:space="4" w:color="C9D3E6"/>
      </w:pBdr>
      <w:jc w:val="right"/>
    </w:pPr>
    <w:r>
      <w:rPr>
        <w:color w:val="6B7280"/>
        <w:sz w:val="16"/>
        <w:szCs w:val="16"/>
      </w:rPr>
      <w:t>ТОО «Нуса» · 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B09"/>
    <w:multiLevelType w:val="hybridMultilevel"/>
    <w:tmpl w:val="00261C3C"/>
    <w:lvl w:ilvl="0" w:tplc="A95CB0C0">
      <w:start w:val="1"/>
      <w:numFmt w:val="bullet"/>
      <w:lvlText w:val="•"/>
      <w:lvlJc w:val="left"/>
      <w:pPr>
        <w:ind w:left="460" w:hanging="260"/>
      </w:pPr>
    </w:lvl>
    <w:lvl w:ilvl="1" w:tplc="28A6AC06">
      <w:start w:val="1"/>
      <w:numFmt w:val="bullet"/>
      <w:lvlText w:val="–"/>
      <w:lvlJc w:val="left"/>
      <w:pPr>
        <w:ind w:left="900" w:hanging="260"/>
      </w:pPr>
    </w:lvl>
    <w:lvl w:ilvl="2" w:tplc="ED80E9D6">
      <w:numFmt w:val="decimal"/>
      <w:lvlText w:val=""/>
      <w:lvlJc w:val="left"/>
    </w:lvl>
    <w:lvl w:ilvl="3" w:tplc="4E5C70C2">
      <w:numFmt w:val="decimal"/>
      <w:lvlText w:val=""/>
      <w:lvlJc w:val="left"/>
    </w:lvl>
    <w:lvl w:ilvl="4" w:tplc="4F0836BC">
      <w:numFmt w:val="decimal"/>
      <w:lvlText w:val=""/>
      <w:lvlJc w:val="left"/>
    </w:lvl>
    <w:lvl w:ilvl="5" w:tplc="154C7538">
      <w:numFmt w:val="decimal"/>
      <w:lvlText w:val=""/>
      <w:lvlJc w:val="left"/>
    </w:lvl>
    <w:lvl w:ilvl="6" w:tplc="72743626">
      <w:numFmt w:val="decimal"/>
      <w:lvlText w:val=""/>
      <w:lvlJc w:val="left"/>
    </w:lvl>
    <w:lvl w:ilvl="7" w:tplc="B88ED8E8">
      <w:numFmt w:val="decimal"/>
      <w:lvlText w:val=""/>
      <w:lvlJc w:val="left"/>
    </w:lvl>
    <w:lvl w:ilvl="8" w:tplc="DE6A4DB4">
      <w:numFmt w:val="decimal"/>
      <w:lvlText w:val=""/>
      <w:lvlJc w:val="left"/>
    </w:lvl>
  </w:abstractNum>
  <w:abstractNum w:abstractNumId="1" w15:restartNumberingAfterBreak="0">
    <w:nsid w:val="25B25F13"/>
    <w:multiLevelType w:val="hybridMultilevel"/>
    <w:tmpl w:val="F25AE84E"/>
    <w:lvl w:ilvl="0" w:tplc="8D3498DA">
      <w:start w:val="1"/>
      <w:numFmt w:val="bullet"/>
      <w:lvlText w:val="●"/>
      <w:lvlJc w:val="left"/>
      <w:pPr>
        <w:ind w:left="720" w:hanging="360"/>
      </w:pPr>
    </w:lvl>
    <w:lvl w:ilvl="1" w:tplc="71FA0CFE">
      <w:start w:val="1"/>
      <w:numFmt w:val="bullet"/>
      <w:lvlText w:val="○"/>
      <w:lvlJc w:val="left"/>
      <w:pPr>
        <w:ind w:left="1440" w:hanging="360"/>
      </w:pPr>
    </w:lvl>
    <w:lvl w:ilvl="2" w:tplc="A9C208C2">
      <w:start w:val="1"/>
      <w:numFmt w:val="bullet"/>
      <w:lvlText w:val="■"/>
      <w:lvlJc w:val="left"/>
      <w:pPr>
        <w:ind w:left="2160" w:hanging="360"/>
      </w:pPr>
    </w:lvl>
    <w:lvl w:ilvl="3" w:tplc="4D0C3F0C">
      <w:start w:val="1"/>
      <w:numFmt w:val="bullet"/>
      <w:lvlText w:val="●"/>
      <w:lvlJc w:val="left"/>
      <w:pPr>
        <w:ind w:left="2880" w:hanging="360"/>
      </w:pPr>
    </w:lvl>
    <w:lvl w:ilvl="4" w:tplc="40CAF2EE">
      <w:start w:val="1"/>
      <w:numFmt w:val="bullet"/>
      <w:lvlText w:val="○"/>
      <w:lvlJc w:val="left"/>
      <w:pPr>
        <w:ind w:left="3600" w:hanging="360"/>
      </w:pPr>
    </w:lvl>
    <w:lvl w:ilvl="5" w:tplc="58E48100">
      <w:start w:val="1"/>
      <w:numFmt w:val="bullet"/>
      <w:lvlText w:val="■"/>
      <w:lvlJc w:val="left"/>
      <w:pPr>
        <w:ind w:left="4320" w:hanging="360"/>
      </w:pPr>
    </w:lvl>
    <w:lvl w:ilvl="6" w:tplc="454CEC32">
      <w:start w:val="1"/>
      <w:numFmt w:val="bullet"/>
      <w:lvlText w:val="●"/>
      <w:lvlJc w:val="left"/>
      <w:pPr>
        <w:ind w:left="5040" w:hanging="360"/>
      </w:pPr>
    </w:lvl>
    <w:lvl w:ilvl="7" w:tplc="CFC2C24C">
      <w:start w:val="1"/>
      <w:numFmt w:val="bullet"/>
      <w:lvlText w:val="●"/>
      <w:lvlJc w:val="left"/>
      <w:pPr>
        <w:ind w:left="5760" w:hanging="360"/>
      </w:pPr>
    </w:lvl>
    <w:lvl w:ilvl="8" w:tplc="8B1884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E20366"/>
    <w:multiLevelType w:val="hybridMultilevel"/>
    <w:tmpl w:val="38A6870A"/>
    <w:lvl w:ilvl="0" w:tplc="1C60CDA6">
      <w:start w:val="1"/>
      <w:numFmt w:val="decimal"/>
      <w:lvlText w:val="%1."/>
      <w:lvlJc w:val="left"/>
      <w:pPr>
        <w:ind w:left="460" w:hanging="300"/>
      </w:pPr>
    </w:lvl>
    <w:lvl w:ilvl="1" w:tplc="EEBC243C">
      <w:numFmt w:val="decimal"/>
      <w:lvlText w:val=""/>
      <w:lvlJc w:val="left"/>
    </w:lvl>
    <w:lvl w:ilvl="2" w:tplc="863069F8">
      <w:numFmt w:val="decimal"/>
      <w:lvlText w:val=""/>
      <w:lvlJc w:val="left"/>
    </w:lvl>
    <w:lvl w:ilvl="3" w:tplc="ECFABB24">
      <w:numFmt w:val="decimal"/>
      <w:lvlText w:val=""/>
      <w:lvlJc w:val="left"/>
    </w:lvl>
    <w:lvl w:ilvl="4" w:tplc="F4EC94CE">
      <w:numFmt w:val="decimal"/>
      <w:lvlText w:val=""/>
      <w:lvlJc w:val="left"/>
    </w:lvl>
    <w:lvl w:ilvl="5" w:tplc="12489240">
      <w:numFmt w:val="decimal"/>
      <w:lvlText w:val=""/>
      <w:lvlJc w:val="left"/>
    </w:lvl>
    <w:lvl w:ilvl="6" w:tplc="077C7994">
      <w:numFmt w:val="decimal"/>
      <w:lvlText w:val=""/>
      <w:lvlJc w:val="left"/>
    </w:lvl>
    <w:lvl w:ilvl="7" w:tplc="8F3A43BE">
      <w:numFmt w:val="decimal"/>
      <w:lvlText w:val=""/>
      <w:lvlJc w:val="left"/>
    </w:lvl>
    <w:lvl w:ilvl="8" w:tplc="66FA15C8">
      <w:numFmt w:val="decimal"/>
      <w:lvlText w:val=""/>
      <w:lvlJc w:val="left"/>
    </w:lvl>
  </w:abstractNum>
  <w:abstractNum w:abstractNumId="3" w15:restartNumberingAfterBreak="0">
    <w:nsid w:val="551954B1"/>
    <w:multiLevelType w:val="hybridMultilevel"/>
    <w:tmpl w:val="BA861900"/>
    <w:lvl w:ilvl="0" w:tplc="9E803538">
      <w:start w:val="1"/>
      <w:numFmt w:val="decimal"/>
      <w:lvlText w:val="%1."/>
      <w:lvlJc w:val="left"/>
      <w:pPr>
        <w:ind w:left="460" w:hanging="300"/>
      </w:pPr>
    </w:lvl>
    <w:lvl w:ilvl="1" w:tplc="256E561C">
      <w:numFmt w:val="decimal"/>
      <w:lvlText w:val=""/>
      <w:lvlJc w:val="left"/>
    </w:lvl>
    <w:lvl w:ilvl="2" w:tplc="E2C8CCF4">
      <w:numFmt w:val="decimal"/>
      <w:lvlText w:val=""/>
      <w:lvlJc w:val="left"/>
    </w:lvl>
    <w:lvl w:ilvl="3" w:tplc="33B2BE26">
      <w:numFmt w:val="decimal"/>
      <w:lvlText w:val=""/>
      <w:lvlJc w:val="left"/>
    </w:lvl>
    <w:lvl w:ilvl="4" w:tplc="36DE6EC0">
      <w:numFmt w:val="decimal"/>
      <w:lvlText w:val=""/>
      <w:lvlJc w:val="left"/>
    </w:lvl>
    <w:lvl w:ilvl="5" w:tplc="5A061268">
      <w:numFmt w:val="decimal"/>
      <w:lvlText w:val=""/>
      <w:lvlJc w:val="left"/>
    </w:lvl>
    <w:lvl w:ilvl="6" w:tplc="6210721C">
      <w:numFmt w:val="decimal"/>
      <w:lvlText w:val=""/>
      <w:lvlJc w:val="left"/>
    </w:lvl>
    <w:lvl w:ilvl="7" w:tplc="069852FA">
      <w:numFmt w:val="decimal"/>
      <w:lvlText w:val=""/>
      <w:lvlJc w:val="left"/>
    </w:lvl>
    <w:lvl w:ilvl="8" w:tplc="AEEE55E8">
      <w:numFmt w:val="decimal"/>
      <w:lvlText w:val=""/>
      <w:lvlJc w:val="left"/>
    </w:lvl>
  </w:abstractNum>
  <w:num w:numId="1" w16cid:durableId="1877888092">
    <w:abstractNumId w:val="1"/>
    <w:lvlOverride w:ilvl="0">
      <w:startOverride w:val="1"/>
    </w:lvlOverride>
  </w:num>
  <w:num w:numId="2" w16cid:durableId="1091194371">
    <w:abstractNumId w:val="0"/>
    <w:lvlOverride w:ilvl="0">
      <w:startOverride w:val="1"/>
    </w:lvlOverride>
  </w:num>
  <w:num w:numId="3" w16cid:durableId="152116121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BDD"/>
    <w:rsid w:val="00066BDD"/>
    <w:rsid w:val="005D1753"/>
    <w:rsid w:val="007E2ABD"/>
    <w:rsid w:val="007E50E4"/>
    <w:rsid w:val="008D5898"/>
    <w:rsid w:val="00BA538B"/>
    <w:rsid w:val="00FB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FBC5E"/>
  <w15:docId w15:val="{62D67F0F-0527-41A9-A9A3-19B4BA6C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F2937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creator>ТОО «Нуса»</dc:creator>
  <cp:lastModifiedBy>Жумабеков Алим</cp:lastModifiedBy>
  <cp:revision>3</cp:revision>
  <dcterms:created xsi:type="dcterms:W3CDTF">2026-09-03T07:12:00Z</dcterms:created>
  <dcterms:modified xsi:type="dcterms:W3CDTF">2026-09-03T07:29:00Z</dcterms:modified>
</cp:coreProperties>
</file>