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www.bekzodtolipov.com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Everyday Earthlings 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June 2021 - Present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630" w:hanging="360"/>
            </w:pPr>
            <w:r w:rsidDel="00000000" w:rsidR="00000000" w:rsidRPr="00000000">
              <w:rPr>
                <w:rtl w:val="0"/>
              </w:rPr>
              <w:t xml:space="preserve">Provide excellent customer service to clients and meet their deadlines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closely with team members keeps clients up to date on current state of service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6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 quarterly reports and keep the company record clean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the user's role in a hospital to interact with patient’s data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 flow into API services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the service layer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 and applied new changes in a timely manner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client received expected results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Aug 2019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E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32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find a solution to reduce food waste. As a group we found a way to ease consumers day-to-day food recipe challenges where they can choose from the list of recipes offered and order the ingredients needed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 Angular, React, SQL, NodeJS, Spring, AWS, Docker, Git</w:t>
      </w:r>
    </w:p>
    <w:sectPr>
      <w:pgSz w:h="15840" w:w="12240" w:orient="portrait"/>
      <w:pgMar w:bottom="180" w:top="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Relationship Id="rId7" Type="http://schemas.openxmlformats.org/officeDocument/2006/relationships/hyperlink" Target="http://bekzodtolip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