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82784B" w14:textId="33637050" w:rsidR="004B10EA" w:rsidRPr="004110AA" w:rsidRDefault="001A198A" w:rsidP="004110AA">
      <w:pPr>
        <w:jc w:val="center"/>
        <w:rPr>
          <w:b/>
          <w:bCs/>
          <w:lang w:val="en-AU"/>
        </w:rPr>
      </w:pPr>
      <w:r w:rsidRPr="004110AA">
        <w:rPr>
          <w:b/>
          <w:bCs/>
          <w:lang w:val="en-AU"/>
        </w:rPr>
        <w:t>Literature Review: Learning the Grid: Transformer Architectures for Electricity Price Forecasting in the Australian National Market</w:t>
      </w:r>
    </w:p>
    <w:p w14:paraId="6E1FBABC" w14:textId="77777777" w:rsidR="001A198A" w:rsidRPr="009D4BC8" w:rsidRDefault="001A198A">
      <w:pPr>
        <w:rPr>
          <w:lang w:val="en-AU"/>
        </w:rPr>
      </w:pPr>
    </w:p>
    <w:p w14:paraId="0FAD32CD" w14:textId="04D3D635" w:rsidR="001A198A" w:rsidRPr="009D4BC8" w:rsidRDefault="001A198A">
      <w:pPr>
        <w:rPr>
          <w:lang w:val="en-AU"/>
        </w:rPr>
      </w:pPr>
      <w:r w:rsidRPr="009D4BC8">
        <w:rPr>
          <w:lang w:val="en-AU"/>
        </w:rPr>
        <w:t xml:space="preserve">Sinclair, Shepley, and </w:t>
      </w:r>
      <w:proofErr w:type="spellStart"/>
      <w:r w:rsidRPr="009D4BC8">
        <w:rPr>
          <w:lang w:val="en-AU"/>
        </w:rPr>
        <w:t>Hajati</w:t>
      </w:r>
      <w:proofErr w:type="spellEnd"/>
      <w:r w:rsidRPr="009D4BC8">
        <w:rPr>
          <w:lang w:val="en-AU"/>
        </w:rPr>
        <w:t xml:space="preserve"> (2026)</w:t>
      </w:r>
    </w:p>
    <w:p w14:paraId="670179F9" w14:textId="77777777" w:rsidR="001A198A" w:rsidRPr="009D4BC8" w:rsidRDefault="001A198A">
      <w:pPr>
        <w:rPr>
          <w:lang w:val="en-AU"/>
        </w:rPr>
      </w:pPr>
    </w:p>
    <w:p w14:paraId="5978E291" w14:textId="7DC090B7" w:rsidR="00F62B39" w:rsidRPr="0002571C" w:rsidRDefault="001A198A" w:rsidP="0002571C">
      <w:pPr>
        <w:rPr>
          <w:lang w:val="en-AU"/>
        </w:rPr>
      </w:pPr>
      <w:hyperlink r:id="rId5" w:history="1">
        <w:r w:rsidRPr="009D4BC8">
          <w:rPr>
            <w:rStyle w:val="Hyperlink"/>
            <w:lang w:val="en-AU"/>
          </w:rPr>
          <w:t>https://www.mdpi.com/2076-3417/16/1/75</w:t>
        </w:r>
      </w:hyperlink>
    </w:p>
    <w:p w14:paraId="581C4AF4" w14:textId="3C1DACBF" w:rsidR="00A876D3" w:rsidRDefault="001A198A" w:rsidP="001A198A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9D4BC8">
        <w:rPr>
          <w:rFonts w:eastAsia="Times New Roman" w:cs="Times New Roman"/>
          <w:b/>
          <w:bCs/>
          <w:kern w:val="0"/>
          <w:lang w:eastAsia="en-GB"/>
          <w14:ligatures w14:val="none"/>
        </w:rPr>
        <w:t>Study purpose and approach</w:t>
      </w:r>
    </w:p>
    <w:p w14:paraId="367D90AC" w14:textId="5647DA7D" w:rsidR="001A198A" w:rsidRPr="009D4BC8" w:rsidRDefault="001A198A" w:rsidP="001A198A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9D4BC8">
        <w:rPr>
          <w:rFonts w:eastAsia="Times New Roman" w:cs="Times New Roman"/>
          <w:kern w:val="0"/>
          <w:lang w:eastAsia="en-GB"/>
          <w14:ligatures w14:val="none"/>
        </w:rPr>
        <w:t xml:space="preserve">Sinclair, Shepley and </w:t>
      </w:r>
      <w:proofErr w:type="spellStart"/>
      <w:r w:rsidRPr="009D4BC8">
        <w:rPr>
          <w:rFonts w:eastAsia="Times New Roman" w:cs="Times New Roman"/>
          <w:kern w:val="0"/>
          <w:lang w:eastAsia="en-GB"/>
          <w14:ligatures w14:val="none"/>
        </w:rPr>
        <w:t>Hajati</w:t>
      </w:r>
      <w:proofErr w:type="spellEnd"/>
      <w:r w:rsidRPr="009D4BC8">
        <w:rPr>
          <w:rFonts w:eastAsia="Times New Roman" w:cs="Times New Roman"/>
          <w:kern w:val="0"/>
          <w:lang w:eastAsia="en-GB"/>
          <w14:ligatures w14:val="none"/>
        </w:rPr>
        <w:t xml:space="preserve"> (2026) investigate whether transformer-based deep learning architectures can outperform AEMO's own </w:t>
      </w:r>
      <w:r w:rsidR="00345CDE">
        <w:rPr>
          <w:rFonts w:eastAsia="Times New Roman" w:cs="Times New Roman"/>
          <w:kern w:val="0"/>
          <w:lang w:eastAsia="en-GB"/>
          <w14:ligatures w14:val="none"/>
        </w:rPr>
        <w:t>intraday price forecasting</w:t>
      </w:r>
      <w:r w:rsidRPr="009D4BC8">
        <w:rPr>
          <w:rFonts w:eastAsia="Times New Roman" w:cs="Times New Roman"/>
          <w:kern w:val="0"/>
          <w:lang w:eastAsia="en-GB"/>
          <w14:ligatures w14:val="none"/>
        </w:rPr>
        <w:t>. The study is fundamentally a benchmarking exercise</w:t>
      </w:r>
      <w:r w:rsidR="00345CDE">
        <w:rPr>
          <w:rFonts w:eastAsia="Times New Roman" w:cs="Times New Roman"/>
          <w:kern w:val="0"/>
          <w:lang w:eastAsia="en-GB"/>
          <w14:ligatures w14:val="none"/>
        </w:rPr>
        <w:t xml:space="preserve"> that </w:t>
      </w:r>
      <w:r w:rsidRPr="009D4BC8">
        <w:rPr>
          <w:rFonts w:eastAsia="Times New Roman" w:cs="Times New Roman"/>
          <w:kern w:val="0"/>
          <w:lang w:eastAsia="en-GB"/>
          <w14:ligatures w14:val="none"/>
        </w:rPr>
        <w:t>tests several transformer variants against AEMO's published forecast and a set of established deep learning baselines, across multiple NEM regions and forecast horizons (2-16 hours ahead).</w:t>
      </w:r>
    </w:p>
    <w:p w14:paraId="0A23ECBB" w14:textId="77777777" w:rsidR="001A198A" w:rsidRPr="009D4BC8" w:rsidRDefault="001A198A" w:rsidP="001A198A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9D4BC8">
        <w:rPr>
          <w:rFonts w:eastAsia="Times New Roman" w:cs="Times New Roman"/>
          <w:b/>
          <w:bCs/>
          <w:kern w:val="0"/>
          <w:lang w:eastAsia="en-GB"/>
          <w14:ligatures w14:val="none"/>
        </w:rPr>
        <w:t>Key findings</w:t>
      </w:r>
    </w:p>
    <w:p w14:paraId="119238ED" w14:textId="1CA27E17" w:rsidR="00345CDE" w:rsidRPr="00345CDE" w:rsidRDefault="001A198A" w:rsidP="00345C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9D4BC8">
        <w:rPr>
          <w:rFonts w:eastAsia="Times New Roman" w:cs="Times New Roman"/>
          <w:kern w:val="0"/>
          <w:lang w:eastAsia="en-GB"/>
          <w14:ligatures w14:val="none"/>
        </w:rPr>
        <w:t xml:space="preserve">A decoder-only transformer architecture achieved the best accuracy in NSW, with normalised </w:t>
      </w:r>
      <w:r w:rsidR="00345CDE">
        <w:rPr>
          <w:rFonts w:eastAsia="Times New Roman" w:cs="Times New Roman"/>
          <w:kern w:val="0"/>
          <w:lang w:eastAsia="en-GB"/>
          <w14:ligatures w14:val="none"/>
        </w:rPr>
        <w:t>mean absolute percentage error (</w:t>
      </w:r>
      <w:r w:rsidRPr="009D4BC8">
        <w:rPr>
          <w:rFonts w:eastAsia="Times New Roman" w:cs="Times New Roman"/>
          <w:kern w:val="0"/>
          <w:lang w:eastAsia="en-GB"/>
          <w14:ligatures w14:val="none"/>
        </w:rPr>
        <w:t>MAPE</w:t>
      </w:r>
      <w:r w:rsidR="00345CDE">
        <w:rPr>
          <w:rFonts w:eastAsia="Times New Roman" w:cs="Times New Roman"/>
          <w:kern w:val="0"/>
          <w:lang w:eastAsia="en-GB"/>
          <w14:ligatures w14:val="none"/>
        </w:rPr>
        <w:t>)</w:t>
      </w:r>
      <w:r w:rsidRPr="009D4BC8">
        <w:rPr>
          <w:rFonts w:eastAsia="Times New Roman" w:cs="Times New Roman"/>
          <w:kern w:val="0"/>
          <w:lang w:eastAsia="en-GB"/>
          <w14:ligatures w14:val="none"/>
        </w:rPr>
        <w:t xml:space="preserve"> of 33.6-39.2% across the tested horizons, outperforming AEMO</w:t>
      </w:r>
      <w:r w:rsidR="00345CDE">
        <w:rPr>
          <w:rFonts w:eastAsia="Times New Roman" w:cs="Times New Roman"/>
          <w:kern w:val="0"/>
          <w:lang w:eastAsia="en-GB"/>
          <w14:ligatures w14:val="none"/>
        </w:rPr>
        <w:t xml:space="preserve"> and all baseline models</w:t>
      </w:r>
      <w:r w:rsidRPr="009D4BC8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1432AA4B" w14:textId="65BD73E7" w:rsidR="001A198A" w:rsidRPr="00345CDE" w:rsidRDefault="00345CDE" w:rsidP="00345CD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The method generalises well as it produces strong results when applied to </w:t>
      </w:r>
      <w:r w:rsidR="001A198A" w:rsidRPr="00345CDE">
        <w:rPr>
          <w:rFonts w:eastAsia="Times New Roman" w:cs="Times New Roman"/>
          <w:kern w:val="0"/>
          <w:lang w:eastAsia="en-GB"/>
          <w14:ligatures w14:val="none"/>
        </w:rPr>
        <w:t>Victoria and Queensland</w:t>
      </w:r>
      <w:r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76BBBB7C" w14:textId="226CCEDF" w:rsidR="001A198A" w:rsidRPr="009D4BC8" w:rsidRDefault="001A198A" w:rsidP="001A198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9D4BC8">
        <w:rPr>
          <w:rFonts w:eastAsia="Times New Roman" w:cs="Times New Roman"/>
          <w:kern w:val="0"/>
          <w:lang w:eastAsia="en-GB"/>
          <w14:ligatures w14:val="none"/>
        </w:rPr>
        <w:t>SHAP</w:t>
      </w:r>
      <w:r w:rsidR="008F4FA2">
        <w:rPr>
          <w:rFonts w:eastAsia="Times New Roman" w:cs="Times New Roman"/>
          <w:kern w:val="0"/>
          <w:lang w:eastAsia="en-GB"/>
          <w14:ligatures w14:val="none"/>
        </w:rPr>
        <w:t>-based</w:t>
      </w:r>
      <w:r w:rsidR="00345CDE">
        <w:rPr>
          <w:rFonts w:eastAsia="Times New Roman" w:cs="Times New Roman"/>
          <w:kern w:val="0"/>
          <w:lang w:eastAsia="en-GB"/>
          <w14:ligatures w14:val="none"/>
        </w:rPr>
        <w:t xml:space="preserve"> (Shapley Additive </w:t>
      </w:r>
      <w:proofErr w:type="spellStart"/>
      <w:r w:rsidR="00345CDE">
        <w:rPr>
          <w:rFonts w:eastAsia="Times New Roman" w:cs="Times New Roman"/>
          <w:kern w:val="0"/>
          <w:lang w:eastAsia="en-GB"/>
          <w14:ligatures w14:val="none"/>
        </w:rPr>
        <w:t>exPlanations</w:t>
      </w:r>
      <w:proofErr w:type="spellEnd"/>
      <w:r w:rsidR="00345CDE">
        <w:rPr>
          <w:rFonts w:eastAsia="Times New Roman" w:cs="Times New Roman"/>
          <w:kern w:val="0"/>
          <w:lang w:eastAsia="en-GB"/>
          <w14:ligatures w14:val="none"/>
        </w:rPr>
        <w:t xml:space="preserve">) </w:t>
      </w:r>
      <w:r w:rsidRPr="009D4BC8">
        <w:rPr>
          <w:rFonts w:eastAsia="Times New Roman" w:cs="Times New Roman"/>
          <w:kern w:val="0"/>
          <w:lang w:eastAsia="en-GB"/>
          <w14:ligatures w14:val="none"/>
        </w:rPr>
        <w:t xml:space="preserve">feature importance analysis found that the model's predictive power comes </w:t>
      </w:r>
      <w:r w:rsidR="008F4FA2">
        <w:rPr>
          <w:rFonts w:eastAsia="Times New Roman" w:cs="Times New Roman"/>
          <w:kern w:val="0"/>
          <w:lang w:eastAsia="en-GB"/>
          <w14:ligatures w14:val="none"/>
        </w:rPr>
        <w:t>mostly</w:t>
      </w:r>
      <w:r w:rsidRPr="009D4BC8">
        <w:rPr>
          <w:rFonts w:eastAsia="Times New Roman" w:cs="Times New Roman"/>
          <w:kern w:val="0"/>
          <w:lang w:eastAsia="en-GB"/>
          <w14:ligatures w14:val="none"/>
        </w:rPr>
        <w:t xml:space="preserve"> from AEMO's own forward-looking </w:t>
      </w:r>
      <w:proofErr w:type="spellStart"/>
      <w:r w:rsidRPr="009D4BC8">
        <w:rPr>
          <w:rFonts w:eastAsia="Times New Roman" w:cs="Times New Roman"/>
          <w:kern w:val="0"/>
          <w:lang w:eastAsia="en-GB"/>
          <w14:ligatures w14:val="none"/>
        </w:rPr>
        <w:t>predispatch</w:t>
      </w:r>
      <w:proofErr w:type="spellEnd"/>
      <w:r w:rsidRPr="009D4BC8">
        <w:rPr>
          <w:rFonts w:eastAsia="Times New Roman" w:cs="Times New Roman"/>
          <w:kern w:val="0"/>
          <w:lang w:eastAsia="en-GB"/>
          <w14:ligatures w14:val="none"/>
        </w:rPr>
        <w:t xml:space="preserve"> forecasts rather than from patterns learned in historical price data</w:t>
      </w:r>
      <w:r w:rsidR="008F4FA2">
        <w:rPr>
          <w:rFonts w:eastAsia="Times New Roman" w:cs="Times New Roman"/>
          <w:kern w:val="0"/>
          <w:lang w:eastAsia="en-GB"/>
          <w14:ligatures w14:val="none"/>
        </w:rPr>
        <w:t>. The transformer is mostly reliant on market expectations</w:t>
      </w:r>
      <w:r w:rsidRPr="009D4BC8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1B1485C0" w14:textId="513FDCA8" w:rsidR="001A198A" w:rsidRPr="009D4BC8" w:rsidRDefault="0002571C" w:rsidP="001A198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Rooftop solar variability shapes price formation in QLD, though their models do not directly include rooftop PV generation and is proxied by cloud cover and net demand.</w:t>
      </w:r>
    </w:p>
    <w:p w14:paraId="7D5BDA68" w14:textId="77777777" w:rsidR="001A198A" w:rsidRPr="009D4BC8" w:rsidRDefault="001A198A" w:rsidP="001A198A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9D4BC8">
        <w:rPr>
          <w:rFonts w:eastAsia="Times New Roman" w:cs="Times New Roman"/>
          <w:b/>
          <w:bCs/>
          <w:kern w:val="0"/>
          <w:lang w:eastAsia="en-GB"/>
          <w14:ligatures w14:val="none"/>
        </w:rPr>
        <w:t>Relevance to your project</w:t>
      </w:r>
    </w:p>
    <w:p w14:paraId="485F02BB" w14:textId="77777777" w:rsidR="004110AA" w:rsidRDefault="004110AA" w:rsidP="004110AA">
      <w:pPr>
        <w:pStyle w:val="ListParagraph"/>
        <w:numPr>
          <w:ilvl w:val="0"/>
          <w:numId w:val="3"/>
        </w:numPr>
        <w:rPr>
          <w:rFonts w:eastAsia="Times New Roman" w:cs="Times New Roman"/>
          <w:kern w:val="0"/>
          <w:lang w:eastAsia="en-GB"/>
          <w14:ligatures w14:val="none"/>
        </w:rPr>
      </w:pPr>
      <w:r w:rsidRPr="004110AA">
        <w:rPr>
          <w:rFonts w:eastAsia="Times New Roman" w:cs="Times New Roman"/>
          <w:kern w:val="0"/>
          <w:lang w:eastAsia="en-GB"/>
          <w14:ligatures w14:val="none"/>
        </w:rPr>
        <w:t xml:space="preserve">Validates the AEMO-benchmarking approach: their methodology (benchmarking directly against AEMO's published operational forecast, using walk-forward validation and Diebold-Mariano significance testing) mirrors this project's Q3 design, and their finding that AEMO's forecast is substantially beatable supports treating it as a genuine benchmark rather than relying on an internally constructed baseline alone. </w:t>
      </w:r>
    </w:p>
    <w:p w14:paraId="3DE24D9A" w14:textId="77777777" w:rsidR="004110AA" w:rsidRDefault="004110AA" w:rsidP="004110AA">
      <w:pPr>
        <w:pStyle w:val="ListParagraph"/>
        <w:numPr>
          <w:ilvl w:val="0"/>
          <w:numId w:val="3"/>
        </w:numPr>
        <w:rPr>
          <w:rFonts w:eastAsia="Times New Roman" w:cs="Times New Roman"/>
          <w:kern w:val="0"/>
          <w:lang w:eastAsia="en-GB"/>
          <w14:ligatures w14:val="none"/>
        </w:rPr>
      </w:pPr>
      <w:r w:rsidRPr="004110AA">
        <w:rPr>
          <w:rFonts w:eastAsia="Times New Roman" w:cs="Times New Roman"/>
          <w:kern w:val="0"/>
          <w:lang w:eastAsia="en-GB"/>
          <w14:ligatures w14:val="none"/>
        </w:rPr>
        <w:t>Supports Q2's premise: their SHAP analysis shows forecast demand's influence on price is not fixed, but modulated by calendar effects, temperature, and humidity — a nonlinear, context-dependent relationship closely paralleling what this project's Q2 sets out to measure directly for the PV-demand relationship.</w:t>
      </w:r>
    </w:p>
    <w:p w14:paraId="258DD59C" w14:textId="4EFC3DF9" w:rsidR="004110AA" w:rsidRPr="004110AA" w:rsidRDefault="004110AA" w:rsidP="004110AA">
      <w:pPr>
        <w:pStyle w:val="ListParagraph"/>
        <w:numPr>
          <w:ilvl w:val="0"/>
          <w:numId w:val="3"/>
        </w:numPr>
        <w:rPr>
          <w:rFonts w:eastAsia="Times New Roman" w:cs="Times New Roman"/>
          <w:kern w:val="0"/>
          <w:lang w:eastAsia="en-GB"/>
          <w14:ligatures w14:val="none"/>
        </w:rPr>
      </w:pPr>
      <w:r w:rsidRPr="004110AA">
        <w:rPr>
          <w:rFonts w:eastAsia="Times New Roman" w:cs="Times New Roman"/>
          <w:kern w:val="0"/>
          <w:lang w:eastAsia="en-GB"/>
          <w14:ligatures w14:val="none"/>
        </w:rPr>
        <w:t xml:space="preserve">Identifies the gap this project addresses: despite acknowledging that rooftop solar materially shapes price volatility in Queensland, their model captures </w:t>
      </w:r>
      <w:proofErr w:type="spellStart"/>
      <w:r w:rsidRPr="004110AA">
        <w:rPr>
          <w:rFonts w:eastAsia="Times New Roman" w:cs="Times New Roman"/>
          <w:kern w:val="0"/>
          <w:lang w:eastAsia="en-GB"/>
          <w14:ligatures w14:val="none"/>
        </w:rPr>
        <w:t>solar's</w:t>
      </w:r>
      <w:proofErr w:type="spellEnd"/>
      <w:r w:rsidRPr="004110AA">
        <w:rPr>
          <w:rFonts w:eastAsia="Times New Roman" w:cs="Times New Roman"/>
          <w:kern w:val="0"/>
          <w:lang w:eastAsia="en-GB"/>
          <w14:ligatures w14:val="none"/>
        </w:rPr>
        <w:t xml:space="preserve"> influence only indirectly, through cloud cover and net demand, never incorporating rooftop PV generation as a direct input feature. </w:t>
      </w:r>
    </w:p>
    <w:p w14:paraId="529775C0" w14:textId="19A86CAD" w:rsidR="001A198A" w:rsidRPr="009D4BC8" w:rsidRDefault="004110AA" w:rsidP="004110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4110AA">
        <w:rPr>
          <w:rFonts w:eastAsia="Times New Roman" w:cs="Times New Roman"/>
          <w:kern w:val="0"/>
          <w:lang w:eastAsia="en-GB"/>
          <w14:ligatures w14:val="none"/>
        </w:rPr>
        <w:lastRenderedPageBreak/>
        <w:t>Positions this project's contribution: by using rooftop PV generation itself, rather than a weather proxy, as an explicit variable, this project addresses a concrete, citable absence in the existing literature rather than an assumed one.</w:t>
      </w:r>
    </w:p>
    <w:p w14:paraId="3219918E" w14:textId="61853E89" w:rsidR="001A198A" w:rsidRPr="009D4BC8" w:rsidRDefault="001A198A" w:rsidP="001A198A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9D4BC8">
        <w:rPr>
          <w:rFonts w:eastAsia="Times New Roman" w:cs="Times New Roman"/>
          <w:b/>
          <w:bCs/>
          <w:kern w:val="0"/>
          <w:lang w:eastAsia="en-GB"/>
          <w14:ligatures w14:val="none"/>
        </w:rPr>
        <w:t>Data sources</w:t>
      </w:r>
    </w:p>
    <w:p w14:paraId="19F1C73C" w14:textId="5D138771" w:rsidR="001A198A" w:rsidRPr="009D4BC8" w:rsidRDefault="001A198A" w:rsidP="001A198A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9D4BC8">
        <w:rPr>
          <w:rFonts w:eastAsia="Times New Roman" w:cs="Times New Roman"/>
          <w:kern w:val="0"/>
          <w:lang w:eastAsia="en-GB"/>
          <w14:ligatures w14:val="none"/>
        </w:rPr>
        <w:t xml:space="preserve">The study draws on 34 months of NEM market data (price, demand, and AEMO's own </w:t>
      </w:r>
      <w:proofErr w:type="spellStart"/>
      <w:r w:rsidRPr="009D4BC8">
        <w:rPr>
          <w:rFonts w:eastAsia="Times New Roman" w:cs="Times New Roman"/>
          <w:kern w:val="0"/>
          <w:lang w:eastAsia="en-GB"/>
          <w14:ligatures w14:val="none"/>
        </w:rPr>
        <w:t>predispatch</w:t>
      </w:r>
      <w:proofErr w:type="spellEnd"/>
      <w:r w:rsidRPr="009D4BC8">
        <w:rPr>
          <w:rFonts w:eastAsia="Times New Roman" w:cs="Times New Roman"/>
          <w:kern w:val="0"/>
          <w:lang w:eastAsia="en-GB"/>
          <w14:ligatures w14:val="none"/>
        </w:rPr>
        <w:t xml:space="preserve"> forecasts) combined with weather data</w:t>
      </w:r>
      <w:r w:rsidR="00345CDE">
        <w:rPr>
          <w:rFonts w:eastAsia="Times New Roman" w:cs="Times New Roman"/>
          <w:kern w:val="0"/>
          <w:lang w:eastAsia="en-GB"/>
          <w14:ligatures w14:val="none"/>
        </w:rPr>
        <w:t xml:space="preserve"> and engineered features</w:t>
      </w:r>
      <w:r w:rsidRPr="009D4BC8">
        <w:rPr>
          <w:rFonts w:eastAsia="Times New Roman" w:cs="Times New Roman"/>
          <w:kern w:val="0"/>
          <w:lang w:eastAsia="en-GB"/>
          <w14:ligatures w14:val="none"/>
        </w:rPr>
        <w:t>, across NSW, Victoria, and Queensland</w:t>
      </w:r>
      <w:r w:rsidR="004110AA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233FDC00" w14:textId="77777777" w:rsidR="001A198A" w:rsidRPr="009D4BC8" w:rsidRDefault="001A198A">
      <w:pPr>
        <w:rPr>
          <w:lang w:val="en-AU"/>
        </w:rPr>
      </w:pPr>
    </w:p>
    <w:sectPr w:rsidR="001A198A" w:rsidRPr="009D4BC8" w:rsidSect="00180C8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8A79C9"/>
    <w:multiLevelType w:val="multilevel"/>
    <w:tmpl w:val="B270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72F0F"/>
    <w:multiLevelType w:val="multilevel"/>
    <w:tmpl w:val="3F9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03CEC"/>
    <w:multiLevelType w:val="hybridMultilevel"/>
    <w:tmpl w:val="7D465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83406">
    <w:abstractNumId w:val="0"/>
  </w:num>
  <w:num w:numId="2" w16cid:durableId="1115061584">
    <w:abstractNumId w:val="1"/>
  </w:num>
  <w:num w:numId="3" w16cid:durableId="209855426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8A"/>
    <w:rsid w:val="0002571C"/>
    <w:rsid w:val="00180C85"/>
    <w:rsid w:val="001A198A"/>
    <w:rsid w:val="00310438"/>
    <w:rsid w:val="00345CDE"/>
    <w:rsid w:val="003B55DE"/>
    <w:rsid w:val="004110AA"/>
    <w:rsid w:val="004B10EA"/>
    <w:rsid w:val="008A7E2C"/>
    <w:rsid w:val="008F4FA2"/>
    <w:rsid w:val="009D4BC8"/>
    <w:rsid w:val="00A876D3"/>
    <w:rsid w:val="00F6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8E4D"/>
  <w15:chartTrackingRefBased/>
  <w15:docId w15:val="{6DA8B472-0CA4-274A-B06B-57730FB0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19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9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19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A198A"/>
    <w:rPr>
      <w:b/>
      <w:bCs/>
    </w:rPr>
  </w:style>
  <w:style w:type="character" w:styleId="Emphasis">
    <w:name w:val="Emphasis"/>
    <w:basedOn w:val="DefaultParagraphFont"/>
    <w:uiPriority w:val="20"/>
    <w:qFormat/>
    <w:rsid w:val="001A19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dpi.com/2076-3417/16/1/7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Siv</dc:creator>
  <cp:keywords/>
  <dc:description/>
  <cp:lastModifiedBy>Will Siv</cp:lastModifiedBy>
  <cp:revision>2</cp:revision>
  <dcterms:created xsi:type="dcterms:W3CDTF">2026-09-18T03:38:00Z</dcterms:created>
  <dcterms:modified xsi:type="dcterms:W3CDTF">2026-09-18T06:15:00Z</dcterms:modified>
</cp:coreProperties>
</file>